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1B" w:rsidRPr="003E0EF9" w:rsidRDefault="007F181B" w:rsidP="002A7ED0">
      <w:pPr>
        <w:pStyle w:val="BodyText3"/>
        <w:spacing w:before="240"/>
        <w:jc w:val="right"/>
        <w:rPr>
          <w:rFonts w:ascii="StobiSerifPro" w:hAnsi="StobiSerifPro"/>
          <w:sz w:val="20"/>
          <w:szCs w:val="20"/>
        </w:rPr>
      </w:pPr>
    </w:p>
    <w:p w:rsidR="00C771C6" w:rsidRDefault="00C771C6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Default="007F181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87764B" w:rsidRDefault="0087764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507ADB" w:rsidRPr="003E0EF9" w:rsidRDefault="00507AD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Pr="003E0EF9" w:rsidRDefault="007F181B" w:rsidP="00212ED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6196"/>
      </w:tblGrid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C771C6" w:rsidP="00C771C6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="005D0CB8"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:rsidR="006F1327" w:rsidRPr="003E0EF9" w:rsidRDefault="00556B98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здравство</w:t>
            </w:r>
          </w:p>
        </w:tc>
      </w:tr>
      <w:tr w:rsidR="007F181B" w:rsidRPr="00B413F0">
        <w:trPr>
          <w:trHeight w:val="622"/>
        </w:trPr>
        <w:tc>
          <w:tcPr>
            <w:tcW w:w="3105" w:type="dxa"/>
          </w:tcPr>
          <w:p w:rsidR="007F181B" w:rsidRPr="003E0EF9" w:rsidRDefault="005D0CB8" w:rsidP="006F132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6F1327" w:rsidRPr="003E0EF9">
              <w:rPr>
                <w:rFonts w:ascii="StobiSerifPro" w:hAnsi="StobiSerifPro"/>
                <w:sz w:val="20"/>
                <w:szCs w:val="20"/>
                <w:lang w:val="mk-MK"/>
              </w:rPr>
              <w:t>закон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6F1327" w:rsidRPr="00E301F2" w:rsidRDefault="008A6B92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E301F2">
              <w:rPr>
                <w:rFonts w:ascii="StobiSerif" w:hAnsi="StobiSerif" w:cs="Arial"/>
                <w:sz w:val="22"/>
                <w:szCs w:val="22"/>
                <w:lang w:val="ru-RU"/>
              </w:rPr>
              <w:t>Предлог</w:t>
            </w:r>
            <w:r w:rsidR="00DE743D" w:rsidRPr="00E301F2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 </w:t>
            </w:r>
            <w:r w:rsidR="00D17C07" w:rsidRPr="00E301F2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на </w:t>
            </w:r>
            <w:r w:rsidR="00DE743D" w:rsidRPr="00E301F2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закон </w:t>
            </w:r>
            <w:r w:rsidR="00DE743D" w:rsidRPr="00E301F2"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за </w:t>
            </w:r>
            <w:r w:rsidR="00D15540" w:rsidRPr="00E301F2">
              <w:rPr>
                <w:rFonts w:ascii="StobiSerif" w:hAnsi="StobiSerif" w:cs="Arial"/>
                <w:sz w:val="22"/>
                <w:szCs w:val="22"/>
                <w:lang w:val="mk-MK"/>
              </w:rPr>
              <w:t>изменување</w:t>
            </w:r>
            <w:r w:rsidR="00DE743D" w:rsidRPr="00E301F2">
              <w:rPr>
                <w:rFonts w:ascii="StobiSerif" w:hAnsi="StobiSerif"/>
                <w:sz w:val="22"/>
                <w:szCs w:val="22"/>
                <w:lang w:val="mk-MK"/>
              </w:rPr>
              <w:t xml:space="preserve"> на Законот </w:t>
            </w:r>
            <w:r w:rsidR="00E63BBE">
              <w:rPr>
                <w:rFonts w:ascii="StobiSerif" w:hAnsi="StobiSerif"/>
                <w:sz w:val="22"/>
                <w:szCs w:val="22"/>
                <w:lang w:val="mk-MK"/>
              </w:rPr>
              <w:t xml:space="preserve">за </w:t>
            </w:r>
            <w:r w:rsidR="00E63BBE" w:rsidRPr="007442E7">
              <w:rPr>
                <w:rFonts w:ascii="StobiSerif" w:hAnsi="StobiSerif" w:cs="Arial"/>
                <w:sz w:val="22"/>
                <w:szCs w:val="22"/>
                <w:lang w:val="mk-MK"/>
              </w:rPr>
              <w:t>медицинските студии и континуираното стручно усовршување на докторите на медицина</w:t>
            </w: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7F181B" w:rsidRPr="00DE743D" w:rsidRDefault="00556B98" w:rsidP="008A6B92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Стојанчо</w:t>
            </w:r>
            <w:r w:rsidR="00DE743D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DE743D">
              <w:rPr>
                <w:rFonts w:ascii="StobiSerifPro" w:hAnsi="StobiSerifPro"/>
                <w:sz w:val="20"/>
                <w:szCs w:val="20"/>
                <w:lang w:val="mk-MK"/>
              </w:rPr>
              <w:t xml:space="preserve">Стојковски </w:t>
            </w:r>
            <w:r w:rsidR="008A6B92" w:rsidRPr="00E52A0C">
              <w:rPr>
                <w:rFonts w:ascii="StobiSerifPro" w:hAnsi="StobiSerifPro"/>
                <w:sz w:val="22"/>
                <w:szCs w:val="22"/>
                <w:lang w:val="mk-MK"/>
              </w:rPr>
              <w:t>&lt;stojanco.stojkovski@zdravstvo.gov.mk&gt;</w:t>
            </w:r>
          </w:p>
        </w:tc>
      </w:tr>
      <w:tr w:rsidR="00855CE5" w:rsidRPr="003E0EF9">
        <w:trPr>
          <w:trHeight w:val="939"/>
        </w:trPr>
        <w:tc>
          <w:tcPr>
            <w:tcW w:w="3105" w:type="dxa"/>
            <w:shd w:val="clear" w:color="auto" w:fill="auto"/>
          </w:tcPr>
          <w:p w:rsidR="00855CE5" w:rsidRPr="003E0EF9" w:rsidRDefault="00855CE5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bookmarkStart w:id="0" w:name="Check11"/>
        <w:tc>
          <w:tcPr>
            <w:tcW w:w="6196" w:type="dxa"/>
            <w:shd w:val="clear" w:color="auto" w:fill="auto"/>
          </w:tcPr>
          <w:p w:rsidR="00855CE5" w:rsidRPr="003E0EF9" w:rsidRDefault="00A01C70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743D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="00855CE5"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:rsidR="00855CE5" w:rsidRPr="003E0EF9" w:rsidRDefault="00A01C70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="00107852"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</w:rPr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1"/>
            <w:r w:rsidR="00B020B6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:rsidR="00855CE5" w:rsidRPr="003E0EF9" w:rsidRDefault="00855CE5" w:rsidP="00855CE5">
            <w:pPr>
              <w:pStyle w:val="ListParagraph"/>
              <w:spacing w:after="0" w:line="240" w:lineRule="auto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7F181B" w:rsidRPr="003E0EF9">
        <w:trPr>
          <w:trHeight w:val="1243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C771C6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:rsidR="001D3748" w:rsidRDefault="00A01C70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7F181B"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</w:t>
            </w:r>
          </w:p>
          <w:p w:rsidR="007F181B" w:rsidRPr="003E0EF9" w:rsidRDefault="001D3748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    Македонија</w:t>
            </w:r>
          </w:p>
          <w:p w:rsidR="007F181B" w:rsidRPr="003E0EF9" w:rsidRDefault="00A01C70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="007F181B"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bookmarkStart w:id="4" w:name="Check16"/>
          <w:p w:rsidR="007F181B" w:rsidRPr="003E0EF9" w:rsidRDefault="00A01C70" w:rsidP="001D374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4"/>
            <w:r w:rsidR="007F181B"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 Македонија</w:t>
            </w:r>
          </w:p>
          <w:p w:rsidR="007F181B" w:rsidRPr="003E0EF9" w:rsidRDefault="00A01C70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5"/>
            <w:r w:rsidR="007F181B"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7F181B" w:rsidRPr="003E0EF9">
        <w:trPr>
          <w:trHeight w:val="634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7F181B" w:rsidRPr="003E0EF9" w:rsidRDefault="008A6B92" w:rsidP="008A6B92">
            <w:pPr>
              <w:pStyle w:val="ListParagraph"/>
              <w:ind w:left="45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1865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прописите кои се однесуваат на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класифицирани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те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:rsidR="007F181B" w:rsidRPr="003E0EF9" w:rsidRDefault="00A01C70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6"/>
            <w:r w:rsidR="007F181B"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bookmarkStart w:id="7" w:name="Check18"/>
          <w:p w:rsidR="007F181B" w:rsidRPr="003E0EF9" w:rsidRDefault="00A01C70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7"/>
            <w:r w:rsidR="007F181B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939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7F181B" w:rsidRPr="003E0EF9" w:rsidRDefault="00D15540" w:rsidP="00D15540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14</w:t>
            </w:r>
            <w:r w:rsidR="008A6B92" w:rsidRPr="002272EB">
              <w:rPr>
                <w:rFonts w:ascii="StobiSerifPro" w:hAnsi="StobiSerifPro"/>
                <w:sz w:val="20"/>
                <w:szCs w:val="20"/>
                <w:lang w:val="mk-MK"/>
              </w:rPr>
              <w:t>.0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8</w:t>
            </w:r>
            <w:r w:rsidR="008A6B92" w:rsidRPr="002272EB">
              <w:rPr>
                <w:rFonts w:ascii="StobiSerifPro" w:hAnsi="StobiSerifPro"/>
                <w:sz w:val="20"/>
                <w:szCs w:val="20"/>
                <w:lang w:val="mk-MK"/>
              </w:rPr>
              <w:t>.2014 година</w:t>
            </w:r>
          </w:p>
        </w:tc>
      </w:tr>
      <w:tr w:rsidR="007F181B" w:rsidRPr="003E0EF9">
        <w:trPr>
          <w:trHeight w:val="691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 w:rsidR="001D3748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D15540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C53BBF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 w:rsidR="00C53BBF"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мислењето од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951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Рок за доставување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</w:tbl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1.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>Опи</w:t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с на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состојбите </w:t>
      </w:r>
    </w:p>
    <w:p w:rsidR="00B55C2C" w:rsidRDefault="00B55C2C" w:rsidP="00B55C2C">
      <w:pPr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</w:p>
    <w:p w:rsidR="00F744C4" w:rsidRDefault="00B55C2C" w:rsidP="00F744C4">
      <w:pPr>
        <w:jc w:val="both"/>
        <w:rPr>
          <w:rFonts w:ascii="StobiSerif" w:hAnsi="StobiSerif" w:cs="TimesNewRoman"/>
          <w:sz w:val="22"/>
          <w:szCs w:val="22"/>
          <w:lang w:val="mk-MK"/>
        </w:rPr>
      </w:pPr>
      <w:r w:rsidRPr="002665A9">
        <w:rPr>
          <w:rFonts w:ascii="StobiSerif" w:hAnsi="StobiSerif"/>
          <w:lang w:val="mk-MK"/>
        </w:rPr>
        <w:lastRenderedPageBreak/>
        <w:tab/>
      </w:r>
      <w:r w:rsidRPr="000876B4">
        <w:rPr>
          <w:rFonts w:ascii="StobiSerif" w:hAnsi="StobiSerif"/>
          <w:sz w:val="22"/>
          <w:szCs w:val="22"/>
          <w:lang w:val="mk-MK"/>
        </w:rPr>
        <w:t xml:space="preserve">Според </w:t>
      </w:r>
      <w:r w:rsidR="00E301F2">
        <w:rPr>
          <w:rFonts w:ascii="StobiSerif" w:hAnsi="StobiSerif"/>
          <w:sz w:val="22"/>
          <w:szCs w:val="22"/>
          <w:lang w:val="mk-MK"/>
        </w:rPr>
        <w:t xml:space="preserve">член </w:t>
      </w:r>
      <w:r w:rsidR="002711A7">
        <w:rPr>
          <w:rFonts w:ascii="StobiSerif" w:hAnsi="StobiSerif"/>
          <w:sz w:val="22"/>
          <w:szCs w:val="22"/>
          <w:lang w:val="en-US"/>
        </w:rPr>
        <w:t>17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од Законот </w:t>
      </w:r>
      <w:r w:rsidR="00A1594E" w:rsidRPr="00CA1D52">
        <w:rPr>
          <w:rStyle w:val="footnote"/>
          <w:rFonts w:ascii="StobiSerif" w:hAnsi="StobiSerif"/>
          <w:sz w:val="22"/>
          <w:szCs w:val="22"/>
        </w:rPr>
        <w:t xml:space="preserve">за </w:t>
      </w:r>
      <w:r w:rsidR="00E63BBE" w:rsidRPr="007442E7">
        <w:rPr>
          <w:rFonts w:ascii="StobiSerif" w:hAnsi="StobiSerif" w:cs="Arial"/>
          <w:sz w:val="22"/>
          <w:szCs w:val="22"/>
          <w:lang w:val="mk-MK"/>
        </w:rPr>
        <w:t>медицинските студии и континуираното стручно усовршување на докторите на медицина</w:t>
      </w:r>
      <w:r w:rsidR="00A1594E">
        <w:rPr>
          <w:rStyle w:val="footnote"/>
          <w:rFonts w:ascii="StobiSerif" w:hAnsi="StobiSerif"/>
          <w:sz w:val="22"/>
          <w:szCs w:val="22"/>
          <w:lang w:val="mk-MK"/>
        </w:rPr>
        <w:t xml:space="preserve">, </w:t>
      </w:r>
      <w:r w:rsidRPr="000876B4">
        <w:rPr>
          <w:rFonts w:ascii="StobiSerif" w:hAnsi="StobiSerif"/>
          <w:sz w:val="22"/>
          <w:szCs w:val="22"/>
          <w:lang w:val="mk-MK"/>
        </w:rPr>
        <w:t xml:space="preserve">прекршочната постапка за прекршоците предвидени во овој закон ја води надлежниот суд. </w:t>
      </w:r>
      <w:r w:rsidR="00F744C4" w:rsidRPr="001968D7">
        <w:rPr>
          <w:rFonts w:ascii="StobiSerif" w:hAnsi="StobiSerif" w:cs="TimesNewRoman"/>
          <w:sz w:val="22"/>
          <w:szCs w:val="22"/>
          <w:lang w:val="en-US"/>
        </w:rPr>
        <w:t>Пред поднесување на барање за поведување на прекршочна постапка пред</w:t>
      </w:r>
      <w:r w:rsidR="00F744C4">
        <w:rPr>
          <w:rFonts w:ascii="StobiSerif" w:hAnsi="StobiSerif" w:cs="TimesNewRoman"/>
          <w:sz w:val="22"/>
          <w:szCs w:val="22"/>
          <w:lang w:val="en-US"/>
        </w:rPr>
        <w:t xml:space="preserve"> </w:t>
      </w:r>
      <w:r w:rsidR="00F744C4" w:rsidRPr="001968D7">
        <w:rPr>
          <w:rFonts w:ascii="StobiSerif" w:hAnsi="StobiSerif" w:cs="TimesNewRoman"/>
          <w:sz w:val="22"/>
          <w:szCs w:val="22"/>
          <w:lang w:val="en-US"/>
        </w:rPr>
        <w:t>надлежниот суд се спроведува постапка за порамнување согласно со Законот за</w:t>
      </w:r>
      <w:r w:rsidR="00F744C4">
        <w:rPr>
          <w:rFonts w:ascii="StobiSerif" w:hAnsi="StobiSerif" w:cs="TimesNewRoman"/>
          <w:sz w:val="22"/>
          <w:szCs w:val="22"/>
          <w:lang w:val="en-US"/>
        </w:rPr>
        <w:t xml:space="preserve"> </w:t>
      </w:r>
      <w:r w:rsidR="00F744C4" w:rsidRPr="001968D7">
        <w:rPr>
          <w:rFonts w:ascii="StobiSerif" w:hAnsi="StobiSerif" w:cs="TimesNewRoman"/>
          <w:sz w:val="22"/>
          <w:szCs w:val="22"/>
          <w:lang w:val="en-US"/>
        </w:rPr>
        <w:t>прекршоците.</w:t>
      </w:r>
      <w:r w:rsidR="00F744C4">
        <w:rPr>
          <w:rFonts w:ascii="StobiSerif" w:hAnsi="StobiSerif" w:cs="TimesNewRoman"/>
          <w:sz w:val="22"/>
          <w:szCs w:val="22"/>
          <w:lang w:val="mk-MK"/>
        </w:rPr>
        <w:t xml:space="preserve"> </w:t>
      </w:r>
      <w:r w:rsidR="00F744C4" w:rsidRPr="001968D7">
        <w:rPr>
          <w:rFonts w:ascii="StobiSerif" w:hAnsi="StobiSerif" w:cs="TimesNewRoman"/>
          <w:sz w:val="22"/>
          <w:szCs w:val="22"/>
          <w:lang w:val="en-US"/>
        </w:rPr>
        <w:t>Надзорот над спроведувањето на прекршочните одредби од овој закон ги врши</w:t>
      </w:r>
      <w:r w:rsidR="00F744C4">
        <w:rPr>
          <w:rFonts w:ascii="StobiSerif" w:hAnsi="StobiSerif" w:cs="TimesNewRoman"/>
          <w:sz w:val="22"/>
          <w:szCs w:val="22"/>
          <w:lang w:val="en-US"/>
        </w:rPr>
        <w:t xml:space="preserve"> </w:t>
      </w:r>
      <w:r w:rsidR="00F744C4" w:rsidRPr="001968D7">
        <w:rPr>
          <w:rFonts w:ascii="StobiSerif" w:hAnsi="StobiSerif" w:cs="TimesNewRoman"/>
          <w:sz w:val="22"/>
          <w:szCs w:val="22"/>
          <w:lang w:val="en-US"/>
        </w:rPr>
        <w:t>Државниот санитарен и здравствен инспекторат.</w:t>
      </w:r>
    </w:p>
    <w:p w:rsidR="00F744C4" w:rsidRPr="001968D7" w:rsidRDefault="00F744C4" w:rsidP="00F744C4">
      <w:pPr>
        <w:autoSpaceDE w:val="0"/>
        <w:autoSpaceDN w:val="0"/>
        <w:adjustRightInd w:val="0"/>
        <w:jc w:val="both"/>
        <w:rPr>
          <w:rFonts w:ascii="StobiSerif" w:hAnsi="StobiSerif" w:cs="TimesNewRoman"/>
          <w:sz w:val="22"/>
          <w:szCs w:val="22"/>
          <w:lang w:val="en-US"/>
        </w:rPr>
      </w:pPr>
      <w:r>
        <w:rPr>
          <w:rFonts w:ascii="StobiSerif" w:hAnsi="StobiSerif" w:cs="TimesNewRoman"/>
          <w:sz w:val="22"/>
          <w:szCs w:val="22"/>
          <w:lang w:val="mk-MK"/>
        </w:rPr>
        <w:tab/>
      </w:r>
      <w:r w:rsidRPr="001968D7">
        <w:rPr>
          <w:rFonts w:ascii="StobiSerif" w:hAnsi="StobiSerif" w:cs="TimesNewRoman"/>
          <w:sz w:val="22"/>
          <w:szCs w:val="22"/>
          <w:lang w:val="en-US"/>
        </w:rPr>
        <w:t>Приходите од изречените прекршоци за здравствените установи и одговорните лица</w:t>
      </w:r>
      <w:r>
        <w:rPr>
          <w:rFonts w:ascii="StobiSerif" w:hAnsi="StobiSerif" w:cs="TimesNewRoman"/>
          <w:sz w:val="22"/>
          <w:szCs w:val="22"/>
          <w:lang w:val="en-US"/>
        </w:rPr>
        <w:t xml:space="preserve"> </w:t>
      </w:r>
      <w:r w:rsidRPr="001968D7">
        <w:rPr>
          <w:rFonts w:ascii="StobiSerif" w:hAnsi="StobiSerif" w:cs="TimesNewRoman"/>
          <w:sz w:val="22"/>
          <w:szCs w:val="22"/>
          <w:lang w:val="en-US"/>
        </w:rPr>
        <w:t>согласно со овој закон се приходи на Буџетот на Република Македонија.</w:t>
      </w:r>
    </w:p>
    <w:p w:rsidR="00F744C4" w:rsidRPr="00F744C4" w:rsidRDefault="00F744C4" w:rsidP="00F744C4">
      <w:pPr>
        <w:jc w:val="both"/>
        <w:rPr>
          <w:rFonts w:ascii="StobiSerif" w:hAnsi="StobiSerif" w:cs="Arial"/>
          <w:sz w:val="22"/>
          <w:szCs w:val="22"/>
          <w:lang w:val="mk-MK"/>
        </w:rPr>
      </w:pPr>
    </w:p>
    <w:p w:rsidR="00F744C4" w:rsidRDefault="00F744C4" w:rsidP="00B55C2C">
      <w:pPr>
        <w:jc w:val="both"/>
        <w:rPr>
          <w:rFonts w:ascii="StobiSerif" w:hAnsi="StobiSerif" w:cs="Arial"/>
          <w:sz w:val="22"/>
          <w:szCs w:val="22"/>
          <w:lang w:val="mk-MK"/>
        </w:rPr>
      </w:pPr>
    </w:p>
    <w:p w:rsidR="00E62DC4" w:rsidRPr="003E0EF9" w:rsidRDefault="00B55C2C" w:rsidP="00C8365E">
      <w:pPr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  <w:r w:rsidR="00E62DC4" w:rsidRPr="003E0EF9">
        <w:rPr>
          <w:rFonts w:ascii="StobiSerifPro" w:hAnsi="StobiSerifPro"/>
          <w:i/>
          <w:sz w:val="20"/>
          <w:szCs w:val="20"/>
          <w:lang w:val="mk-MK"/>
        </w:rPr>
        <w:t>1.2</w:t>
      </w:r>
      <w:r w:rsidR="00E62DC4"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="00E62DC4">
        <w:rPr>
          <w:rFonts w:ascii="StobiSerifPro" w:eastAsia="Calibri" w:hAnsi="StobiSerifPro" w:cs="Calibri"/>
          <w:i/>
          <w:sz w:val="20"/>
          <w:szCs w:val="20"/>
          <w:lang w:val="mk-MK"/>
        </w:rPr>
        <w:t>П</w:t>
      </w:r>
      <w:r w:rsidR="00E62DC4"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ричини за проблемите кои се предмет на разгледување </w:t>
      </w:r>
    </w:p>
    <w:p w:rsidR="00E62DC4" w:rsidRPr="003E0EF9" w:rsidRDefault="00C8365E" w:rsidP="00591C8C">
      <w:pPr>
        <w:jc w:val="both"/>
        <w:rPr>
          <w:rFonts w:ascii="StobiSerifPro" w:hAnsi="StobiSerifPro" w:cs="Calibri"/>
          <w:sz w:val="20"/>
          <w:szCs w:val="20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  <w:r w:rsidRPr="000876B4">
        <w:rPr>
          <w:rFonts w:ascii="StobiSerif" w:hAnsi="StobiSerif" w:cs="Arial"/>
          <w:sz w:val="22"/>
          <w:szCs w:val="22"/>
          <w:lang w:val="mk-MK"/>
        </w:rPr>
        <w:t>Согласно заклучокот од Двесте и десеттата</w:t>
      </w:r>
      <w:r>
        <w:rPr>
          <w:rFonts w:ascii="StobiSerif" w:hAnsi="StobiSerif" w:cs="Arial"/>
          <w:sz w:val="22"/>
          <w:szCs w:val="22"/>
          <w:lang w:val="mk-MK"/>
        </w:rPr>
        <w:t xml:space="preserve"> седница на Владата на Република Македонија одржана на 3.06.2014 година по точка 7 - Информација за работата на Инспекцискиот совет во февруари – април 2014 година,</w:t>
      </w:r>
      <w:r w:rsidRPr="00B91780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392AFA">
        <w:rPr>
          <w:rFonts w:ascii="StobiSerif" w:hAnsi="StobiSerif" w:cs="Arial"/>
          <w:sz w:val="22"/>
          <w:szCs w:val="22"/>
          <w:lang w:val="mk-MK"/>
        </w:rPr>
        <w:t>Владата го</w:t>
      </w:r>
      <w:r w:rsidRPr="00392AFA">
        <w:rPr>
          <w:rFonts w:ascii="StobiSerif" w:hAnsi="StobiSerif"/>
          <w:sz w:val="22"/>
          <w:szCs w:val="22"/>
          <w:lang w:val="mk-MK"/>
        </w:rPr>
        <w:t xml:space="preserve"> задолжи Министерството за здравство </w:t>
      </w:r>
      <w:r>
        <w:rPr>
          <w:rFonts w:ascii="StobiSerif" w:hAnsi="StobiSerif"/>
          <w:sz w:val="22"/>
          <w:szCs w:val="22"/>
          <w:lang w:val="mk-MK"/>
        </w:rPr>
        <w:t xml:space="preserve">во рок од 30 дена </w:t>
      </w:r>
      <w:r w:rsidRPr="00392AFA">
        <w:rPr>
          <w:rFonts w:ascii="StobiSerif" w:hAnsi="StobiSerif"/>
          <w:sz w:val="22"/>
          <w:szCs w:val="22"/>
          <w:lang w:val="mk-MK"/>
        </w:rPr>
        <w:t xml:space="preserve">да </w:t>
      </w:r>
      <w:r>
        <w:rPr>
          <w:rFonts w:ascii="StobiSerif" w:hAnsi="StobiSerif"/>
          <w:sz w:val="22"/>
          <w:szCs w:val="22"/>
          <w:lang w:val="mk-MK"/>
        </w:rPr>
        <w:t xml:space="preserve">подготви и до Владата да </w:t>
      </w:r>
      <w:r w:rsidRPr="00392AFA">
        <w:rPr>
          <w:rFonts w:ascii="StobiSerif" w:hAnsi="StobiSerif"/>
          <w:sz w:val="22"/>
          <w:szCs w:val="22"/>
          <w:lang w:val="mk-MK"/>
        </w:rPr>
        <w:t>достави</w:t>
      </w:r>
      <w:r>
        <w:rPr>
          <w:rFonts w:ascii="StobiSerif" w:hAnsi="StobiSerif"/>
          <w:sz w:val="22"/>
          <w:szCs w:val="22"/>
          <w:lang w:val="mk-MK"/>
        </w:rPr>
        <w:t xml:space="preserve"> предлози за измени и дополнувања на закони со кои надлежностите за едукација и решавање по прекршочни предмети ќе се пренесат од М</w:t>
      </w:r>
      <w:r>
        <w:rPr>
          <w:rFonts w:ascii="StobiSerif" w:hAnsi="StobiSerif" w:cs="Arial"/>
          <w:sz w:val="22"/>
          <w:szCs w:val="22"/>
          <w:lang w:val="mk-MK"/>
        </w:rPr>
        <w:t>инистерството за здравство на инспекторатот или други прекршочни органи.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 w:cs="Calibri"/>
          <w:b/>
          <w:i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B55C2C" w:rsidRDefault="00E62DC4" w:rsidP="00B55C2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</w:p>
    <w:p w:rsidR="00B55C2C" w:rsidRPr="00D07C72" w:rsidRDefault="00B55C2C" w:rsidP="00B55C2C">
      <w:pPr>
        <w:ind w:firstLine="567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9F15A3">
        <w:rPr>
          <w:rFonts w:ascii="StobiSerif" w:hAnsi="StobiSerif" w:cs="Arial"/>
          <w:sz w:val="22"/>
          <w:szCs w:val="22"/>
          <w:lang w:val="mk-MK"/>
        </w:rPr>
        <w:t>Со решенијата содржани во Предлог законот се врши</w:t>
      </w:r>
      <w:r w:rsidRPr="009F15A3">
        <w:rPr>
          <w:rFonts w:ascii="StobiSerif" w:hAnsi="StobiSerif" w:cs="Arial"/>
          <w:sz w:val="22"/>
          <w:szCs w:val="22"/>
          <w:lang w:val="en-US"/>
        </w:rPr>
        <w:t xml:space="preserve"> </w:t>
      </w:r>
      <w:r w:rsidRPr="009F15A3">
        <w:rPr>
          <w:rFonts w:ascii="StobiSerif" w:hAnsi="StobiSerif" w:cs="Arial"/>
          <w:sz w:val="22"/>
          <w:szCs w:val="22"/>
          <w:lang w:val="mk-MK"/>
        </w:rPr>
        <w:t xml:space="preserve">промена во надлежноста за решавање по прекршочните предмети (водење на </w:t>
      </w:r>
      <w:r w:rsidRPr="009F15A3">
        <w:rPr>
          <w:rFonts w:ascii="StobiSerif" w:hAnsi="StobiSerif"/>
          <w:sz w:val="22"/>
          <w:szCs w:val="22"/>
          <w:lang w:val="mk-MK"/>
        </w:rPr>
        <w:t>постапка за порамнување)</w:t>
      </w:r>
      <w:r w:rsidRPr="009F15A3">
        <w:rPr>
          <w:rFonts w:ascii="StobiSerif" w:hAnsi="StobiSerif" w:cs="Arial"/>
          <w:sz w:val="22"/>
          <w:szCs w:val="22"/>
          <w:lang w:val="mk-MK"/>
        </w:rPr>
        <w:t>.</w:t>
      </w:r>
    </w:p>
    <w:p w:rsidR="00B55C2C" w:rsidRPr="00D07C72" w:rsidRDefault="00B55C2C" w:rsidP="00B55C2C">
      <w:pPr>
        <w:jc w:val="both"/>
        <w:rPr>
          <w:rFonts w:ascii="StobiSerif" w:hAnsi="StobiSerif" w:cs="Arial"/>
          <w:bCs/>
          <w:sz w:val="22"/>
          <w:szCs w:val="22"/>
          <w:lang w:val="en-US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3.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hAnsi="StobiSerifPro" w:cs="Calibri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решението </w:t>
      </w:r>
      <w:r w:rsidRPr="003E0EF9">
        <w:rPr>
          <w:rFonts w:ascii="StobiSerifPro" w:hAnsi="StobiSerifPro" w:cs="Calibri"/>
          <w:i/>
          <w:sz w:val="20"/>
          <w:szCs w:val="20"/>
          <w:lang w:val="mk-MK"/>
        </w:rPr>
        <w:t>„не прави ништо“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 </w:t>
      </w:r>
    </w:p>
    <w:p w:rsidR="00E62DC4" w:rsidRPr="003E0EF9" w:rsidRDefault="00E62DC4" w:rsidP="00591C8C">
      <w:pPr>
        <w:tabs>
          <w:tab w:val="left" w:pos="675"/>
        </w:tabs>
        <w:spacing w:line="276" w:lineRule="auto"/>
        <w:rPr>
          <w:rFonts w:ascii="StobiSerifPro" w:hAnsi="StobiSerifPro" w:cs="Calibri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Опис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можните решенија (опции) за решавање на </w:t>
      </w:r>
      <w:r>
        <w:rPr>
          <w:rFonts w:ascii="StobiSerifPro" w:hAnsi="StobiSerifPro"/>
          <w:i/>
          <w:sz w:val="20"/>
          <w:szCs w:val="20"/>
          <w:lang w:val="mk-MK"/>
        </w:rPr>
        <w:t>проблемот</w:t>
      </w:r>
    </w:p>
    <w:p w:rsidR="00867875" w:rsidRDefault="000876B4" w:rsidP="00867875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0876B4">
        <w:rPr>
          <w:rFonts w:ascii="StobiSerif" w:hAnsi="StobiSerif"/>
          <w:sz w:val="22"/>
          <w:szCs w:val="22"/>
          <w:lang w:val="mk-MK"/>
        </w:rPr>
        <w:t>Пред поднесување на барање за поведување на прекршочна постапка за прекршоците предвидени со овој закон, постапка</w:t>
      </w:r>
      <w:r>
        <w:rPr>
          <w:rFonts w:ascii="StobiSerif" w:hAnsi="StobiSerif"/>
          <w:sz w:val="22"/>
          <w:szCs w:val="22"/>
          <w:lang w:val="mk-MK"/>
        </w:rPr>
        <w:t>та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за порамнување</w:t>
      </w:r>
      <w:r w:rsidR="00A872FC">
        <w:rPr>
          <w:rFonts w:ascii="StobiSerif" w:hAnsi="StobiSerif"/>
          <w:sz w:val="22"/>
          <w:szCs w:val="22"/>
          <w:lang w:val="mk-MK"/>
        </w:rPr>
        <w:t xml:space="preserve"> да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 xml:space="preserve">ја води Државниот санитарен и здравствен инспекторат </w:t>
      </w:r>
      <w:r w:rsidRPr="000876B4">
        <w:rPr>
          <w:rFonts w:ascii="StobiSerif" w:hAnsi="StobiSerif"/>
          <w:sz w:val="22"/>
          <w:szCs w:val="22"/>
          <w:lang w:val="mk-MK"/>
        </w:rPr>
        <w:t>согласно со Законот за прекршоци.</w:t>
      </w:r>
    </w:p>
    <w:p w:rsidR="00867875" w:rsidRDefault="00867875" w:rsidP="00867875">
      <w:pPr>
        <w:jc w:val="both"/>
        <w:rPr>
          <w:rStyle w:val="footnote"/>
          <w:rFonts w:ascii="StobiSerif" w:hAnsi="StobiSerif"/>
          <w:sz w:val="22"/>
          <w:szCs w:val="22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072558">
      <w:pPr>
        <w:numPr>
          <w:ilvl w:val="0"/>
          <w:numId w:val="6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6A5FBC" w:rsidRDefault="006A5FBC" w:rsidP="006A5FB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Можни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позитивни и негативни влијанија од секоја од опциите</w:t>
      </w:r>
      <w:r>
        <w:rPr>
          <w:rFonts w:ascii="StobiSerifPro" w:hAnsi="StobiSerifPro"/>
          <w:i/>
          <w:sz w:val="20"/>
          <w:szCs w:val="20"/>
          <w:lang w:val="mk-MK"/>
        </w:rPr>
        <w:t>: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Економски влијанија </w:t>
      </w:r>
    </w:p>
    <w:p w:rsidR="00E62DC4" w:rsidRPr="003E0EF9" w:rsidRDefault="00AA6B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Фискални влијанија </w:t>
      </w:r>
    </w:p>
    <w:p w:rsidR="00AA6B98" w:rsidRPr="005E7920" w:rsidRDefault="00E90F7F" w:rsidP="004D3798">
      <w:pPr>
        <w:ind w:left="720"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E90F7F">
        <w:rPr>
          <w:rFonts w:ascii="StobiSerifPro" w:hAnsi="StobiSerifPro"/>
          <w:i/>
          <w:sz w:val="22"/>
          <w:szCs w:val="22"/>
          <w:lang w:val="mk-MK"/>
        </w:rPr>
        <w:t>Не</w:t>
      </w:r>
      <w:r w:rsidR="00AA6B98" w:rsidRPr="00AA6B98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AA6B98" w:rsidRDefault="00AA6B98" w:rsidP="00AA6B98">
      <w:pPr>
        <w:ind w:left="720" w:firstLine="720"/>
        <w:jc w:val="both"/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Социјални влијанија </w:t>
      </w:r>
    </w:p>
    <w:p w:rsidR="00E62DC4" w:rsidRDefault="004D37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4.5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а) трошоци за спроведување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</w:t>
      </w:r>
    </w:p>
    <w:p w:rsidR="00E62DC4" w:rsidRPr="003E0EF9" w:rsidRDefault="00E62DC4" w:rsidP="00E62DC4">
      <w:pPr>
        <w:ind w:left="720" w:firstLine="720"/>
        <w:jc w:val="both"/>
        <w:rPr>
          <w:rFonts w:ascii="StobiSerifPro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lastRenderedPageBreak/>
        <w:t xml:space="preserve">б)трошоци за почитување на регулативата 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i/>
          <w:iCs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5.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E62DC4" w:rsidRPr="002661AB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З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асегнати страни </w:t>
      </w:r>
      <w:r>
        <w:rPr>
          <w:rFonts w:ascii="StobiSerifPro" w:hAnsi="StobiSerifPro"/>
          <w:i/>
          <w:sz w:val="20"/>
          <w:szCs w:val="20"/>
          <w:lang w:val="mk-MK"/>
        </w:rPr>
        <w:t>и начин на вклучување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реглед на добиените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и вградените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мислења 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ислења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та кои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не биле земени предвид и зошто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6.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С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поред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бен преглед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позитивните и негативните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влијанија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на можните решенија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(опции)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Р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изици во спроведувањето и примената на секое од можните решенија (опции)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30509E" w:rsidRDefault="00E62DC4" w:rsidP="0030509E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репорачано решение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со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образложение</w:t>
      </w:r>
    </w:p>
    <w:p w:rsidR="00E90F7F" w:rsidRDefault="00E90F7F" w:rsidP="00E90F7F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>С</w:t>
      </w:r>
      <w:r w:rsidR="0030509E" w:rsidRPr="001E2A17">
        <w:rPr>
          <w:rFonts w:ascii="StobiSerif" w:hAnsi="StobiSerif" w:cs="Arial"/>
          <w:sz w:val="22"/>
          <w:szCs w:val="22"/>
          <w:lang w:val="mk-MK"/>
        </w:rPr>
        <w:t>е предлага</w:t>
      </w:r>
      <w:r>
        <w:rPr>
          <w:rFonts w:ascii="StobiSerif" w:hAnsi="StobiSerif" w:cs="Arial"/>
          <w:sz w:val="22"/>
          <w:szCs w:val="22"/>
          <w:lang w:val="mk-MK"/>
        </w:rPr>
        <w:t>,</w:t>
      </w:r>
      <w:r w:rsidR="0030509E" w:rsidRPr="001E2A17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</w:t>
      </w:r>
      <w:r w:rsidRPr="000876B4">
        <w:rPr>
          <w:rFonts w:ascii="StobiSerif" w:hAnsi="StobiSerif"/>
          <w:sz w:val="22"/>
          <w:szCs w:val="22"/>
          <w:lang w:val="mk-MK"/>
        </w:rPr>
        <w:t>ред поднесување на барање за поведување на прекршочна постапка за прекршоците предвидени со овој закон, постапка</w:t>
      </w:r>
      <w:r>
        <w:rPr>
          <w:rFonts w:ascii="StobiSerif" w:hAnsi="StobiSerif"/>
          <w:sz w:val="22"/>
          <w:szCs w:val="22"/>
          <w:lang w:val="mk-MK"/>
        </w:rPr>
        <w:t>та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за порамнување </w:t>
      </w:r>
      <w:r>
        <w:rPr>
          <w:rFonts w:ascii="StobiSerif" w:hAnsi="StobiSerif"/>
          <w:sz w:val="22"/>
          <w:szCs w:val="22"/>
          <w:lang w:val="mk-MK"/>
        </w:rPr>
        <w:t xml:space="preserve">да </w:t>
      </w:r>
      <w:r w:rsidR="00A1594E">
        <w:rPr>
          <w:rFonts w:ascii="StobiSerif" w:hAnsi="StobiSerif"/>
          <w:sz w:val="22"/>
          <w:szCs w:val="22"/>
          <w:lang w:val="mk-MK"/>
        </w:rPr>
        <w:t xml:space="preserve">ја води </w:t>
      </w:r>
      <w:r>
        <w:rPr>
          <w:rFonts w:ascii="StobiSerif" w:hAnsi="StobiSerif"/>
          <w:sz w:val="22"/>
          <w:szCs w:val="22"/>
          <w:lang w:val="mk-MK"/>
        </w:rPr>
        <w:t xml:space="preserve">Државниот санитарен и здравствен инспекторат </w:t>
      </w:r>
      <w:r w:rsidRPr="000876B4">
        <w:rPr>
          <w:rFonts w:ascii="StobiSerif" w:hAnsi="StobiSerif"/>
          <w:sz w:val="22"/>
          <w:szCs w:val="22"/>
          <w:lang w:val="mk-MK"/>
        </w:rPr>
        <w:t>согласно со Законот за прекршоци.</w:t>
      </w:r>
    </w:p>
    <w:p w:rsidR="00E62DC4" w:rsidRDefault="00E62DC4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30509E" w:rsidRPr="003E0EF9" w:rsidRDefault="0030509E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7.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Потреба од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менување на закони и подзаконска регулатива во областа или други сродни области</w:t>
      </w:r>
    </w:p>
    <w:p w:rsidR="00E62DC4" w:rsidRPr="004D3798" w:rsidRDefault="004D3798" w:rsidP="00E62DC4">
      <w:pPr>
        <w:tabs>
          <w:tab w:val="left" w:pos="675"/>
        </w:tabs>
        <w:ind w:left="720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Потребни 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одзаконски акти и рок за нивно </w:t>
      </w:r>
      <w:r>
        <w:rPr>
          <w:rFonts w:ascii="StobiSerifPro" w:hAnsi="StobiSerifPro"/>
          <w:i/>
          <w:sz w:val="20"/>
          <w:szCs w:val="20"/>
          <w:lang w:val="mk-MK"/>
        </w:rPr>
        <w:t>донесување</w:t>
      </w:r>
    </w:p>
    <w:p w:rsidR="00E62DC4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О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ргани на државната управа, државни органи и други органи надлежни за спроведување</w:t>
      </w:r>
    </w:p>
    <w:p w:rsidR="00E62DC4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="00E90F7F">
        <w:rPr>
          <w:rFonts w:ascii="StobiSerifPro" w:hAnsi="StobiSerifPro"/>
          <w:sz w:val="20"/>
          <w:szCs w:val="20"/>
          <w:lang w:val="mk-MK"/>
        </w:rPr>
        <w:t>Државен санитарен и здравствен инспекторат</w:t>
      </w:r>
    </w:p>
    <w:p w:rsidR="004D3798" w:rsidRPr="004D3798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ктивности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обезбед</w:t>
      </w:r>
      <w:r>
        <w:rPr>
          <w:rFonts w:ascii="StobiSerifPro" w:hAnsi="StobiSerifPro"/>
          <w:i/>
          <w:sz w:val="20"/>
          <w:szCs w:val="20"/>
          <w:lang w:val="mk-MK"/>
        </w:rPr>
        <w:t>ување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ефикасно спроведување на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 на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закон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8.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Следење и евалуација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8.1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Начин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след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ење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спроведувањето 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8.2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Евалуација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ефектите од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на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закон и рокови </w:t>
      </w:r>
    </w:p>
    <w:p w:rsidR="003B3CC1" w:rsidRPr="003E0EF9" w:rsidRDefault="003B3CC1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31474" w:rsidRDefault="00531474" w:rsidP="007F181B">
      <w:pPr>
        <w:rPr>
          <w:rFonts w:ascii="StobiSerifPro" w:hAnsi="StobiSerifPro"/>
          <w:sz w:val="20"/>
          <w:szCs w:val="20"/>
          <w:lang w:val="mk-MK"/>
        </w:rPr>
      </w:pPr>
    </w:p>
    <w:p w:rsidR="00AF6305" w:rsidRPr="003E0EF9" w:rsidRDefault="00AF6305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70F32" w:rsidRPr="00D742F3" w:rsidRDefault="00170F32" w:rsidP="00072558">
      <w:pPr>
        <w:shd w:val="clear" w:color="auto" w:fill="CCFFFF"/>
        <w:spacing w:line="276" w:lineRule="auto"/>
        <w:jc w:val="center"/>
        <w:rPr>
          <w:rFonts w:ascii="StobiSerifPro" w:hAnsi="StobiSerifPro"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Изјава од државниот секретар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Нацрт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</w:t>
      </w:r>
    </w:p>
    <w:p w:rsidR="00455DB3" w:rsidRPr="00D742F3" w:rsidRDefault="00455DB3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8C3EB0">
        <w:rPr>
          <w:rFonts w:ascii="StobiSerifPro" w:hAnsi="StobiSerifPro"/>
          <w:b/>
          <w:sz w:val="18"/>
          <w:szCs w:val="18"/>
          <w:lang w:val="mk-MK"/>
        </w:rPr>
        <w:t>Датум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: </w:t>
      </w:r>
      <w:r w:rsidRPr="008C3EB0">
        <w:rPr>
          <w:rFonts w:ascii="StobiSerifPro" w:hAnsi="StobiSerifPro"/>
          <w:b/>
          <w:sz w:val="18"/>
          <w:szCs w:val="18"/>
          <w:lang w:val="mk-MK"/>
        </w:rPr>
        <w:t xml:space="preserve">_____________                                                                       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                      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..................................................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  <w:t xml:space="preserve">                                потпис на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државен секретар</w:t>
      </w: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7D072F" w:rsidRDefault="007D072F" w:rsidP="00E75594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sectPr w:rsidR="007D072F" w:rsidSect="006528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3BF" w:rsidRDefault="006673BF" w:rsidP="005D078B">
      <w:r>
        <w:separator/>
      </w:r>
    </w:p>
  </w:endnote>
  <w:endnote w:type="continuationSeparator" w:id="1">
    <w:p w:rsidR="006673BF" w:rsidRDefault="006673BF" w:rsidP="005D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C" w:rsidRDefault="00A01C70">
    <w:pPr>
      <w:pStyle w:val="Footer"/>
      <w:jc w:val="right"/>
    </w:pPr>
    <w:fldSimple w:instr=" PAGE   \* MERGEFORMAT ">
      <w:r w:rsidR="00A872FC">
        <w:rPr>
          <w:noProof/>
        </w:rPr>
        <w:t>2</w:t>
      </w:r>
    </w:fldSimple>
  </w:p>
  <w:p w:rsidR="001B51EC" w:rsidRDefault="001B5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3BF" w:rsidRDefault="006673BF" w:rsidP="005D078B">
      <w:r>
        <w:separator/>
      </w:r>
    </w:p>
  </w:footnote>
  <w:footnote w:type="continuationSeparator" w:id="1">
    <w:p w:rsidR="006673BF" w:rsidRDefault="006673BF" w:rsidP="005D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16"/>
    <w:rsid w:val="00015512"/>
    <w:rsid w:val="00016B1B"/>
    <w:rsid w:val="000352F4"/>
    <w:rsid w:val="000439E4"/>
    <w:rsid w:val="0005368C"/>
    <w:rsid w:val="00061B9B"/>
    <w:rsid w:val="000633D7"/>
    <w:rsid w:val="00067008"/>
    <w:rsid w:val="00072558"/>
    <w:rsid w:val="0007343E"/>
    <w:rsid w:val="00085B49"/>
    <w:rsid w:val="000876B4"/>
    <w:rsid w:val="000B198F"/>
    <w:rsid w:val="000D0C68"/>
    <w:rsid w:val="000D58B0"/>
    <w:rsid w:val="000E0336"/>
    <w:rsid w:val="00107852"/>
    <w:rsid w:val="00112224"/>
    <w:rsid w:val="00130A68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A2D55"/>
    <w:rsid w:val="001A4C39"/>
    <w:rsid w:val="001B0E2D"/>
    <w:rsid w:val="001B51EC"/>
    <w:rsid w:val="001C43C0"/>
    <w:rsid w:val="001D3748"/>
    <w:rsid w:val="001D3EC3"/>
    <w:rsid w:val="001E7452"/>
    <w:rsid w:val="002027AA"/>
    <w:rsid w:val="00207476"/>
    <w:rsid w:val="00212EDD"/>
    <w:rsid w:val="00221332"/>
    <w:rsid w:val="002272EB"/>
    <w:rsid w:val="00234966"/>
    <w:rsid w:val="00235145"/>
    <w:rsid w:val="00237A30"/>
    <w:rsid w:val="002419C8"/>
    <w:rsid w:val="00256462"/>
    <w:rsid w:val="00265FE8"/>
    <w:rsid w:val="002661AB"/>
    <w:rsid w:val="002711A7"/>
    <w:rsid w:val="00280DA2"/>
    <w:rsid w:val="00281E7C"/>
    <w:rsid w:val="00297CE3"/>
    <w:rsid w:val="002A7CB6"/>
    <w:rsid w:val="002A7ED0"/>
    <w:rsid w:val="002B41BC"/>
    <w:rsid w:val="002F32BE"/>
    <w:rsid w:val="0030509E"/>
    <w:rsid w:val="00322F07"/>
    <w:rsid w:val="0032408F"/>
    <w:rsid w:val="00331E38"/>
    <w:rsid w:val="003361B3"/>
    <w:rsid w:val="00360BAA"/>
    <w:rsid w:val="003702F3"/>
    <w:rsid w:val="003B3CC1"/>
    <w:rsid w:val="003B53E6"/>
    <w:rsid w:val="003C0C5D"/>
    <w:rsid w:val="003D5A8E"/>
    <w:rsid w:val="003E0EF9"/>
    <w:rsid w:val="003E1B7F"/>
    <w:rsid w:val="00417E88"/>
    <w:rsid w:val="0042602D"/>
    <w:rsid w:val="004461D8"/>
    <w:rsid w:val="00446535"/>
    <w:rsid w:val="004550B7"/>
    <w:rsid w:val="00455DB3"/>
    <w:rsid w:val="004628D6"/>
    <w:rsid w:val="0046334E"/>
    <w:rsid w:val="00465D8D"/>
    <w:rsid w:val="00482CD6"/>
    <w:rsid w:val="00484181"/>
    <w:rsid w:val="0049117A"/>
    <w:rsid w:val="0049749E"/>
    <w:rsid w:val="004A4C8B"/>
    <w:rsid w:val="004B09FF"/>
    <w:rsid w:val="004B79FB"/>
    <w:rsid w:val="004D2B8B"/>
    <w:rsid w:val="004D3798"/>
    <w:rsid w:val="004E063F"/>
    <w:rsid w:val="004E25C6"/>
    <w:rsid w:val="004F384F"/>
    <w:rsid w:val="00501DD6"/>
    <w:rsid w:val="00507ADB"/>
    <w:rsid w:val="00512FB8"/>
    <w:rsid w:val="00531474"/>
    <w:rsid w:val="00533977"/>
    <w:rsid w:val="005359CD"/>
    <w:rsid w:val="00553A01"/>
    <w:rsid w:val="00556B98"/>
    <w:rsid w:val="00566B4B"/>
    <w:rsid w:val="005918AE"/>
    <w:rsid w:val="00591C8C"/>
    <w:rsid w:val="005A2F24"/>
    <w:rsid w:val="005A7F54"/>
    <w:rsid w:val="005C0380"/>
    <w:rsid w:val="005D078B"/>
    <w:rsid w:val="005D0CB8"/>
    <w:rsid w:val="005F40B5"/>
    <w:rsid w:val="00602363"/>
    <w:rsid w:val="00605AC4"/>
    <w:rsid w:val="0062524F"/>
    <w:rsid w:val="00631C96"/>
    <w:rsid w:val="0063477A"/>
    <w:rsid w:val="00645F3E"/>
    <w:rsid w:val="006528BA"/>
    <w:rsid w:val="0066032B"/>
    <w:rsid w:val="0066488E"/>
    <w:rsid w:val="006673BF"/>
    <w:rsid w:val="00670EE1"/>
    <w:rsid w:val="0067554A"/>
    <w:rsid w:val="00692E09"/>
    <w:rsid w:val="006A1297"/>
    <w:rsid w:val="006A2250"/>
    <w:rsid w:val="006A5FBC"/>
    <w:rsid w:val="006C3F95"/>
    <w:rsid w:val="006C493E"/>
    <w:rsid w:val="006E7399"/>
    <w:rsid w:val="006F1327"/>
    <w:rsid w:val="006F3A1E"/>
    <w:rsid w:val="006F3F28"/>
    <w:rsid w:val="006F6A5D"/>
    <w:rsid w:val="00753914"/>
    <w:rsid w:val="00767BDE"/>
    <w:rsid w:val="00781C95"/>
    <w:rsid w:val="007B47AF"/>
    <w:rsid w:val="007D072F"/>
    <w:rsid w:val="007E1A92"/>
    <w:rsid w:val="007E6A7A"/>
    <w:rsid w:val="007F181B"/>
    <w:rsid w:val="007F6CEE"/>
    <w:rsid w:val="00801AA8"/>
    <w:rsid w:val="008063DE"/>
    <w:rsid w:val="0081643D"/>
    <w:rsid w:val="00836C90"/>
    <w:rsid w:val="008379C2"/>
    <w:rsid w:val="00855CE5"/>
    <w:rsid w:val="00867875"/>
    <w:rsid w:val="008740B8"/>
    <w:rsid w:val="0087764B"/>
    <w:rsid w:val="008808D7"/>
    <w:rsid w:val="00893725"/>
    <w:rsid w:val="00895372"/>
    <w:rsid w:val="008A6B92"/>
    <w:rsid w:val="008B0EC9"/>
    <w:rsid w:val="008C3EB0"/>
    <w:rsid w:val="008D4415"/>
    <w:rsid w:val="008E0654"/>
    <w:rsid w:val="008E1840"/>
    <w:rsid w:val="00902B99"/>
    <w:rsid w:val="009234AE"/>
    <w:rsid w:val="009318F9"/>
    <w:rsid w:val="009340C9"/>
    <w:rsid w:val="009369BE"/>
    <w:rsid w:val="00946798"/>
    <w:rsid w:val="0097159F"/>
    <w:rsid w:val="00973CBD"/>
    <w:rsid w:val="009828BF"/>
    <w:rsid w:val="00983FD7"/>
    <w:rsid w:val="00991E21"/>
    <w:rsid w:val="009C2EE5"/>
    <w:rsid w:val="009C3116"/>
    <w:rsid w:val="009C5DF0"/>
    <w:rsid w:val="009E0C3F"/>
    <w:rsid w:val="009E6967"/>
    <w:rsid w:val="009F562C"/>
    <w:rsid w:val="009F5772"/>
    <w:rsid w:val="00A01C70"/>
    <w:rsid w:val="00A07197"/>
    <w:rsid w:val="00A106B3"/>
    <w:rsid w:val="00A1594E"/>
    <w:rsid w:val="00A22142"/>
    <w:rsid w:val="00A4639C"/>
    <w:rsid w:val="00A5132C"/>
    <w:rsid w:val="00A872FC"/>
    <w:rsid w:val="00AA680B"/>
    <w:rsid w:val="00AA6B98"/>
    <w:rsid w:val="00AC0CDA"/>
    <w:rsid w:val="00AD3D6A"/>
    <w:rsid w:val="00AF02DD"/>
    <w:rsid w:val="00AF6305"/>
    <w:rsid w:val="00B020B6"/>
    <w:rsid w:val="00B03D61"/>
    <w:rsid w:val="00B22971"/>
    <w:rsid w:val="00B25FB1"/>
    <w:rsid w:val="00B262AC"/>
    <w:rsid w:val="00B413F0"/>
    <w:rsid w:val="00B53720"/>
    <w:rsid w:val="00B55C2C"/>
    <w:rsid w:val="00B62F42"/>
    <w:rsid w:val="00B73551"/>
    <w:rsid w:val="00B763E7"/>
    <w:rsid w:val="00B86F35"/>
    <w:rsid w:val="00BA0DB9"/>
    <w:rsid w:val="00BB13A3"/>
    <w:rsid w:val="00BB4C59"/>
    <w:rsid w:val="00BB78A8"/>
    <w:rsid w:val="00BE38D9"/>
    <w:rsid w:val="00BF15BB"/>
    <w:rsid w:val="00C07207"/>
    <w:rsid w:val="00C1070B"/>
    <w:rsid w:val="00C11672"/>
    <w:rsid w:val="00C53BBF"/>
    <w:rsid w:val="00C53E27"/>
    <w:rsid w:val="00C54C8F"/>
    <w:rsid w:val="00C60F2E"/>
    <w:rsid w:val="00C748FF"/>
    <w:rsid w:val="00C771C6"/>
    <w:rsid w:val="00C81A9A"/>
    <w:rsid w:val="00C8365E"/>
    <w:rsid w:val="00C95479"/>
    <w:rsid w:val="00C966BD"/>
    <w:rsid w:val="00CA0DB7"/>
    <w:rsid w:val="00CB1448"/>
    <w:rsid w:val="00CB16F6"/>
    <w:rsid w:val="00CC2D48"/>
    <w:rsid w:val="00CC338C"/>
    <w:rsid w:val="00CC42E3"/>
    <w:rsid w:val="00CF785A"/>
    <w:rsid w:val="00D03074"/>
    <w:rsid w:val="00D100CE"/>
    <w:rsid w:val="00D15540"/>
    <w:rsid w:val="00D17C07"/>
    <w:rsid w:val="00D22484"/>
    <w:rsid w:val="00D445B8"/>
    <w:rsid w:val="00D50A39"/>
    <w:rsid w:val="00D56D75"/>
    <w:rsid w:val="00D742F3"/>
    <w:rsid w:val="00D8668E"/>
    <w:rsid w:val="00D94BB8"/>
    <w:rsid w:val="00D960D8"/>
    <w:rsid w:val="00DA6A84"/>
    <w:rsid w:val="00DB50A6"/>
    <w:rsid w:val="00DC1A79"/>
    <w:rsid w:val="00DC2CEF"/>
    <w:rsid w:val="00DC4158"/>
    <w:rsid w:val="00DE49F3"/>
    <w:rsid w:val="00DE743D"/>
    <w:rsid w:val="00DF0B26"/>
    <w:rsid w:val="00DF57FE"/>
    <w:rsid w:val="00E04154"/>
    <w:rsid w:val="00E057E1"/>
    <w:rsid w:val="00E15938"/>
    <w:rsid w:val="00E17C31"/>
    <w:rsid w:val="00E301F2"/>
    <w:rsid w:val="00E3449F"/>
    <w:rsid w:val="00E45EAB"/>
    <w:rsid w:val="00E515F2"/>
    <w:rsid w:val="00E57F21"/>
    <w:rsid w:val="00E62DC4"/>
    <w:rsid w:val="00E63BBE"/>
    <w:rsid w:val="00E75594"/>
    <w:rsid w:val="00E82D9E"/>
    <w:rsid w:val="00E90F7F"/>
    <w:rsid w:val="00EA347C"/>
    <w:rsid w:val="00EB2768"/>
    <w:rsid w:val="00EB7E86"/>
    <w:rsid w:val="00EE12C3"/>
    <w:rsid w:val="00EF0488"/>
    <w:rsid w:val="00EF0734"/>
    <w:rsid w:val="00F008E3"/>
    <w:rsid w:val="00F06AA8"/>
    <w:rsid w:val="00F17080"/>
    <w:rsid w:val="00F17A07"/>
    <w:rsid w:val="00F26D0B"/>
    <w:rsid w:val="00F36119"/>
    <w:rsid w:val="00F561BC"/>
    <w:rsid w:val="00F57166"/>
    <w:rsid w:val="00F66307"/>
    <w:rsid w:val="00F71094"/>
    <w:rsid w:val="00F72070"/>
    <w:rsid w:val="00F744C4"/>
    <w:rsid w:val="00FB156D"/>
    <w:rsid w:val="00FC1B7E"/>
    <w:rsid w:val="00FE6594"/>
    <w:rsid w:val="00FF030B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B55C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49749E"/>
    <w:pPr>
      <w:spacing w:before="100" w:beforeAutospacing="1" w:after="100" w:afterAutospacing="1"/>
    </w:pPr>
    <w:rPr>
      <w:lang w:val="mk-MK" w:eastAsia="mk-MK"/>
    </w:rPr>
  </w:style>
  <w:style w:type="character" w:customStyle="1" w:styleId="footnote">
    <w:name w:val="footnote"/>
    <w:basedOn w:val="DefaultParagraphFont"/>
    <w:rsid w:val="00DE743D"/>
  </w:style>
  <w:style w:type="paragraph" w:customStyle="1" w:styleId="Char">
    <w:name w:val=" Char"/>
    <w:basedOn w:val="Normal"/>
    <w:rsid w:val="00B55C2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55C2C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РАБОТНА ВЕРЗИЈА</vt:lpstr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РАБОТНА ВЕРЗИЈА</dc:title>
  <dc:creator>Megi</dc:creator>
  <cp:lastModifiedBy>vale</cp:lastModifiedBy>
  <cp:revision>6</cp:revision>
  <cp:lastPrinted>2013-06-28T09:24:00Z</cp:lastPrinted>
  <dcterms:created xsi:type="dcterms:W3CDTF">2014-08-14T08:29:00Z</dcterms:created>
  <dcterms:modified xsi:type="dcterms:W3CDTF">2014-08-14T08:42:00Z</dcterms:modified>
</cp:coreProperties>
</file>