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23" w:rsidRPr="00A3036A" w:rsidRDefault="00E65223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E65223" w:rsidRPr="00A3036A" w:rsidRDefault="00E65223" w:rsidP="00A3036A">
      <w:pPr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6196"/>
      </w:tblGrid>
      <w:tr w:rsidR="00E65223" w:rsidRPr="00A3036A">
        <w:trPr>
          <w:trHeight w:val="396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196" w:type="dxa"/>
          </w:tcPr>
          <w:p w:rsidR="00E65223" w:rsidRPr="00A3036A" w:rsidRDefault="00E516CA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економија </w:t>
            </w:r>
          </w:p>
        </w:tc>
      </w:tr>
      <w:tr w:rsidR="00E65223" w:rsidRPr="00A3036A">
        <w:trPr>
          <w:trHeight w:val="531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196" w:type="dxa"/>
          </w:tcPr>
          <w:p w:rsidR="00E65223" w:rsidRPr="00A3036A" w:rsidRDefault="00E516CA" w:rsidP="005E59D0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Нацрт - Предлог Закон за изменување и дополнување на Законот за </w:t>
            </w:r>
            <w:r w:rsidR="005E59D0">
              <w:rPr>
                <w:rFonts w:ascii="StobiSerif Regular" w:hAnsi="StobiSerif Regular"/>
                <w:sz w:val="20"/>
                <w:szCs w:val="20"/>
                <w:lang w:val="mk-MK"/>
              </w:rPr>
              <w:t>стечај</w:t>
            </w:r>
          </w:p>
        </w:tc>
      </w:tr>
      <w:tr w:rsidR="00E65223" w:rsidRPr="00A3036A">
        <w:trPr>
          <w:trHeight w:val="622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:rsidR="00E65223" w:rsidRPr="00A3036A" w:rsidRDefault="005E59D0" w:rsidP="005E59D0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Томе Велковски</w:t>
            </w:r>
            <w:r w:rsidR="00E516CA"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,раководистел на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одделение за стечај</w:t>
            </w:r>
            <w:r w:rsidR="00E516CA"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</w:tr>
      <w:tr w:rsidR="00E65223" w:rsidRPr="00A3036A">
        <w:trPr>
          <w:trHeight w:val="407"/>
        </w:trPr>
        <w:tc>
          <w:tcPr>
            <w:tcW w:w="3105" w:type="dxa"/>
            <w:shd w:val="clear" w:color="auto" w:fill="auto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</w:t>
            </w:r>
          </w:p>
        </w:tc>
        <w:tc>
          <w:tcPr>
            <w:tcW w:w="6196" w:type="dxa"/>
            <w:shd w:val="clear" w:color="auto" w:fill="auto"/>
          </w:tcPr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</w:tc>
      </w:tr>
      <w:tr w:rsidR="00E65223" w:rsidRPr="00A3036A">
        <w:trPr>
          <w:trHeight w:val="886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196" w:type="dxa"/>
          </w:tcPr>
          <w:p w:rsidR="00E65223" w:rsidRPr="00A3036A" w:rsidRDefault="00E65223" w:rsidP="005E59D0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 xml:space="preserve">Заклучок на Владата на Република </w:t>
            </w:r>
            <w:r w:rsidR="00E516CA" w:rsidRPr="00A3036A">
              <w:rPr>
                <w:rFonts w:ascii="StobiSerif Regular" w:hAnsi="StobiSerif Regular"/>
                <w:sz w:val="20"/>
                <w:szCs w:val="20"/>
              </w:rPr>
              <w:t xml:space="preserve">- Согласно заклучокот по точката </w:t>
            </w:r>
            <w:r w:rsidR="005E59D0">
              <w:rPr>
                <w:rFonts w:ascii="StobiSerif Regular" w:hAnsi="StobiSerif Regular"/>
                <w:sz w:val="20"/>
                <w:szCs w:val="20"/>
              </w:rPr>
              <w:t>177</w:t>
            </w:r>
            <w:r w:rsidR="00E516CA" w:rsidRPr="00A3036A">
              <w:rPr>
                <w:rFonts w:ascii="StobiSerif Regular" w:hAnsi="StobiSerif Regular"/>
                <w:sz w:val="20"/>
                <w:szCs w:val="20"/>
              </w:rPr>
              <w:t xml:space="preserve"> од Сто седумдесет и </w:t>
            </w:r>
            <w:r w:rsidR="005E59D0">
              <w:rPr>
                <w:rFonts w:ascii="StobiSerif Regular" w:hAnsi="StobiSerif Regular"/>
                <w:sz w:val="20"/>
                <w:szCs w:val="20"/>
              </w:rPr>
              <w:t>седмата</w:t>
            </w:r>
            <w:r w:rsidR="00E516CA" w:rsidRPr="00A3036A">
              <w:rPr>
                <w:rFonts w:ascii="StobiSerif Regular" w:hAnsi="StobiSerif Regular"/>
                <w:sz w:val="20"/>
                <w:szCs w:val="20"/>
              </w:rPr>
              <w:t xml:space="preserve"> седница на Владата на Република Македони</w:t>
            </w:r>
            <w:r w:rsidR="00A3036A" w:rsidRPr="00A3036A">
              <w:rPr>
                <w:rFonts w:ascii="StobiSerif Regular" w:hAnsi="StobiSerif Regular"/>
                <w:sz w:val="20"/>
                <w:szCs w:val="20"/>
              </w:rPr>
              <w:t xml:space="preserve">ја одржана на </w:t>
            </w:r>
            <w:r w:rsidR="005E59D0">
              <w:rPr>
                <w:rFonts w:ascii="StobiSerif Regular" w:hAnsi="StobiSerif Regular"/>
                <w:sz w:val="20"/>
                <w:szCs w:val="20"/>
              </w:rPr>
              <w:t>24</w:t>
            </w:r>
            <w:r w:rsidR="00A3036A" w:rsidRPr="00A3036A">
              <w:rPr>
                <w:rFonts w:ascii="StobiSerif Regular" w:hAnsi="StobiSerif Regular"/>
                <w:sz w:val="20"/>
                <w:szCs w:val="20"/>
              </w:rPr>
              <w:t>.12.2013 година</w:t>
            </w:r>
          </w:p>
        </w:tc>
      </w:tr>
      <w:tr w:rsidR="00E65223" w:rsidRPr="00A3036A">
        <w:trPr>
          <w:trHeight w:val="634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:rsidR="00E65223" w:rsidRPr="00A3036A" w:rsidRDefault="005C3D76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>/</w:t>
            </w:r>
          </w:p>
        </w:tc>
      </w:tr>
      <w:tr w:rsidR="00E65223" w:rsidRPr="00A3036A">
        <w:trPr>
          <w:trHeight w:val="1685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E65223" w:rsidRPr="00A3036A">
        <w:trPr>
          <w:trHeight w:val="533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:rsidR="00E65223" w:rsidRPr="00A3036A" w:rsidRDefault="005E59D0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10</w:t>
            </w:r>
            <w:r w:rsidR="00E516CA"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.01 .2014 </w:t>
            </w:r>
          </w:p>
        </w:tc>
      </w:tr>
      <w:tr w:rsidR="00E65223" w:rsidRPr="00A3036A">
        <w:trPr>
          <w:trHeight w:val="691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65223" w:rsidRPr="00A3036A" w:rsidRDefault="00E516CA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/</w:t>
            </w:r>
          </w:p>
        </w:tc>
      </w:tr>
      <w:tr w:rsidR="00E65223" w:rsidRPr="00A3036A">
        <w:trPr>
          <w:trHeight w:val="622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65223" w:rsidRPr="00A3036A" w:rsidRDefault="00E516CA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/</w:t>
            </w:r>
          </w:p>
        </w:tc>
      </w:tr>
      <w:tr w:rsidR="00E65223" w:rsidRPr="00A3036A">
        <w:trPr>
          <w:trHeight w:val="951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196" w:type="dxa"/>
          </w:tcPr>
          <w:p w:rsidR="00E65223" w:rsidRPr="00A3036A" w:rsidRDefault="00E516CA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Првата половина на јануари 2014 година </w:t>
            </w:r>
          </w:p>
        </w:tc>
      </w:tr>
    </w:tbl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1.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E65223" w:rsidRPr="00A3036A" w:rsidRDefault="00E65223" w:rsidP="00A3036A">
      <w:pPr>
        <w:numPr>
          <w:ilvl w:val="1"/>
          <w:numId w:val="3"/>
        </w:numPr>
        <w:spacing w:before="120"/>
        <w:ind w:left="0" w:firstLine="0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состојбите </w:t>
      </w:r>
    </w:p>
    <w:p w:rsidR="00E516CA" w:rsidRPr="00A3036A" w:rsidRDefault="000D31FF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Со </w:t>
      </w:r>
      <w:r w:rsidR="00E516CA" w:rsidRPr="00A3036A">
        <w:rPr>
          <w:rFonts w:ascii="StobiSerif Regular" w:hAnsi="StobiSerif Regular"/>
          <w:sz w:val="20"/>
          <w:szCs w:val="20"/>
          <w:lang w:val="mk-MK"/>
        </w:rPr>
        <w:t>Предлог</w:t>
      </w:r>
      <w:r>
        <w:rPr>
          <w:rFonts w:ascii="StobiSerif Regular" w:hAnsi="StobiSerif Regular"/>
          <w:sz w:val="20"/>
          <w:szCs w:val="20"/>
          <w:lang w:val="mk-MK"/>
        </w:rPr>
        <w:t>от</w:t>
      </w:r>
      <w:r w:rsidR="00E516CA" w:rsidRPr="00A3036A">
        <w:rPr>
          <w:rFonts w:ascii="StobiSerif Regular" w:hAnsi="StobiSerif Regular"/>
          <w:sz w:val="20"/>
          <w:szCs w:val="20"/>
          <w:lang w:val="mk-MK"/>
        </w:rPr>
        <w:t xml:space="preserve"> на закон за </w:t>
      </w:r>
      <w:r w:rsidR="005E59D0">
        <w:rPr>
          <w:rFonts w:ascii="StobiSerif Regular" w:hAnsi="StobiSerif Regular"/>
          <w:sz w:val="20"/>
          <w:szCs w:val="20"/>
          <w:lang w:val="mk-MK"/>
        </w:rPr>
        <w:t xml:space="preserve">  </w:t>
      </w:r>
      <w:r w:rsidR="00E516CA" w:rsidRPr="00A3036A">
        <w:rPr>
          <w:rFonts w:ascii="StobiSerif Regular" w:hAnsi="StobiSerif Regular"/>
          <w:sz w:val="20"/>
          <w:szCs w:val="20"/>
          <w:lang w:val="mk-MK"/>
        </w:rPr>
        <w:t xml:space="preserve">изменување и дополнување на Законот за </w:t>
      </w:r>
      <w:r w:rsidR="005E59D0">
        <w:rPr>
          <w:rFonts w:ascii="StobiSerif Regular" w:hAnsi="StobiSerif Regular"/>
          <w:sz w:val="20"/>
          <w:szCs w:val="20"/>
          <w:lang w:val="mk-MK"/>
        </w:rPr>
        <w:t>стечај е направено дополнување на член 82 со додавање на нов став со што ке се овозможи евиденција на договори со соинвеститорство склучени пред отварање на стечајна постапка.</w:t>
      </w:r>
      <w:r w:rsidR="00E516CA" w:rsidRPr="00A3036A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E65223" w:rsidRPr="00A3036A" w:rsidRDefault="00E65223" w:rsidP="00A3036A">
      <w:pPr>
        <w:spacing w:before="1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1.2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E516CA" w:rsidRPr="00A3036A" w:rsidRDefault="005E59D0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lastRenderedPageBreak/>
        <w:t>Со донесување на законот за заклучување на стечајните постапки отворени согласно Законот за присилно порамнување, стечај и ликвидација и законот за стечај не се опфатени постапките што се отворени по 08.06.2013 и што ке бидат отворени во иднина.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 w:cs="Calibri"/>
          <w:sz w:val="20"/>
          <w:szCs w:val="20"/>
          <w:lang w:val="mk-MK"/>
        </w:rPr>
      </w:pPr>
    </w:p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D1432A" w:rsidRPr="00D1432A" w:rsidRDefault="00E65223" w:rsidP="00D1432A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1432A">
        <w:rPr>
          <w:rFonts w:ascii="StobiSerif Regular" w:hAnsi="StobiSerif Regular"/>
          <w:sz w:val="20"/>
          <w:szCs w:val="20"/>
          <w:lang w:val="mk-MK"/>
        </w:rPr>
        <w:tab/>
      </w:r>
      <w:r w:rsidR="00D1432A" w:rsidRPr="00D1432A">
        <w:rPr>
          <w:rFonts w:ascii="StobiSerif Regular" w:hAnsi="StobiSerif Regular"/>
          <w:sz w:val="20"/>
          <w:szCs w:val="20"/>
          <w:lang w:val="mk-MK"/>
        </w:rPr>
        <w:t xml:space="preserve">Да се  создадат услови за </w:t>
      </w:r>
      <w:r w:rsidR="005E59D0">
        <w:rPr>
          <w:rFonts w:ascii="StobiSerif Regular" w:hAnsi="StobiSerif Regular"/>
          <w:sz w:val="20"/>
          <w:szCs w:val="20"/>
          <w:lang w:val="mk-MK"/>
        </w:rPr>
        <w:t>евидентирање на неизградени објекти и продажба на правото  на градба.</w:t>
      </w:r>
    </w:p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3.1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решението </w:t>
      </w:r>
      <w:r w:rsidRPr="00A3036A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 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3.2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E65223" w:rsidRPr="00A3036A" w:rsidRDefault="005D3C3F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Функционирање на регистарот за воизла 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numPr>
          <w:ilvl w:val="0"/>
          <w:numId w:val="2"/>
        </w:numPr>
        <w:shd w:val="clear" w:color="auto" w:fill="CCFFFF"/>
        <w:tabs>
          <w:tab w:val="left" w:pos="675"/>
        </w:tabs>
        <w:spacing w:before="120"/>
        <w:ind w:left="0" w:firstLine="0"/>
        <w:rPr>
          <w:rFonts w:ascii="StobiSerif Regular" w:hAnsi="StobiSerif Regular"/>
          <w:b/>
          <w:sz w:val="20"/>
          <w:szCs w:val="20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Економски влијанија </w:t>
      </w:r>
    </w:p>
    <w:p w:rsidR="00E65223" w:rsidRPr="00A3036A" w:rsidRDefault="005E59D0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Зголемување на стечајната маса и зголемување на процентот на намирување на доверителите.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Фискални влијанија 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Социјални влијанија 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4.4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Влијанија врз животната средина 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4.5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Административни влијанија и трошоци – 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а) трошоци за спроведување </w:t>
      </w:r>
    </w:p>
    <w:p w:rsidR="00E65223" w:rsidRPr="00D1432A" w:rsidRDefault="00E65223" w:rsidP="00D1432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б)трошоци за почитување на регулативата</w:t>
      </w:r>
    </w:p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5.1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Засегнати страни и начин на вклучување</w:t>
      </w:r>
    </w:p>
    <w:p w:rsidR="005C3D76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5.2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Преглед на добиените и вградените мислења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5.3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Мислењата кои не биле земени предвид и зошто</w:t>
      </w:r>
    </w:p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6.1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6.2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 (опции)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6.3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Препорачано решение со образложение</w:t>
      </w:r>
    </w:p>
    <w:p w:rsidR="005C3D76" w:rsidRPr="00A3036A" w:rsidRDefault="005C3D76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Донесување на Предлог – законот за изменување и дополнување на Законот за </w:t>
      </w:r>
      <w:r w:rsidR="005E59D0">
        <w:rPr>
          <w:rFonts w:ascii="StobiSerif Regular" w:hAnsi="StobiSerif Regular"/>
          <w:sz w:val="20"/>
          <w:szCs w:val="20"/>
          <w:lang w:val="mk-MK"/>
        </w:rPr>
        <w:t>стечај.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lastRenderedPageBreak/>
        <w:t>7.1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Потребни подзаконски акти и рок за нивно донесување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Органи на државната управа, државни органи и други органи надлежни за спроведување</w:t>
      </w:r>
      <w:r w:rsidR="00C555F5" w:rsidRPr="00A3036A">
        <w:rPr>
          <w:rFonts w:ascii="StobiSerif Regular" w:hAnsi="StobiSerif Regular"/>
          <w:sz w:val="20"/>
          <w:szCs w:val="20"/>
          <w:lang w:val="mk-MK"/>
        </w:rPr>
        <w:t>,</w:t>
      </w:r>
    </w:p>
    <w:p w:rsidR="00C555F5" w:rsidRPr="00A3036A" w:rsidRDefault="00C555F5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7.4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Активности за обезбедување на ефикасно спроведување на предлогот на закон</w:t>
      </w:r>
      <w:r w:rsidR="00C555F5" w:rsidRPr="00A3036A">
        <w:rPr>
          <w:rFonts w:ascii="StobiSerif Regular" w:hAnsi="StobiSerif Regular"/>
          <w:sz w:val="20"/>
          <w:szCs w:val="20"/>
          <w:lang w:val="mk-MK"/>
        </w:rPr>
        <w:t>,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8.1 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E65223" w:rsidRPr="00A3036A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8.2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Евалуација на ефектите од предлогот на закон и рокови </w:t>
      </w:r>
    </w:p>
    <w:p w:rsidR="00E65223" w:rsidRPr="00A3036A" w:rsidRDefault="00E65223" w:rsidP="00A3036A">
      <w:pPr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hd w:val="clear" w:color="auto" w:fill="CCFFFF"/>
        <w:spacing w:before="120"/>
        <w:jc w:val="center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Изјава од државниот секретар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Нацрт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Датум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: </w:t>
      </w:r>
      <w:r w:rsidR="005500E8"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10.01.2014 година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</w:t>
      </w:r>
      <w:r w:rsidR="005500E8" w:rsidRPr="00A3036A">
        <w:rPr>
          <w:rFonts w:ascii="StobiSerif Regular" w:hAnsi="StobiSerif Regular"/>
          <w:b/>
          <w:sz w:val="20"/>
          <w:szCs w:val="20"/>
          <w:lang w:val="ru-RU"/>
        </w:rPr>
        <w:t>Анче Трифунов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                         потпис на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>државен секретар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E65223" w:rsidRDefault="00E65223" w:rsidP="00A3036A">
      <w:pPr>
        <w:spacing w:before="120"/>
        <w:rPr>
          <w:rFonts w:ascii="StobiSerif Regular" w:hAnsi="StobiSerif Regular"/>
          <w:sz w:val="20"/>
          <w:szCs w:val="20"/>
        </w:rPr>
      </w:pPr>
    </w:p>
    <w:p w:rsidR="00A3036A" w:rsidRDefault="00A3036A" w:rsidP="00A3036A">
      <w:pPr>
        <w:spacing w:before="120"/>
        <w:rPr>
          <w:rFonts w:ascii="StobiSerif Regular" w:hAnsi="StobiSerif Regular"/>
          <w:sz w:val="20"/>
          <w:szCs w:val="20"/>
        </w:rPr>
      </w:pPr>
    </w:p>
    <w:p w:rsidR="00A3036A" w:rsidRPr="00A3036A" w:rsidRDefault="00A3036A" w:rsidP="00A3036A">
      <w:pPr>
        <w:spacing w:before="120"/>
        <w:rPr>
          <w:rFonts w:ascii="StobiSerif Regular" w:hAnsi="StobiSerif Regular"/>
          <w:sz w:val="20"/>
          <w:szCs w:val="20"/>
        </w:rPr>
      </w:pP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Изјава од министерот</w:t>
      </w: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Датум:____________                                                                                                   ...........................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>................</w:t>
      </w: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right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потпис на министерот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E65223" w:rsidRPr="00A3036A" w:rsidRDefault="00E65223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A3036A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br w:type="page"/>
      </w:r>
      <w:r w:rsidR="00E65223" w:rsidRPr="00A3036A">
        <w:rPr>
          <w:rFonts w:ascii="StobiSerif Regular" w:hAnsi="StobiSerif Regular"/>
          <w:b/>
          <w:sz w:val="20"/>
          <w:szCs w:val="20"/>
          <w:lang w:val="mk-MK"/>
        </w:rPr>
        <w:lastRenderedPageBreak/>
        <w:t xml:space="preserve">Упатство за пополнување  на </w:t>
      </w:r>
    </w:p>
    <w:p w:rsidR="00E65223" w:rsidRPr="00A3036A" w:rsidRDefault="00E65223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E65223" w:rsidRPr="00A3036A" w:rsidRDefault="00E65223" w:rsidP="00A3036A">
      <w:pPr>
        <w:spacing w:before="120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E65223" w:rsidRPr="00A3036A" w:rsidRDefault="00E65223" w:rsidP="00A3036A">
      <w:pPr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6196"/>
      </w:tblGrid>
      <w:tr w:rsidR="00E65223" w:rsidRPr="00A3036A">
        <w:trPr>
          <w:trHeight w:val="622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Се внесува називот на министерството </w:t>
            </w:r>
            <w:r w:rsidRPr="00A3036A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 xml:space="preserve"> </w:t>
            </w:r>
          </w:p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</w:p>
        </w:tc>
      </w:tr>
      <w:tr w:rsidR="00E65223" w:rsidRPr="00A3036A">
        <w:trPr>
          <w:trHeight w:val="622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Се внесува називот на предлогот на закон </w:t>
            </w:r>
          </w:p>
        </w:tc>
      </w:tr>
      <w:tr w:rsidR="00E65223" w:rsidRPr="00A3036A">
        <w:trPr>
          <w:trHeight w:val="622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Се внесуваат името и презимето и информациите за контакт на раководителот на секторот односно претседателот на работната група задолжен за спроведување на ПВР за</w:t>
            </w:r>
            <w:r w:rsidRPr="00A3036A" w:rsidDel="00FB156D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конкретниот предлог на закон </w:t>
            </w:r>
          </w:p>
        </w:tc>
      </w:tr>
      <w:tr w:rsidR="00E65223" w:rsidRPr="00A3036A">
        <w:trPr>
          <w:trHeight w:val="939"/>
        </w:trPr>
        <w:tc>
          <w:tcPr>
            <w:tcW w:w="3105" w:type="dxa"/>
            <w:shd w:val="clear" w:color="auto" w:fill="auto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</w:t>
            </w:r>
          </w:p>
        </w:tc>
        <w:tc>
          <w:tcPr>
            <w:tcW w:w="6196" w:type="dxa"/>
            <w:shd w:val="clear" w:color="auto" w:fill="auto"/>
          </w:tcPr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E65223" w:rsidRPr="00A3036A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A3036A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Pr="00A3036A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0"/>
            <w:r w:rsidR="00E65223" w:rsidRPr="00A3036A">
              <w:rPr>
                <w:rFonts w:ascii="StobiSerif Regular" w:hAnsi="StobiSerif Regular"/>
                <w:b/>
                <w:sz w:val="20"/>
                <w:szCs w:val="20"/>
              </w:rPr>
              <w:t>Нацрт</w:t>
            </w:r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 xml:space="preserve"> –</w:t>
            </w:r>
            <w:r w:rsidR="00E65223" w:rsidRPr="00A3036A" w:rsidDel="00FB156D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>Се обележува “нацрт“ кога надлежното министерство го доставува нацрт извештајот за ПВР до Министерството за информатичко општество и администрација за мислење. Нацрт Извештајот го потпишува државниот секретар на министерството.</w:t>
            </w: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65223"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="00E65223"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en-US"/>
              </w:rPr>
              <w:instrText>FORMCHECKBOX</w:instrText>
            </w:r>
            <w:r w:rsidR="00E65223"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en-US"/>
              </w:rPr>
            </w:r>
            <w:r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en-US"/>
              </w:rPr>
              <w:fldChar w:fldCharType="end"/>
            </w:r>
            <w:bookmarkEnd w:id="1"/>
            <w:r w:rsidR="00E65223" w:rsidRPr="00A3036A">
              <w:rPr>
                <w:rFonts w:ascii="StobiSerif Regular" w:hAnsi="StobiSerif Regular"/>
                <w:b/>
                <w:sz w:val="20"/>
                <w:szCs w:val="20"/>
                <w:u w:val="single"/>
              </w:rPr>
              <w:t>Предлог</w:t>
            </w:r>
            <w:r w:rsidR="00E65223" w:rsidRPr="00A3036A">
              <w:rPr>
                <w:rFonts w:ascii="StobiSerif Regular" w:hAnsi="StobiSerif Regular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 xml:space="preserve">– се обележува “предлог“ кога надлежното министерство го доставува предлог Извештајот до Генералниот секретаријат на Владата на Република Македонија. Предлог Извештајот го потпишува министерот. </w:t>
            </w: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65223" w:rsidRPr="00A3036A">
        <w:trPr>
          <w:trHeight w:val="1243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законпроизлегува од: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 xml:space="preserve">Се обележува избраниот одговор </w:t>
            </w: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Pr="00A3036A">
              <w:rPr>
                <w:rFonts w:ascii="StobiSerif Regular" w:hAnsi="StobiSerif Regular"/>
                <w:sz w:val="20"/>
                <w:szCs w:val="20"/>
              </w:rPr>
            </w: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2"/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 xml:space="preserve">Годишната програма за работа на Владата на  </w:t>
            </w: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 xml:space="preserve">       Република Македонија</w:t>
            </w: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Pr="00A3036A">
              <w:rPr>
                <w:rFonts w:ascii="StobiSerif Regular" w:hAnsi="StobiSerif Regular"/>
                <w:sz w:val="20"/>
                <w:szCs w:val="20"/>
              </w:rPr>
            </w: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3"/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>НПАА</w:t>
            </w: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Pr="00A3036A">
              <w:rPr>
                <w:rFonts w:ascii="StobiSerif Regular" w:hAnsi="StobiSerif Regular"/>
                <w:sz w:val="20"/>
                <w:szCs w:val="20"/>
              </w:rPr>
            </w: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4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>Заклучок на Владата на Република Македонија</w:t>
            </w: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Pr="00A3036A">
              <w:rPr>
                <w:rFonts w:ascii="StobiSerif Regular" w:hAnsi="StobiSerif Regular"/>
                <w:sz w:val="20"/>
                <w:szCs w:val="20"/>
              </w:rPr>
            </w: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5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>Друго ________</w:t>
            </w: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E65223" w:rsidRPr="00A3036A">
        <w:trPr>
          <w:trHeight w:val="634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>Доколку погоре е обележан одговорот НПАА, се наведува конкретната Директива/и со која се врши усогласувањето</w:t>
            </w:r>
          </w:p>
        </w:tc>
      </w:tr>
      <w:tr w:rsidR="00E65223" w:rsidRPr="00A3036A">
        <w:trPr>
          <w:trHeight w:val="1419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нацрт извештајот содржи информации согласно приписите кои се однесуваат на класифицираните информации 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t xml:space="preserve">Се обележува избраниот одговор </w:t>
            </w:r>
          </w:p>
          <w:p w:rsidR="00E65223" w:rsidRPr="00A3036A" w:rsidRDefault="00E65223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Pr="00A3036A">
              <w:rPr>
                <w:rFonts w:ascii="StobiSerif Regular" w:hAnsi="StobiSerif Regular"/>
                <w:sz w:val="20"/>
                <w:szCs w:val="20"/>
              </w:rPr>
            </w:r>
            <w:r w:rsidRPr="00A3036A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6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>Да</w:t>
            </w:r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</w:p>
          <w:p w:rsidR="00E65223" w:rsidRPr="00A3036A" w:rsidRDefault="003D726D" w:rsidP="00A3036A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E65223" w:rsidRPr="00A3036A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A3036A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Pr="00A3036A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="00E65223" w:rsidRPr="00A3036A">
              <w:rPr>
                <w:rFonts w:ascii="StobiSerif Regular" w:hAnsi="StobiSerif Regular"/>
                <w:sz w:val="20"/>
                <w:szCs w:val="20"/>
              </w:rPr>
              <w:t>Не</w:t>
            </w:r>
            <w:r w:rsidR="00E65223"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 </w:t>
            </w:r>
          </w:p>
        </w:tc>
      </w:tr>
      <w:tr w:rsidR="00E65223" w:rsidRPr="00A3036A">
        <w:trPr>
          <w:trHeight w:val="939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Се наведува датумот на објавување на нацрт Извештајот на ЕНЕР</w:t>
            </w:r>
          </w:p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</w:tr>
      <w:tr w:rsidR="00E65223" w:rsidRPr="00A3036A">
        <w:trPr>
          <w:trHeight w:val="691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Датум на доставување на нацрт Извештајот до </w:t>
            </w:r>
            <w:r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Се наведува датумот на доставување на нацрт Извештајот до </w:t>
            </w:r>
            <w:r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</w:p>
        </w:tc>
      </w:tr>
      <w:tr w:rsidR="00E65223" w:rsidRPr="00A3036A">
        <w:trPr>
          <w:trHeight w:val="622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Се наведува датумот на добивање на мислењето од  </w:t>
            </w:r>
            <w:r w:rsidRPr="00A3036A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</w:p>
        </w:tc>
      </w:tr>
      <w:tr w:rsidR="00E65223" w:rsidRPr="00A3036A">
        <w:trPr>
          <w:trHeight w:val="951"/>
        </w:trPr>
        <w:tc>
          <w:tcPr>
            <w:tcW w:w="3105" w:type="dxa"/>
          </w:tcPr>
          <w:p w:rsidR="00E65223" w:rsidRPr="00A3036A" w:rsidRDefault="00E65223" w:rsidP="00A3036A">
            <w:pPr>
              <w:spacing w:before="120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196" w:type="dxa"/>
          </w:tcPr>
          <w:p w:rsidR="00E65223" w:rsidRPr="00A3036A" w:rsidRDefault="00E65223" w:rsidP="00A3036A">
            <w:pPr>
              <w:spacing w:before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A3036A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Се наведува датумот/рокот на доставување на предлогот на закон до Генералниот секретаријат  </w:t>
            </w:r>
          </w:p>
        </w:tc>
      </w:tr>
    </w:tbl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1.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E65223" w:rsidRPr="00A3036A" w:rsidRDefault="00E65223" w:rsidP="00A3036A">
      <w:pPr>
        <w:pStyle w:val="BodyText3"/>
        <w:tabs>
          <w:tab w:val="left" w:pos="675"/>
        </w:tabs>
        <w:spacing w:before="120"/>
        <w:jc w:val="left"/>
        <w:rPr>
          <w:rFonts w:ascii="StobiSerif Regular" w:hAnsi="StobiSerif Regular"/>
          <w:b/>
          <w:sz w:val="20"/>
          <w:szCs w:val="20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1.1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состојбите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 w:cs="Calibri"/>
          <w:sz w:val="20"/>
          <w:szCs w:val="20"/>
          <w:lang w:val="ru-RU"/>
        </w:rPr>
      </w:pPr>
      <w:r w:rsidRPr="00A3036A">
        <w:rPr>
          <w:rFonts w:ascii="StobiSerif Regular" w:eastAsia="Calibri" w:hAnsi="StobiSerif Regular" w:cs="Calibri"/>
          <w:sz w:val="20"/>
          <w:szCs w:val="20"/>
          <w:lang w:val="ru-RU"/>
        </w:rPr>
        <w:t>(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Се дава опис на состојбите во областа вклучувајќи ја и важечката регулатива во областа </w:t>
      </w:r>
      <w:r w:rsidRPr="00A3036A">
        <w:rPr>
          <w:rFonts w:ascii="StobiSerif Regular" w:hAnsi="StobiSerif Regular" w:cs="Calibri"/>
          <w:sz w:val="20"/>
          <w:szCs w:val="20"/>
          <w:lang w:val="mk-MK"/>
        </w:rPr>
        <w:t>или други поврзани области, како и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други програми/проекти</w:t>
      </w:r>
      <w:r w:rsidRPr="00A3036A">
        <w:rPr>
          <w:rFonts w:ascii="StobiSerif Regular" w:hAnsi="StobiSerif Regular" w:cs="Calibri"/>
          <w:sz w:val="20"/>
          <w:szCs w:val="20"/>
          <w:lang w:val="mk-MK"/>
        </w:rPr>
        <w:t xml:space="preserve"> на Владата на Република Македонија  кои се спроведуваат</w:t>
      </w:r>
      <w:r w:rsidRPr="00A3036A">
        <w:rPr>
          <w:rFonts w:ascii="StobiSerif Regular" w:hAnsi="StobiSerif Regular" w:cs="Calibri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1.2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E65223" w:rsidRPr="00A3036A" w:rsidRDefault="00E65223" w:rsidP="00A3036A">
      <w:pPr>
        <w:spacing w:before="120"/>
        <w:jc w:val="both"/>
        <w:rPr>
          <w:rFonts w:ascii="StobiSerif Regular" w:eastAsia="Calibri" w:hAnsi="StobiSerif Regular" w:cs="Calibri"/>
          <w:sz w:val="20"/>
          <w:szCs w:val="20"/>
          <w:lang w:val="ru-RU"/>
        </w:rPr>
      </w:pPr>
      <w:r w:rsidRPr="00A3036A">
        <w:rPr>
          <w:rFonts w:ascii="StobiSerif Regular" w:eastAsia="Calibri" w:hAnsi="StobiSerif Regular" w:cs="Calibri"/>
          <w:sz w:val="20"/>
          <w:szCs w:val="20"/>
          <w:lang w:val="ru-RU"/>
        </w:rPr>
        <w:t>(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>Се објаснуваат причините за проблемите кои се предмет на разгледување (не само симптомите)</w:t>
      </w:r>
      <w:r w:rsidRPr="00A3036A">
        <w:rPr>
          <w:rFonts w:ascii="StobiSerif Regular" w:eastAsia="Calibri" w:hAnsi="StobiSerif Regular" w:cs="Calibri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 w:cs="Calibri"/>
          <w:b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наведуваат очекуваните/посакуваните цели и ефекти кои предлог регулативата треба да ги постигне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 w:cs="Calibri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3.1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решението </w:t>
      </w:r>
      <w:r w:rsidRPr="00A3036A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 </w:t>
      </w:r>
    </w:p>
    <w:p w:rsidR="00E65223" w:rsidRPr="00A3036A" w:rsidRDefault="00E65223" w:rsidP="00A3036A">
      <w:pPr>
        <w:spacing w:before="120"/>
        <w:jc w:val="both"/>
        <w:rPr>
          <w:rFonts w:ascii="StobiSerif Regular" w:eastAsia="Calibri" w:hAnsi="StobiSerif Regular" w:cs="Calibri"/>
          <w:sz w:val="20"/>
          <w:szCs w:val="20"/>
          <w:lang w:val="ru-RU"/>
        </w:rPr>
      </w:pPr>
      <w:r w:rsidRPr="00A3036A">
        <w:rPr>
          <w:rFonts w:ascii="StobiSerif Regular" w:eastAsia="Calibri" w:hAnsi="StobiSerif Regular" w:cs="Calibri"/>
          <w:sz w:val="20"/>
          <w:szCs w:val="20"/>
          <w:lang w:val="ru-RU"/>
        </w:rPr>
        <w:t>(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Се објаснува состојбата </w:t>
      </w:r>
      <w:r w:rsidRPr="00A3036A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, односно се дава опис </w:t>
      </w:r>
      <w:r w:rsidRPr="00A3036A">
        <w:rPr>
          <w:rFonts w:ascii="StobiSerif Regular" w:hAnsi="StobiSerif Regular" w:cs="Calibri"/>
          <w:sz w:val="20"/>
          <w:szCs w:val="20"/>
          <w:lang w:val="mk-MK"/>
        </w:rPr>
        <w:t>на последиците</w:t>
      </w:r>
      <w:r w:rsidRPr="00A3036A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доколку Владата на Република Македонија не интервенира со предлогот на закон или друга мерка</w:t>
      </w:r>
      <w:r w:rsidRPr="00A3036A">
        <w:rPr>
          <w:rFonts w:ascii="StobiSerif Regular" w:eastAsia="Calibri" w:hAnsi="StobiSerif Regular" w:cs="Calibri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 w:cs="Calibri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3.2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наведуваат можните решенија (опции) за решавање на проблемот кои биле разгледувани во текот на процесот на ПВР. Притоа, се наведува содржината на опциите и начинот на спроведување на можните решенија, односно преку усвојување на нов закон, изменување и дополнување на закон (регулаторни мерки); спроведување на обуки, кампањи и слични активности (нерегулаторни мерки) или комбинација на мерки (регулаторни и нерегулаторни)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  <w:r w:rsidRPr="00A3036A">
        <w:rPr>
          <w:rFonts w:ascii="StobiSerif Regular" w:hAnsi="StobiSerif Regular"/>
          <w:sz w:val="20"/>
          <w:szCs w:val="20"/>
          <w:lang w:val="mk-MK"/>
        </w:rPr>
        <w:t>.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Проценка на влијанијата на регулативата</w:t>
      </w:r>
    </w:p>
    <w:p w:rsidR="00E65223" w:rsidRPr="00A3036A" w:rsidRDefault="00E65223" w:rsidP="00A3036A">
      <w:pPr>
        <w:pStyle w:val="BodyText3"/>
        <w:tabs>
          <w:tab w:val="left" w:pos="675"/>
        </w:tabs>
        <w:spacing w:before="120"/>
        <w:jc w:val="left"/>
        <w:rPr>
          <w:rFonts w:ascii="StobiSerif Regular" w:hAnsi="StobiSerif Regular"/>
          <w:b/>
          <w:sz w:val="20"/>
          <w:szCs w:val="20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Се дава детален опис на  позитивните и негативните влијанија кои можат да произлезат од секоја од опциите и тоа за: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Економски влијанија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 xml:space="preserve">(Се опишуваат </w:t>
      </w:r>
      <w:r w:rsidRPr="00A3036A">
        <w:rPr>
          <w:rFonts w:ascii="StobiSerif Regular" w:hAnsi="StobiSerif Regular"/>
          <w:sz w:val="20"/>
          <w:szCs w:val="20"/>
          <w:lang w:val="mk-MK"/>
        </w:rPr>
        <w:t>придобивките и трошоците за економијата во областа, вработувањето и конкурентноста. Особено треба да се опишат влијанијата за малите и средните претпријатија, економските субјекти, потрошувачите, домаќинствата и др.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Фискални влијанија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 xml:space="preserve">(Се опишуваат </w:t>
      </w:r>
      <w:r w:rsidRPr="00A3036A">
        <w:rPr>
          <w:rFonts w:ascii="StobiSerif Regular" w:hAnsi="StobiSerif Regular"/>
          <w:sz w:val="20"/>
          <w:szCs w:val="20"/>
          <w:lang w:val="mk-MK"/>
        </w:rPr>
        <w:t xml:space="preserve">трошоците и добивката за буџетот, преглед на иницијалните и проектираните трошоци, како и информација за тоа дали се обезбедени средства во буџетот (се дава резиме од Образецот за фискалните влијанија) 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 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Социјални влијанија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опишуваат влијанијата врз намалување на сиромаштијата, заштита и унапредување на здравјето, заштита и унапредување на човековите права и родовата еднаквост, заштита на ранливите групи и обесправените и др.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4.4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Влијанија врз животната средина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опишуваат влијанијата врз квалитетот на воздухот, водата, почвата, ефект на стаклена градина, бучава, био-диверзитет и др. Се дава опис како влијанијата врз животната средина ќе влијаат директно или индиректно врз здравјето на луѓето.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  <w:r w:rsidRPr="00A3036A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4.5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Административни влијанија и трошоци –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а) трошоци за спроведување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 xml:space="preserve">Се наведуваат трошоците за спроведување на предлогот на закон  – формирање на нови институции/органи или проширување на надлежности и организација на постојни органи, </w:t>
      </w:r>
      <w:r w:rsidRPr="00A3036A">
        <w:rPr>
          <w:rFonts w:ascii="StobiSerif Regular" w:hAnsi="StobiSerif Regular"/>
          <w:sz w:val="20"/>
          <w:szCs w:val="20"/>
          <w:lang w:val="mk-MK"/>
        </w:rPr>
        <w:lastRenderedPageBreak/>
        <w:t>потребни човечки ресурси и нивна обука, инвестиции (канцелариски простор), потребен надзор, опрема и др.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б) трошоци за почитување на регулативата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 w:cs="Calibri"/>
          <w:iCs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 xml:space="preserve">Се наведуваат трошоците за почитување на регулативата - </w:t>
      </w:r>
      <w:r w:rsidRPr="00A3036A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воведување на нови </w:t>
      </w:r>
      <w:r w:rsidRPr="00A3036A">
        <w:rPr>
          <w:rFonts w:ascii="StobiSerif Regular" w:hAnsi="StobiSerif Regular" w:cs="Calibri"/>
          <w:iCs/>
          <w:sz w:val="20"/>
          <w:szCs w:val="20"/>
          <w:lang w:val="mk-MK"/>
        </w:rPr>
        <w:t xml:space="preserve">административни оптоварувања, </w:t>
      </w:r>
      <w:r w:rsidRPr="00A3036A">
        <w:rPr>
          <w:rFonts w:ascii="StobiSerif Regular" w:eastAsia="Calibri" w:hAnsi="StobiSerif Regular" w:cs="Calibri"/>
          <w:iCs/>
          <w:sz w:val="20"/>
          <w:szCs w:val="20"/>
          <w:lang w:val="mk-MK"/>
        </w:rPr>
        <w:t>формалности</w:t>
      </w:r>
      <w:r w:rsidRPr="00A3036A">
        <w:rPr>
          <w:rFonts w:ascii="StobiSerif Regular" w:hAnsi="StobiSerif Regular" w:cs="Calibri"/>
          <w:iCs/>
          <w:sz w:val="20"/>
          <w:szCs w:val="20"/>
          <w:lang w:val="mk-MK"/>
        </w:rPr>
        <w:t xml:space="preserve"> и </w:t>
      </w:r>
      <w:r w:rsidRPr="00A3036A">
        <w:rPr>
          <w:rFonts w:ascii="StobiSerif Regular" w:eastAsia="Calibri" w:hAnsi="StobiSerif Regular" w:cs="Calibri"/>
          <w:iCs/>
          <w:sz w:val="20"/>
          <w:szCs w:val="20"/>
          <w:lang w:val="mk-MK"/>
        </w:rPr>
        <w:t>трошоци (лиценци, дозволи, информации, стандарди) за правните и/или физичките лица</w:t>
      </w:r>
      <w:r w:rsidRPr="00A3036A">
        <w:rPr>
          <w:rFonts w:ascii="StobiSerif Regular" w:hAnsi="StobiSerif Regular" w:cs="Calibri"/>
          <w:iCs/>
          <w:sz w:val="20"/>
          <w:szCs w:val="20"/>
          <w:lang w:val="mk-MK"/>
        </w:rPr>
        <w:t xml:space="preserve"> и како тоа ќе се одрази врз конкурентноста</w:t>
      </w:r>
      <w:r w:rsidRPr="00A3036A">
        <w:rPr>
          <w:rFonts w:ascii="StobiSerif Regular" w:hAnsi="StobiSerif Regular" w:cs="Calibri"/>
          <w:iCs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5.1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Засегнати страни и начин на вклучување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наведуваат засегнатите страни кои биле консултирани во текот на процесот и начините на нивно консултирање/вклучување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5.2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дава преглед на добиените мислења со акцент на оние прашања кои предизвикале особен интерес или загриженост кај засегнатите страни. Наведете кои мислења биле земени предвид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5.3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Мислењата кои не биле земени предвид и зошто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наведуваат мислењата кои не биле земени предвид и со образложение за причините за тоа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b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6.1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дава споредбен опис на позитивните и негативните страни или влијанија на можните решенија (опции)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6.2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 (опции)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опишуваат ризиците во спроведувањето и примената на секое од можните решенија (опции)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6.3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Препорачано решение со образложение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опишува препорачаното решение со образложение зошто се препорачува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  <w:r w:rsidRPr="00A3036A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E65223" w:rsidRPr="00A3036A" w:rsidRDefault="00E65223" w:rsidP="00A3036A">
      <w:pPr>
        <w:pStyle w:val="BodyText3"/>
        <w:tabs>
          <w:tab w:val="left" w:pos="675"/>
        </w:tabs>
        <w:spacing w:before="120"/>
        <w:jc w:val="left"/>
        <w:rPr>
          <w:rFonts w:ascii="StobiSerif Regular" w:hAnsi="StobiSerif Regular"/>
          <w:b/>
          <w:sz w:val="20"/>
          <w:szCs w:val="20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7.1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Потреба од менување на закони и подзаконска регулатива во областа или други сродни области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 дали препорачаното решение ќе предизвика потреба од менување на закони и подзаконска регулатива во областа или други сродни области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Потребни подзаконски акти и рок за нивно донесување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 дали и кои подзаконски акти треба да се донесат и предложениот рок за нивно донесување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7.3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>Органи на државната управа, државни органи и други органи надлежни за спроведување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наведуваат органите на државната управа, државни органи и други органи кои ќе бидат надлежни за спроведувањето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7.4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Активности за обезбедување на ефикасно спроведување на предлогот на закон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наведуваат активностите (нерегулаторни мерки) кои ќе бидат преземени со цел обезбедување на ефикасно спроведување на предлогот на закон (обуки, советувања, кампањи и сл.)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E65223" w:rsidRPr="00A3036A" w:rsidRDefault="00E65223" w:rsidP="00A3036A">
      <w:pPr>
        <w:pStyle w:val="BodyText3"/>
        <w:tabs>
          <w:tab w:val="left" w:pos="675"/>
        </w:tabs>
        <w:spacing w:before="120"/>
        <w:jc w:val="left"/>
        <w:rPr>
          <w:rFonts w:ascii="StobiSerif Regular" w:hAnsi="StobiSerif Regular"/>
          <w:b/>
          <w:sz w:val="20"/>
          <w:szCs w:val="20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 xml:space="preserve">8.1 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опишува накратко како ќе се следи спроведувањето и постигнувањето на ефектите од регулативата и кои органи на државната управа ќе бидат вклучени во процесот на следење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sz w:val="20"/>
          <w:szCs w:val="20"/>
          <w:lang w:val="mk-MK"/>
        </w:rPr>
        <w:t>8.2</w:t>
      </w:r>
      <w:r w:rsidRPr="00A3036A">
        <w:rPr>
          <w:rFonts w:ascii="StobiSerif Regular" w:hAnsi="StobiSerif Regular"/>
          <w:sz w:val="20"/>
          <w:szCs w:val="20"/>
          <w:lang w:val="mk-MK"/>
        </w:rPr>
        <w:tab/>
        <w:t xml:space="preserve">Евалуација на ефектите од предлогот на  закон и рокови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</w:t>
      </w:r>
      <w:r w:rsidRPr="00A3036A">
        <w:rPr>
          <w:rFonts w:ascii="StobiSerif Regular" w:hAnsi="StobiSerif Regular"/>
          <w:sz w:val="20"/>
          <w:szCs w:val="20"/>
          <w:lang w:val="mk-MK"/>
        </w:rPr>
        <w:t>Се опишува накратко како ќе се врши евалуација на ефектите од регулативата и на кој временски период</w:t>
      </w:r>
      <w:r w:rsidRPr="00A3036A">
        <w:rPr>
          <w:rFonts w:ascii="StobiSerif Regular" w:hAnsi="StobiSerif Regular"/>
          <w:sz w:val="20"/>
          <w:szCs w:val="20"/>
          <w:lang w:val="ru-RU"/>
        </w:rPr>
        <w:t>)</w:t>
      </w:r>
    </w:p>
    <w:p w:rsidR="00E65223" w:rsidRPr="00A3036A" w:rsidRDefault="00E65223" w:rsidP="00A3036A">
      <w:pPr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hd w:val="clear" w:color="auto" w:fill="CCFFFF"/>
        <w:spacing w:before="120"/>
        <w:jc w:val="center"/>
        <w:rPr>
          <w:rFonts w:ascii="StobiSerif Regular" w:hAnsi="StobiSerif Regular"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Изјава од државниот секретар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ru-RU"/>
        </w:rPr>
        <w:lastRenderedPageBreak/>
        <w:t xml:space="preserve">Нацрт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Датум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: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_____________                                                                       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..................................................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                         потпис на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>државен секретар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E65223" w:rsidRPr="00A3036A" w:rsidRDefault="00E65223" w:rsidP="00A3036A">
      <w:pPr>
        <w:pStyle w:val="ListParagraph"/>
        <w:spacing w:before="120" w:after="0" w:line="240" w:lineRule="auto"/>
        <w:ind w:left="0"/>
        <w:jc w:val="both"/>
        <w:rPr>
          <w:rFonts w:ascii="StobiSerif Regular" w:hAnsi="StobiSerif Regular"/>
          <w:sz w:val="20"/>
          <w:szCs w:val="20"/>
        </w:rPr>
      </w:pPr>
    </w:p>
    <w:p w:rsidR="00E65223" w:rsidRPr="00A3036A" w:rsidRDefault="00E65223" w:rsidP="00A3036A">
      <w:pPr>
        <w:pStyle w:val="ListParagraph"/>
        <w:spacing w:before="120" w:after="0" w:line="240" w:lineRule="auto"/>
        <w:ind w:left="0"/>
        <w:jc w:val="both"/>
        <w:rPr>
          <w:rFonts w:ascii="StobiSerif Regular" w:hAnsi="StobiSerif Regular"/>
          <w:sz w:val="20"/>
          <w:szCs w:val="20"/>
        </w:rPr>
      </w:pPr>
      <w:r w:rsidRPr="00A3036A">
        <w:rPr>
          <w:rFonts w:ascii="StobiSerif Regular" w:hAnsi="StobiSerif Regular"/>
          <w:sz w:val="20"/>
          <w:szCs w:val="20"/>
        </w:rPr>
        <w:t xml:space="preserve">(Државниот секретар ја потпишува изјавата во нацрт Извештајот пред надлежното министерство да го достави нацрт Извештајот за ПВР до Министерството за информатичко општество и администрација за мислење. </w:t>
      </w:r>
    </w:p>
    <w:p w:rsidR="00E65223" w:rsidRPr="00A3036A" w:rsidRDefault="00E65223" w:rsidP="00A3036A">
      <w:pPr>
        <w:spacing w:before="120"/>
        <w:rPr>
          <w:rFonts w:ascii="StobiSerif Regular" w:hAnsi="StobiSerif Regular"/>
          <w:sz w:val="20"/>
          <w:szCs w:val="20"/>
          <w:lang w:val="ru-RU"/>
        </w:rPr>
      </w:pPr>
    </w:p>
    <w:p w:rsidR="00E65223" w:rsidRPr="00A3036A" w:rsidRDefault="00E65223" w:rsidP="00A3036A">
      <w:pPr>
        <w:spacing w:before="120"/>
        <w:rPr>
          <w:rFonts w:ascii="StobiSerif Regular" w:hAnsi="StobiSerif Regular"/>
          <w:sz w:val="20"/>
          <w:szCs w:val="20"/>
          <w:lang w:val="mk-MK"/>
        </w:rPr>
      </w:pP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Изјава од министерот</w:t>
      </w: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mk-MK"/>
        </w:rPr>
        <w:t>Датум:____________                                                                                                   ...........................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>................</w:t>
      </w:r>
    </w:p>
    <w:p w:rsidR="00E65223" w:rsidRPr="00A3036A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</w:t>
      </w:r>
      <w:r w:rsidRPr="00A3036A">
        <w:rPr>
          <w:rFonts w:ascii="StobiSerif Regular" w:hAnsi="StobiSerif Regular"/>
          <w:b/>
          <w:sz w:val="20"/>
          <w:szCs w:val="20"/>
          <w:lang w:val="mk-MK"/>
        </w:rPr>
        <w:t>потпис на министерот</w:t>
      </w:r>
      <w:r w:rsidRPr="00A3036A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</w:rPr>
      </w:pPr>
      <w:r w:rsidRPr="00A3036A">
        <w:rPr>
          <w:rFonts w:ascii="StobiSerif Regular" w:hAnsi="StobiSerif Regular"/>
          <w:sz w:val="20"/>
          <w:szCs w:val="20"/>
          <w:lang w:val="ru-RU"/>
        </w:rPr>
        <w:t>(Министерот на ресорното министерство ја потпишува изјавата во предлог Извештајот пред надлежното министерство да го достави предлог Извештајот до Генералниот секретаријат на Владата на Република Македонија).</w:t>
      </w:r>
    </w:p>
    <w:p w:rsidR="00E65223" w:rsidRPr="00A3036A" w:rsidRDefault="00E65223" w:rsidP="00A3036A">
      <w:pPr>
        <w:spacing w:before="120"/>
        <w:jc w:val="both"/>
        <w:rPr>
          <w:rFonts w:ascii="StobiSerif Regular" w:hAnsi="StobiSerif Regular"/>
          <w:sz w:val="20"/>
          <w:szCs w:val="20"/>
        </w:rPr>
      </w:pPr>
    </w:p>
    <w:p w:rsidR="007F0FF7" w:rsidRPr="00A3036A" w:rsidRDefault="007F0FF7" w:rsidP="00A3036A">
      <w:pPr>
        <w:spacing w:before="120"/>
        <w:rPr>
          <w:rFonts w:ascii="StobiSerif Regular" w:hAnsi="StobiSerif Regular"/>
          <w:sz w:val="20"/>
          <w:szCs w:val="20"/>
        </w:rPr>
      </w:pPr>
    </w:p>
    <w:sectPr w:rsidR="007F0FF7" w:rsidRPr="00A3036A" w:rsidSect="00E652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F8" w:rsidRDefault="00A90CF8">
      <w:r>
        <w:separator/>
      </w:r>
    </w:p>
  </w:endnote>
  <w:endnote w:type="continuationSeparator" w:id="1">
    <w:p w:rsidR="00A90CF8" w:rsidRDefault="00A9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23" w:rsidRDefault="003D726D">
    <w:pPr>
      <w:pStyle w:val="Footer"/>
      <w:jc w:val="right"/>
    </w:pPr>
    <w:fldSimple w:instr=" PAGE   \* MERGEFORMAT ">
      <w:r w:rsidR="005E59D0">
        <w:rPr>
          <w:noProof/>
        </w:rPr>
        <w:t>4</w:t>
      </w:r>
    </w:fldSimple>
  </w:p>
  <w:p w:rsidR="00E65223" w:rsidRDefault="00E65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F8" w:rsidRDefault="00A90CF8">
      <w:r>
        <w:separator/>
      </w:r>
    </w:p>
  </w:footnote>
  <w:footnote w:type="continuationSeparator" w:id="1">
    <w:p w:rsidR="00A90CF8" w:rsidRDefault="00A9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465D"/>
    <w:multiLevelType w:val="hybridMultilevel"/>
    <w:tmpl w:val="697C433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0F5C"/>
    <w:multiLevelType w:val="hybridMultilevel"/>
    <w:tmpl w:val="A23A12B2"/>
    <w:lvl w:ilvl="0" w:tplc="0D6EB5C4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BA50C4"/>
    <w:multiLevelType w:val="multilevel"/>
    <w:tmpl w:val="747895BC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B0F"/>
    <w:rsid w:val="00051E21"/>
    <w:rsid w:val="000D31FF"/>
    <w:rsid w:val="001231E6"/>
    <w:rsid w:val="00124986"/>
    <w:rsid w:val="00155B23"/>
    <w:rsid w:val="001D3F18"/>
    <w:rsid w:val="001F5700"/>
    <w:rsid w:val="00291D05"/>
    <w:rsid w:val="0031378A"/>
    <w:rsid w:val="00346249"/>
    <w:rsid w:val="0035551E"/>
    <w:rsid w:val="0036193B"/>
    <w:rsid w:val="003C263A"/>
    <w:rsid w:val="003D726D"/>
    <w:rsid w:val="004F5F0D"/>
    <w:rsid w:val="005500E8"/>
    <w:rsid w:val="005C3D76"/>
    <w:rsid w:val="005D3C3F"/>
    <w:rsid w:val="005E59D0"/>
    <w:rsid w:val="006821FF"/>
    <w:rsid w:val="007F0FF7"/>
    <w:rsid w:val="00851B60"/>
    <w:rsid w:val="008B0D64"/>
    <w:rsid w:val="00916151"/>
    <w:rsid w:val="00933DCE"/>
    <w:rsid w:val="00937D78"/>
    <w:rsid w:val="009F1980"/>
    <w:rsid w:val="00A06D22"/>
    <w:rsid w:val="00A3036A"/>
    <w:rsid w:val="00A63680"/>
    <w:rsid w:val="00A90CF8"/>
    <w:rsid w:val="00AE0CEE"/>
    <w:rsid w:val="00BD2B0F"/>
    <w:rsid w:val="00BF4791"/>
    <w:rsid w:val="00C555F5"/>
    <w:rsid w:val="00C77847"/>
    <w:rsid w:val="00CB4130"/>
    <w:rsid w:val="00D1432A"/>
    <w:rsid w:val="00D1597B"/>
    <w:rsid w:val="00E516CA"/>
    <w:rsid w:val="00E65223"/>
    <w:rsid w:val="00E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65223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basedOn w:val="DefaultParagraphFont"/>
    <w:link w:val="BodyText3"/>
    <w:rsid w:val="00E65223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22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522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65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Char">
    <w:name w:val="Char"/>
    <w:basedOn w:val="Normal"/>
    <w:rsid w:val="00E516CA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</vt:lpstr>
    </vt:vector>
  </TitlesOfParts>
  <Company>ME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subject/>
  <dc:creator>pece.andonoski</dc:creator>
  <cp:keywords/>
  <dc:description/>
  <cp:lastModifiedBy>tome.velkovski</cp:lastModifiedBy>
  <cp:revision>3</cp:revision>
  <cp:lastPrinted>2014-01-10T11:19:00Z</cp:lastPrinted>
  <dcterms:created xsi:type="dcterms:W3CDTF">2014-01-10T13:07:00Z</dcterms:created>
  <dcterms:modified xsi:type="dcterms:W3CDTF">2014-01-10T13:22:00Z</dcterms:modified>
</cp:coreProperties>
</file>