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B1" w:rsidRPr="00A61E4F" w:rsidRDefault="00911DB1" w:rsidP="00911DB1">
      <w:pPr>
        <w:jc w:val="right"/>
        <w:rPr>
          <w:rFonts w:ascii="StobiSerif" w:hAnsi="StobiSerif" w:cs="Arial"/>
          <w:b/>
          <w:sz w:val="20"/>
          <w:u w:val="single"/>
          <w:lang w:val="mk-MK"/>
        </w:rPr>
      </w:pPr>
      <w:r w:rsidRPr="00A61E4F">
        <w:rPr>
          <w:rFonts w:ascii="StobiSerif" w:hAnsi="StobiSerif" w:cs="Arial"/>
          <w:b/>
          <w:sz w:val="20"/>
          <w:u w:val="single"/>
          <w:lang w:val="mk-MK"/>
        </w:rPr>
        <w:t>Образец бр. 2</w:t>
      </w:r>
    </w:p>
    <w:p w:rsidR="00911DB1" w:rsidRPr="00A61E4F" w:rsidRDefault="00911DB1" w:rsidP="00911DB1">
      <w:pPr>
        <w:jc w:val="center"/>
        <w:rPr>
          <w:rFonts w:ascii="StobiSerif" w:hAnsi="StobiSerif" w:cs="Arial"/>
          <w:b/>
          <w:sz w:val="20"/>
          <w:lang w:val="mk-MK"/>
        </w:rPr>
      </w:pPr>
      <w:r w:rsidRPr="00A61E4F">
        <w:rPr>
          <w:rFonts w:ascii="StobiSerif" w:hAnsi="StobiSerif" w:cs="Arial"/>
          <w:b/>
          <w:sz w:val="20"/>
          <w:lang w:val="mk-MK"/>
        </w:rPr>
        <w:t>Иницијална проценка на влијание на регулативата</w:t>
      </w:r>
    </w:p>
    <w:p w:rsidR="00911DB1" w:rsidRPr="00A61E4F" w:rsidRDefault="00911DB1" w:rsidP="00911DB1">
      <w:pPr>
        <w:jc w:val="center"/>
        <w:rPr>
          <w:rFonts w:ascii="StobiSerif" w:hAnsi="StobiSerif" w:cs="Arial"/>
          <w:sz w:val="20"/>
          <w:lang w:val="mk-MK"/>
        </w:rPr>
      </w:pPr>
    </w:p>
    <w:p w:rsidR="00911DB1" w:rsidRPr="00A61E4F" w:rsidRDefault="00911DB1" w:rsidP="00911DB1">
      <w:pPr>
        <w:autoSpaceDE w:val="0"/>
        <w:autoSpaceDN w:val="0"/>
        <w:adjustRightInd w:val="0"/>
        <w:ind w:left="540" w:hanging="540"/>
        <w:jc w:val="both"/>
        <w:rPr>
          <w:rFonts w:ascii="StobiSerif" w:hAnsi="StobiSerif" w:cs="Arial"/>
          <w:sz w:val="20"/>
          <w:lang w:val="mk-MK"/>
        </w:rPr>
      </w:pPr>
    </w:p>
    <w:p w:rsidR="00911DB1" w:rsidRPr="00A61E4F" w:rsidRDefault="00911DB1" w:rsidP="00911DB1">
      <w:pPr>
        <w:jc w:val="both"/>
        <w:rPr>
          <w:rFonts w:ascii="StobiSerif" w:hAnsi="StobiSerif" w:cs="Arial"/>
          <w:b/>
          <w:sz w:val="20"/>
          <w:lang w:val="mk-MK"/>
        </w:rPr>
      </w:pPr>
      <w:r w:rsidRPr="00A61E4F">
        <w:rPr>
          <w:rFonts w:ascii="StobiSerif" w:hAnsi="StobiSerif" w:cs="Arial"/>
          <w:b/>
          <w:sz w:val="20"/>
          <w:lang w:val="mk-MK"/>
        </w:rPr>
        <w:t>Чекор 1: Опис на проблемите, целите што ќе се остварат со нивно решавање и можните опции за решавање на проблемите</w:t>
      </w:r>
    </w:p>
    <w:p w:rsidR="00911DB1" w:rsidRPr="00A61E4F" w:rsidRDefault="00911DB1" w:rsidP="00911DB1">
      <w:pPr>
        <w:pStyle w:val="Default"/>
        <w:ind w:left="360"/>
        <w:jc w:val="both"/>
        <w:rPr>
          <w:rFonts w:ascii="StobiSerif" w:hAnsi="StobiSerif" w:cs="Arial"/>
          <w:b/>
          <w:bCs/>
          <w:color w:val="auto"/>
          <w:sz w:val="20"/>
          <w:szCs w:val="20"/>
          <w:lang w:val="mk-MK"/>
        </w:rPr>
      </w:pPr>
    </w:p>
    <w:p w:rsidR="00911DB1" w:rsidRPr="00A61E4F" w:rsidRDefault="00911DB1" w:rsidP="00911DB1">
      <w:pPr>
        <w:pStyle w:val="Default"/>
        <w:numPr>
          <w:ilvl w:val="0"/>
          <w:numId w:val="1"/>
        </w:numPr>
        <w:jc w:val="both"/>
        <w:rPr>
          <w:rFonts w:ascii="StobiSerif" w:hAnsi="StobiSerif" w:cs="Arial"/>
          <w:b/>
          <w:bCs/>
          <w:color w:val="auto"/>
          <w:sz w:val="20"/>
          <w:szCs w:val="20"/>
          <w:lang w:val="mk-MK"/>
        </w:rPr>
      </w:pPr>
      <w:r w:rsidRPr="00A61E4F">
        <w:rPr>
          <w:rFonts w:ascii="StobiSerif" w:hAnsi="StobiSerif" w:cs="Arial"/>
          <w:b/>
          <w:bCs/>
          <w:color w:val="auto"/>
          <w:sz w:val="20"/>
          <w:szCs w:val="20"/>
          <w:lang w:val="mk-MK"/>
        </w:rPr>
        <w:t>Опис на проблемите</w:t>
      </w:r>
    </w:p>
    <w:p w:rsidR="00911DB1" w:rsidRPr="00A61E4F" w:rsidRDefault="00911DB1" w:rsidP="00911DB1">
      <w:pPr>
        <w:spacing w:after="120"/>
        <w:jc w:val="both"/>
        <w:rPr>
          <w:rFonts w:ascii="StobiSerif" w:hAnsi="StobiSerif" w:cs="Arial"/>
          <w:sz w:val="20"/>
          <w:lang w:val="ru-RU"/>
        </w:rPr>
      </w:pPr>
      <w:r>
        <w:rPr>
          <w:rFonts w:ascii="StobiSerif" w:hAnsi="StobiSerif" w:cs="Arial"/>
          <w:sz w:val="20"/>
          <w:lang w:val="ru-RU"/>
        </w:rPr>
        <w:t xml:space="preserve">Доуредување  на прашања од областа на енергетска ефикасност во делот на изградбата на градежни објекти од аспект на воведување на елаборат за енергетска ефикасност. Поради воведување на овој елаборат се разработува и постапакта за добивање на овластување за изработка на елеборат за енергетска ефикасност како и постпакта за добивање на лиценца за изработка на елебаорат за енергетска ефикасност. Овие дополнувања се правата од аспект да се пропишат и доуредат обврските во делот на енергетската ефикасност и унапредување на истата која е  една од главните приоритети на Владата. Овие активности се преземаат со цел да се создадат услови за импелементација на мерките и активностите со кои се придонесува кон постигнување ана националните индикативни цели за заштеда на енергија. </w:t>
      </w:r>
    </w:p>
    <w:p w:rsidR="00911DB1" w:rsidRPr="00A61E4F" w:rsidRDefault="00911DB1" w:rsidP="00911DB1">
      <w:pPr>
        <w:pStyle w:val="Default"/>
        <w:numPr>
          <w:ilvl w:val="0"/>
          <w:numId w:val="1"/>
        </w:numPr>
        <w:jc w:val="both"/>
        <w:rPr>
          <w:rFonts w:ascii="StobiSerif" w:hAnsi="StobiSerif" w:cs="Arial"/>
          <w:b/>
          <w:bCs/>
          <w:color w:val="auto"/>
          <w:sz w:val="20"/>
          <w:szCs w:val="20"/>
          <w:lang w:val="mk-MK"/>
        </w:rPr>
      </w:pPr>
      <w:r w:rsidRPr="00A61E4F">
        <w:rPr>
          <w:rFonts w:ascii="StobiSerif" w:hAnsi="StobiSerif" w:cs="Arial"/>
          <w:b/>
          <w:bCs/>
          <w:color w:val="auto"/>
          <w:sz w:val="20"/>
          <w:szCs w:val="20"/>
          <w:lang w:val="mk-MK"/>
        </w:rPr>
        <w:t>Опис на целите што се планираат да се постигнат со решавање на проблемите</w:t>
      </w:r>
    </w:p>
    <w:p w:rsidR="00911DB1" w:rsidRPr="00A61E4F" w:rsidRDefault="00911DB1" w:rsidP="00911DB1">
      <w:pPr>
        <w:spacing w:after="120"/>
        <w:jc w:val="both"/>
        <w:rPr>
          <w:rFonts w:ascii="StobiSerif" w:hAnsi="StobiSerif" w:cs="Arial"/>
          <w:sz w:val="20"/>
          <w:lang w:val="ru-RU"/>
        </w:rPr>
      </w:pPr>
      <w:r>
        <w:rPr>
          <w:rFonts w:ascii="StobiSerif" w:hAnsi="StobiSerif" w:cs="Arial"/>
          <w:sz w:val="20"/>
          <w:lang w:val="ru-RU"/>
        </w:rPr>
        <w:t xml:space="preserve">Унапредувањето на енергетската ефикасност е една од главните приоритети на владата на Република Македонија. За таа цел со Законот за енергетика и стратешките национални документи се пропишуваат активности со цел да се создадат услови за подобрена импелементација на мерките со кои се придонесува за унапредување на енергетската ефикасност и постигнување на националните индикативни цели за заштеда на енергија. </w:t>
      </w:r>
    </w:p>
    <w:p w:rsidR="00911DB1" w:rsidRDefault="00911DB1" w:rsidP="00911DB1">
      <w:pPr>
        <w:jc w:val="both"/>
        <w:rPr>
          <w:rFonts w:ascii="StobiSerif" w:hAnsi="StobiSerif" w:cs="Arial"/>
          <w:sz w:val="20"/>
          <w:lang w:val="ru-RU"/>
        </w:rPr>
      </w:pPr>
      <w:r>
        <w:rPr>
          <w:rFonts w:ascii="StobiSerif" w:hAnsi="StobiSerif" w:cs="Arial"/>
          <w:sz w:val="20"/>
          <w:lang w:val="ru-RU"/>
        </w:rPr>
        <w:t xml:space="preserve">Со предметните  дополнувања се воведува елаборат за енергетска ефикасност, со цел со истиот да се влијае кон изградба или значителна реконструкција на згради од аспект на повисока енергетска ефикасност. </w:t>
      </w:r>
    </w:p>
    <w:p w:rsidR="00911DB1" w:rsidRDefault="00911DB1" w:rsidP="00911DB1">
      <w:pPr>
        <w:jc w:val="both"/>
        <w:rPr>
          <w:rFonts w:ascii="StobiSerif" w:hAnsi="StobiSerif" w:cs="Arial"/>
          <w:sz w:val="20"/>
          <w:lang w:val="ru-RU"/>
        </w:rPr>
      </w:pPr>
    </w:p>
    <w:p w:rsidR="00911DB1" w:rsidRDefault="00911DB1" w:rsidP="00911DB1">
      <w:pPr>
        <w:jc w:val="both"/>
        <w:rPr>
          <w:rFonts w:ascii="StobiSerif" w:hAnsi="StobiSerif" w:cs="Arial"/>
          <w:sz w:val="20"/>
          <w:lang w:val="ru-RU"/>
        </w:rPr>
      </w:pPr>
      <w:proofErr w:type="spellStart"/>
      <w:r w:rsidRPr="00A61E4F">
        <w:rPr>
          <w:rFonts w:ascii="StobiSerif" w:hAnsi="StobiSerif" w:cs="Arial"/>
          <w:color w:val="000000"/>
          <w:sz w:val="20"/>
        </w:rPr>
        <w:t>Со</w:t>
      </w:r>
      <w:proofErr w:type="spellEnd"/>
      <w:r w:rsidRPr="00A61E4F">
        <w:rPr>
          <w:rFonts w:ascii="StobiSerif" w:hAnsi="StobiSerif" w:cs="Arial"/>
          <w:color w:val="000000"/>
          <w:sz w:val="20"/>
        </w:rPr>
        <w:t xml:space="preserve"> </w:t>
      </w:r>
      <w:proofErr w:type="spellStart"/>
      <w:r w:rsidRPr="00A61E4F">
        <w:rPr>
          <w:rFonts w:ascii="StobiSerif" w:hAnsi="StobiSerif" w:cs="Arial"/>
          <w:color w:val="000000"/>
          <w:sz w:val="20"/>
        </w:rPr>
        <w:t>членот</w:t>
      </w:r>
      <w:proofErr w:type="spellEnd"/>
      <w:r w:rsidRPr="00A61E4F">
        <w:rPr>
          <w:rFonts w:ascii="StobiSerif" w:hAnsi="StobiSerif" w:cs="Arial"/>
          <w:color w:val="000000"/>
          <w:sz w:val="20"/>
        </w:rPr>
        <w:t xml:space="preserve"> </w:t>
      </w:r>
      <w:r>
        <w:rPr>
          <w:rFonts w:ascii="StobiSerif" w:hAnsi="StobiSerif" w:cs="Arial"/>
          <w:color w:val="000000"/>
          <w:sz w:val="20"/>
          <w:lang w:val="mk-MK"/>
        </w:rPr>
        <w:t xml:space="preserve">1 </w:t>
      </w:r>
      <w:proofErr w:type="spellStart"/>
      <w:r w:rsidRPr="00A61E4F">
        <w:rPr>
          <w:rFonts w:ascii="StobiSerif" w:hAnsi="StobiSerif" w:cs="Arial"/>
          <w:color w:val="000000"/>
          <w:sz w:val="20"/>
        </w:rPr>
        <w:t>се</w:t>
      </w:r>
      <w:proofErr w:type="spellEnd"/>
      <w:r w:rsidRPr="00A61E4F">
        <w:rPr>
          <w:rFonts w:ascii="StobiSerif" w:hAnsi="StobiSerif" w:cs="Arial"/>
          <w:color w:val="000000"/>
          <w:sz w:val="20"/>
        </w:rPr>
        <w:t xml:space="preserve"> </w:t>
      </w:r>
      <w:proofErr w:type="spellStart"/>
      <w:r w:rsidRPr="00A61E4F">
        <w:rPr>
          <w:rFonts w:ascii="StobiSerif" w:hAnsi="StobiSerif" w:cs="Arial"/>
          <w:color w:val="000000"/>
          <w:sz w:val="20"/>
        </w:rPr>
        <w:t>врши</w:t>
      </w:r>
      <w:proofErr w:type="spellEnd"/>
      <w:r w:rsidRPr="00A61E4F">
        <w:rPr>
          <w:rFonts w:ascii="StobiSerif" w:hAnsi="StobiSerif" w:cs="Arial"/>
          <w:color w:val="000000"/>
          <w:sz w:val="20"/>
        </w:rPr>
        <w:t xml:space="preserve"> </w:t>
      </w:r>
      <w:proofErr w:type="gramStart"/>
      <w:r>
        <w:rPr>
          <w:rFonts w:ascii="StobiSerif" w:hAnsi="StobiSerif" w:cs="Arial"/>
          <w:sz w:val="20"/>
          <w:lang w:val="ru-RU"/>
        </w:rPr>
        <w:t>доуредување  на</w:t>
      </w:r>
      <w:proofErr w:type="gramEnd"/>
      <w:r>
        <w:rPr>
          <w:rFonts w:ascii="StobiSerif" w:hAnsi="StobiSerif" w:cs="Arial"/>
          <w:sz w:val="20"/>
          <w:lang w:val="ru-RU"/>
        </w:rPr>
        <w:t xml:space="preserve"> прашања од областа на енергетска ефикасност во делот на изградбата на градежни објекти од аспект на воведување на елаборат за енергетска ефикасност. </w:t>
      </w:r>
    </w:p>
    <w:p w:rsidR="00911DB1" w:rsidRDefault="00911DB1" w:rsidP="00911DB1">
      <w:pPr>
        <w:jc w:val="both"/>
        <w:rPr>
          <w:rFonts w:ascii="StobiSerif" w:hAnsi="StobiSerif" w:cs="Arial"/>
          <w:sz w:val="20"/>
          <w:lang w:val="ru-RU"/>
        </w:rPr>
      </w:pPr>
    </w:p>
    <w:p w:rsidR="00911DB1" w:rsidRDefault="00911DB1" w:rsidP="00911DB1">
      <w:pPr>
        <w:jc w:val="both"/>
        <w:rPr>
          <w:rFonts w:ascii="StobiSerif" w:hAnsi="StobiSerif" w:cs="Arial"/>
          <w:sz w:val="20"/>
          <w:lang w:val="ru-RU"/>
        </w:rPr>
      </w:pPr>
      <w:r>
        <w:rPr>
          <w:rFonts w:ascii="StobiSerif" w:hAnsi="StobiSerif" w:cs="Arial"/>
          <w:sz w:val="20"/>
          <w:lang w:val="ru-RU"/>
        </w:rPr>
        <w:t xml:space="preserve">Поради воведување на овој елаборат се разработува и постпаката за добивање на лиценца за изработка на елаборат за енергетска ефикасност.  Уредено е дека правните лица и трговци поединци кои имаат вработено најмалку две лица кои имаат овлстување за изработка на елаборат за енергетска ефикаснос може да се стекната со лиценцата. Едновремено со овие дополнувања се уредува и пропишува постапката и условите кои физичкото лице треба да ги исполнува за да може да се стекне со овластување за изработка на елаборат за енергетска ефикасност.  </w:t>
      </w:r>
    </w:p>
    <w:p w:rsidR="00911DB1" w:rsidRDefault="00911DB1" w:rsidP="00911DB1">
      <w:pPr>
        <w:jc w:val="both"/>
        <w:rPr>
          <w:rFonts w:ascii="StobiSerif" w:hAnsi="StobiSerif" w:cs="Arial"/>
          <w:sz w:val="20"/>
          <w:lang w:val="ru-RU"/>
        </w:rPr>
      </w:pPr>
    </w:p>
    <w:p w:rsidR="00911DB1" w:rsidRDefault="00911DB1" w:rsidP="00911DB1">
      <w:pPr>
        <w:jc w:val="both"/>
        <w:rPr>
          <w:rFonts w:ascii="StobiSerif" w:hAnsi="StobiSerif" w:cs="Arial"/>
          <w:sz w:val="20"/>
          <w:lang w:val="ru-RU"/>
        </w:rPr>
      </w:pPr>
      <w:r>
        <w:rPr>
          <w:rFonts w:ascii="StobiSerif" w:hAnsi="StobiSerif" w:cs="Arial"/>
          <w:sz w:val="20"/>
          <w:lang w:val="ru-RU"/>
        </w:rPr>
        <w:t>Земајќи во предвид дека Министерот ја пропишува  формата и содржината на елаборатот, заради транспарентност на процесот е уредено дека за одделни објекти  Министерот односно градоначалникот на единицата на локалната сапуправа формира Комисија за одобрување на елеаборат за енергетска ефикасност, на чии предлог министерот односно градноначалникот ги одобруваат елаборатите.</w:t>
      </w:r>
    </w:p>
    <w:p w:rsidR="00911DB1" w:rsidRDefault="00911DB1" w:rsidP="00911DB1">
      <w:pPr>
        <w:jc w:val="both"/>
        <w:rPr>
          <w:rFonts w:ascii="StobiSerif" w:hAnsi="StobiSerif" w:cs="Arial"/>
          <w:sz w:val="20"/>
          <w:lang w:val="ru-RU"/>
        </w:rPr>
      </w:pPr>
    </w:p>
    <w:p w:rsidR="00911DB1" w:rsidRDefault="00911DB1" w:rsidP="00911DB1">
      <w:pPr>
        <w:jc w:val="both"/>
        <w:rPr>
          <w:rFonts w:ascii="StobiSerif" w:hAnsi="StobiSerif" w:cs="Arial"/>
          <w:color w:val="000000"/>
          <w:sz w:val="20"/>
          <w:lang w:val="mk-MK"/>
        </w:rPr>
      </w:pPr>
      <w:proofErr w:type="spellStart"/>
      <w:r w:rsidRPr="00A61E4F">
        <w:rPr>
          <w:rFonts w:ascii="StobiSerif" w:hAnsi="StobiSerif" w:cs="Arial"/>
          <w:color w:val="000000"/>
          <w:sz w:val="20"/>
        </w:rPr>
        <w:lastRenderedPageBreak/>
        <w:t>Со</w:t>
      </w:r>
      <w:proofErr w:type="spellEnd"/>
      <w:r w:rsidRPr="00A61E4F">
        <w:rPr>
          <w:rFonts w:ascii="StobiSerif" w:hAnsi="StobiSerif" w:cs="Arial"/>
          <w:color w:val="000000"/>
          <w:sz w:val="20"/>
        </w:rPr>
        <w:t xml:space="preserve"> </w:t>
      </w:r>
      <w:proofErr w:type="spellStart"/>
      <w:r w:rsidRPr="00A61E4F">
        <w:rPr>
          <w:rFonts w:ascii="StobiSerif" w:hAnsi="StobiSerif" w:cs="Arial"/>
          <w:color w:val="000000"/>
          <w:sz w:val="20"/>
        </w:rPr>
        <w:t>член</w:t>
      </w:r>
      <w:proofErr w:type="spellEnd"/>
      <w:r w:rsidRPr="00A61E4F">
        <w:rPr>
          <w:rFonts w:ascii="StobiSerif" w:hAnsi="StobiSerif" w:cs="Arial"/>
          <w:color w:val="000000"/>
          <w:sz w:val="20"/>
        </w:rPr>
        <w:t xml:space="preserve"> </w:t>
      </w:r>
      <w:r>
        <w:rPr>
          <w:rFonts w:ascii="StobiSerif" w:hAnsi="StobiSerif" w:cs="Arial"/>
          <w:color w:val="000000"/>
          <w:sz w:val="20"/>
          <w:lang w:val="mk-MK"/>
        </w:rPr>
        <w:t>2</w:t>
      </w:r>
      <w:r w:rsidRPr="00A61E4F">
        <w:rPr>
          <w:rFonts w:ascii="StobiSerif" w:hAnsi="StobiSerif" w:cs="Arial"/>
          <w:color w:val="000000"/>
          <w:sz w:val="20"/>
        </w:rPr>
        <w:t xml:space="preserve"> </w:t>
      </w:r>
      <w:proofErr w:type="spellStart"/>
      <w:r w:rsidRPr="00A61E4F">
        <w:rPr>
          <w:rFonts w:ascii="StobiSerif" w:hAnsi="StobiSerif" w:cs="Arial"/>
          <w:color w:val="000000"/>
          <w:sz w:val="20"/>
        </w:rPr>
        <w:t>се</w:t>
      </w:r>
      <w:proofErr w:type="spellEnd"/>
      <w:r>
        <w:rPr>
          <w:rFonts w:ascii="StobiSerif" w:hAnsi="StobiSerif" w:cs="Arial"/>
          <w:color w:val="000000"/>
          <w:sz w:val="20"/>
          <w:lang w:val="mk-MK"/>
        </w:rPr>
        <w:t xml:space="preserve"> пропишва дека одделни одредби</w:t>
      </w:r>
      <w:r>
        <w:rPr>
          <w:rFonts w:ascii="StobiSerif" w:hAnsi="StobiSerif" w:cs="Arial"/>
          <w:color w:val="000000"/>
          <w:sz w:val="20"/>
        </w:rPr>
        <w:t xml:space="preserve"> </w:t>
      </w:r>
      <w:proofErr w:type="spellStart"/>
      <w:r>
        <w:rPr>
          <w:rFonts w:ascii="StobiSerif" w:hAnsi="StobiSerif" w:cs="Arial"/>
          <w:color w:val="000000"/>
          <w:sz w:val="20"/>
        </w:rPr>
        <w:t>од</w:t>
      </w:r>
      <w:proofErr w:type="spellEnd"/>
      <w:r>
        <w:rPr>
          <w:rFonts w:ascii="StobiSerif" w:hAnsi="StobiSerif" w:cs="Arial"/>
          <w:color w:val="000000"/>
          <w:sz w:val="20"/>
        </w:rPr>
        <w:t xml:space="preserve"> </w:t>
      </w:r>
      <w:proofErr w:type="spellStart"/>
      <w:r>
        <w:rPr>
          <w:rFonts w:ascii="StobiSerif" w:hAnsi="StobiSerif" w:cs="Arial"/>
          <w:color w:val="000000"/>
          <w:sz w:val="20"/>
        </w:rPr>
        <w:t>предлог</w:t>
      </w:r>
      <w:proofErr w:type="spellEnd"/>
      <w:r>
        <w:rPr>
          <w:rFonts w:ascii="StobiSerif" w:hAnsi="StobiSerif" w:cs="Arial"/>
          <w:color w:val="000000"/>
          <w:sz w:val="20"/>
        </w:rPr>
        <w:t xml:space="preserve"> </w:t>
      </w:r>
      <w:proofErr w:type="spellStart"/>
      <w:proofErr w:type="gramStart"/>
      <w:r>
        <w:rPr>
          <w:rFonts w:ascii="StobiSerif" w:hAnsi="StobiSerif" w:cs="Arial"/>
          <w:color w:val="000000"/>
          <w:sz w:val="20"/>
        </w:rPr>
        <w:t>законот</w:t>
      </w:r>
      <w:proofErr w:type="spellEnd"/>
      <w:r>
        <w:rPr>
          <w:rFonts w:ascii="StobiSerif" w:hAnsi="StobiSerif" w:cs="Arial"/>
          <w:color w:val="000000"/>
          <w:sz w:val="20"/>
        </w:rPr>
        <w:t xml:space="preserve"> </w:t>
      </w:r>
      <w:r>
        <w:rPr>
          <w:rFonts w:ascii="StobiSerif" w:hAnsi="StobiSerif" w:cs="Arial"/>
          <w:color w:val="000000"/>
          <w:sz w:val="20"/>
          <w:lang w:val="mk-MK"/>
        </w:rPr>
        <w:t xml:space="preserve"> ќе</w:t>
      </w:r>
      <w:proofErr w:type="gramEnd"/>
      <w:r>
        <w:rPr>
          <w:rFonts w:ascii="StobiSerif" w:hAnsi="StobiSerif" w:cs="Arial"/>
          <w:color w:val="000000"/>
          <w:sz w:val="20"/>
          <w:lang w:val="mk-MK"/>
        </w:rPr>
        <w:t xml:space="preserve"> се применуваат од 30 септември 2014 година</w:t>
      </w:r>
      <w:r>
        <w:rPr>
          <w:rFonts w:ascii="StobiSerif" w:hAnsi="StobiSerif" w:cs="Arial"/>
          <w:color w:val="000000"/>
          <w:sz w:val="20"/>
        </w:rPr>
        <w:t xml:space="preserve">. </w:t>
      </w:r>
      <w:proofErr w:type="gramStart"/>
      <w:r>
        <w:rPr>
          <w:rFonts w:ascii="StobiSerif" w:hAnsi="StobiSerif" w:cs="Arial"/>
          <w:color w:val="000000"/>
          <w:sz w:val="20"/>
        </w:rPr>
        <w:t>О</w:t>
      </w:r>
      <w:r>
        <w:rPr>
          <w:rFonts w:ascii="StobiSerif" w:hAnsi="StobiSerif" w:cs="Arial"/>
          <w:color w:val="000000"/>
          <w:sz w:val="20"/>
          <w:lang w:val="mk-MK"/>
        </w:rPr>
        <w:t xml:space="preserve">вој рок е предвиден со цел </w:t>
      </w:r>
      <w:proofErr w:type="spellStart"/>
      <w:r>
        <w:rPr>
          <w:rFonts w:ascii="StobiSerif" w:hAnsi="StobiSerif" w:cs="Arial"/>
          <w:color w:val="000000"/>
          <w:sz w:val="20"/>
        </w:rPr>
        <w:t>во</w:t>
      </w:r>
      <w:proofErr w:type="spellEnd"/>
      <w:r>
        <w:rPr>
          <w:rFonts w:ascii="StobiSerif" w:hAnsi="StobiSerif" w:cs="Arial"/>
          <w:color w:val="000000"/>
          <w:sz w:val="20"/>
        </w:rPr>
        <w:t xml:space="preserve"> </w:t>
      </w:r>
      <w:proofErr w:type="spellStart"/>
      <w:r>
        <w:rPr>
          <w:rFonts w:ascii="StobiSerif" w:hAnsi="StobiSerif" w:cs="Arial"/>
          <w:color w:val="000000"/>
          <w:sz w:val="20"/>
        </w:rPr>
        <w:t>меќувреме</w:t>
      </w:r>
      <w:proofErr w:type="spellEnd"/>
      <w:r>
        <w:rPr>
          <w:rFonts w:ascii="StobiSerif" w:hAnsi="StobiSerif" w:cs="Arial"/>
          <w:color w:val="000000"/>
          <w:sz w:val="20"/>
        </w:rPr>
        <w:t xml:space="preserve"> </w:t>
      </w:r>
      <w:r>
        <w:rPr>
          <w:rFonts w:ascii="StobiSerif" w:hAnsi="StobiSerif" w:cs="Arial"/>
          <w:color w:val="000000"/>
          <w:sz w:val="20"/>
          <w:lang w:val="mk-MK"/>
        </w:rPr>
        <w:t xml:space="preserve">да </w:t>
      </w:r>
      <w:proofErr w:type="spellStart"/>
      <w:r>
        <w:rPr>
          <w:rFonts w:ascii="StobiSerif" w:hAnsi="StobiSerif" w:cs="Arial"/>
          <w:color w:val="000000"/>
          <w:sz w:val="20"/>
        </w:rPr>
        <w:t>се</w:t>
      </w:r>
      <w:proofErr w:type="spellEnd"/>
      <w:r>
        <w:rPr>
          <w:rFonts w:ascii="StobiSerif" w:hAnsi="StobiSerif" w:cs="Arial"/>
          <w:color w:val="000000"/>
          <w:sz w:val="20"/>
        </w:rPr>
        <w:t xml:space="preserve"> </w:t>
      </w:r>
      <w:proofErr w:type="spellStart"/>
      <w:r>
        <w:rPr>
          <w:rFonts w:ascii="StobiSerif" w:hAnsi="StobiSerif" w:cs="Arial"/>
          <w:color w:val="000000"/>
          <w:sz w:val="20"/>
        </w:rPr>
        <w:t>создадат</w:t>
      </w:r>
      <w:proofErr w:type="spellEnd"/>
      <w:r>
        <w:rPr>
          <w:rFonts w:ascii="StobiSerif" w:hAnsi="StobiSerif" w:cs="Arial"/>
          <w:color w:val="000000"/>
          <w:sz w:val="20"/>
        </w:rPr>
        <w:t xml:space="preserve"> </w:t>
      </w:r>
      <w:proofErr w:type="spellStart"/>
      <w:r>
        <w:rPr>
          <w:rFonts w:ascii="StobiSerif" w:hAnsi="StobiSerif" w:cs="Arial"/>
          <w:color w:val="000000"/>
          <w:sz w:val="20"/>
        </w:rPr>
        <w:t>услови</w:t>
      </w:r>
      <w:proofErr w:type="spellEnd"/>
      <w:r>
        <w:rPr>
          <w:rFonts w:ascii="StobiSerif" w:hAnsi="StobiSerif" w:cs="Arial"/>
          <w:color w:val="000000"/>
          <w:sz w:val="20"/>
        </w:rPr>
        <w:t xml:space="preserve">, </w:t>
      </w:r>
      <w:proofErr w:type="spellStart"/>
      <w:r>
        <w:rPr>
          <w:rFonts w:ascii="StobiSerif" w:hAnsi="StobiSerif" w:cs="Arial"/>
          <w:color w:val="000000"/>
          <w:sz w:val="20"/>
        </w:rPr>
        <w:t>односно</w:t>
      </w:r>
      <w:proofErr w:type="spellEnd"/>
      <w:r>
        <w:rPr>
          <w:rFonts w:ascii="StobiSerif" w:hAnsi="StobiSerif" w:cs="Arial"/>
          <w:color w:val="000000"/>
          <w:sz w:val="20"/>
        </w:rPr>
        <w:t xml:space="preserve"> д</w:t>
      </w:r>
      <w:r>
        <w:rPr>
          <w:rFonts w:ascii="StobiSerif" w:hAnsi="StobiSerif" w:cs="Arial"/>
          <w:color w:val="000000"/>
          <w:sz w:val="20"/>
          <w:lang w:val="mk-MK"/>
        </w:rPr>
        <w:t>а се реализираат одделни претходни активности со цел имплементација на одред</w:t>
      </w:r>
      <w:r>
        <w:rPr>
          <w:rFonts w:ascii="StobiSerif" w:hAnsi="StobiSerif" w:cs="Arial"/>
          <w:color w:val="000000"/>
          <w:sz w:val="20"/>
        </w:rPr>
        <w:t>б</w:t>
      </w:r>
      <w:r>
        <w:rPr>
          <w:rFonts w:ascii="StobiSerif" w:hAnsi="StobiSerif" w:cs="Arial"/>
          <w:color w:val="000000"/>
          <w:sz w:val="20"/>
          <w:lang w:val="mk-MK"/>
        </w:rPr>
        <w:t>и</w:t>
      </w:r>
      <w:r>
        <w:rPr>
          <w:rFonts w:ascii="StobiSerif" w:hAnsi="StobiSerif" w:cs="Arial"/>
          <w:color w:val="000000"/>
          <w:sz w:val="20"/>
        </w:rPr>
        <w:t>т</w:t>
      </w:r>
      <w:r>
        <w:rPr>
          <w:rFonts w:ascii="StobiSerif" w:hAnsi="StobiSerif" w:cs="Arial"/>
          <w:color w:val="000000"/>
          <w:sz w:val="20"/>
          <w:lang w:val="mk-MK"/>
        </w:rPr>
        <w:t>е од Законот.</w:t>
      </w:r>
      <w:proofErr w:type="gramEnd"/>
      <w:r>
        <w:rPr>
          <w:rFonts w:ascii="StobiSerif" w:hAnsi="StobiSerif" w:cs="Arial"/>
          <w:color w:val="000000"/>
          <w:sz w:val="20"/>
          <w:lang w:val="mk-MK"/>
        </w:rPr>
        <w:t xml:space="preserve"> </w:t>
      </w:r>
    </w:p>
    <w:p w:rsidR="00911DB1" w:rsidRDefault="00911DB1" w:rsidP="00911DB1">
      <w:pPr>
        <w:rPr>
          <w:rFonts w:ascii="StobiSerif" w:hAnsi="StobiSerif" w:cs="Arial"/>
          <w:color w:val="000000"/>
          <w:sz w:val="20"/>
        </w:rPr>
      </w:pPr>
    </w:p>
    <w:p w:rsidR="00911DB1" w:rsidRPr="005D33F8" w:rsidRDefault="00911DB1" w:rsidP="00911DB1">
      <w:pPr>
        <w:jc w:val="both"/>
        <w:rPr>
          <w:rFonts w:ascii="StobiSerif" w:hAnsi="StobiSerif" w:cs="Arial"/>
          <w:noProof/>
          <w:color w:val="000000"/>
          <w:sz w:val="20"/>
          <w:lang w:val="mk-MK"/>
        </w:rPr>
      </w:pPr>
      <w:r w:rsidRPr="00A61E4F">
        <w:rPr>
          <w:rFonts w:ascii="StobiSerif" w:hAnsi="StobiSerif" w:cs="Arial"/>
          <w:color w:val="000000"/>
          <w:sz w:val="20"/>
        </w:rPr>
        <w:t xml:space="preserve"> </w:t>
      </w:r>
      <w:r>
        <w:rPr>
          <w:rFonts w:ascii="StobiSerif" w:hAnsi="StobiSerif" w:cs="Arial"/>
          <w:color w:val="000000"/>
          <w:sz w:val="20"/>
          <w:lang w:val="mk-MK"/>
        </w:rPr>
        <w:t>Со член 3 се пропишува дека формата и содржината на елаборатот за ен</w:t>
      </w:r>
      <w:proofErr w:type="spellStart"/>
      <w:r>
        <w:rPr>
          <w:rFonts w:ascii="StobiSerif" w:hAnsi="StobiSerif" w:cs="Arial"/>
          <w:color w:val="000000"/>
          <w:sz w:val="20"/>
        </w:rPr>
        <w:t>ергетска</w:t>
      </w:r>
      <w:proofErr w:type="spellEnd"/>
      <w:r>
        <w:rPr>
          <w:rFonts w:ascii="StobiSerif" w:hAnsi="StobiSerif" w:cs="Arial"/>
          <w:color w:val="000000"/>
          <w:sz w:val="20"/>
        </w:rPr>
        <w:t xml:space="preserve"> </w:t>
      </w:r>
      <w:proofErr w:type="spellStart"/>
      <w:r>
        <w:rPr>
          <w:rFonts w:ascii="StobiSerif" w:hAnsi="StobiSerif" w:cs="Arial"/>
          <w:color w:val="000000"/>
          <w:sz w:val="20"/>
        </w:rPr>
        <w:t>ефикасност</w:t>
      </w:r>
      <w:proofErr w:type="spellEnd"/>
      <w:r>
        <w:rPr>
          <w:rFonts w:ascii="StobiSerif" w:hAnsi="StobiSerif" w:cs="Arial"/>
          <w:color w:val="000000"/>
          <w:sz w:val="20"/>
        </w:rPr>
        <w:t xml:space="preserve"> </w:t>
      </w:r>
      <w:proofErr w:type="spellStart"/>
      <w:r>
        <w:rPr>
          <w:rFonts w:ascii="StobiSerif" w:hAnsi="StobiSerif" w:cs="Arial"/>
          <w:color w:val="000000"/>
          <w:sz w:val="20"/>
        </w:rPr>
        <w:t>треба</w:t>
      </w:r>
      <w:proofErr w:type="spellEnd"/>
      <w:r>
        <w:rPr>
          <w:rFonts w:ascii="StobiSerif" w:hAnsi="StobiSerif" w:cs="Arial"/>
          <w:color w:val="000000"/>
          <w:sz w:val="20"/>
        </w:rPr>
        <w:t xml:space="preserve"> </w:t>
      </w:r>
      <w:proofErr w:type="spellStart"/>
      <w:r>
        <w:rPr>
          <w:rFonts w:ascii="StobiSerif" w:hAnsi="StobiSerif" w:cs="Arial"/>
          <w:color w:val="000000"/>
          <w:sz w:val="20"/>
        </w:rPr>
        <w:t>да</w:t>
      </w:r>
      <w:proofErr w:type="spellEnd"/>
      <w:r>
        <w:rPr>
          <w:rFonts w:ascii="StobiSerif" w:hAnsi="StobiSerif" w:cs="Arial"/>
          <w:color w:val="000000"/>
          <w:sz w:val="20"/>
        </w:rPr>
        <w:t xml:space="preserve"> </w:t>
      </w:r>
      <w:proofErr w:type="spellStart"/>
      <w:r>
        <w:rPr>
          <w:rFonts w:ascii="StobiSerif" w:hAnsi="StobiSerif" w:cs="Arial"/>
          <w:color w:val="000000"/>
          <w:sz w:val="20"/>
        </w:rPr>
        <w:t>се</w:t>
      </w:r>
      <w:proofErr w:type="spellEnd"/>
      <w:r>
        <w:rPr>
          <w:rFonts w:ascii="StobiSerif" w:hAnsi="StobiSerif" w:cs="Arial"/>
          <w:color w:val="000000"/>
          <w:sz w:val="20"/>
        </w:rPr>
        <w:t xml:space="preserve"> </w:t>
      </w:r>
      <w:r>
        <w:rPr>
          <w:rFonts w:ascii="StobiSerif" w:hAnsi="StobiSerif" w:cs="Arial"/>
          <w:color w:val="000000"/>
          <w:sz w:val="20"/>
          <w:lang w:val="mk-MK"/>
        </w:rPr>
        <w:t>пропише од</w:t>
      </w:r>
      <w:r>
        <w:rPr>
          <w:rFonts w:ascii="StobiSerif" w:hAnsi="StobiSerif" w:cs="Arial"/>
          <w:color w:val="000000"/>
          <w:sz w:val="20"/>
        </w:rPr>
        <w:t xml:space="preserve"> </w:t>
      </w:r>
      <w:r>
        <w:rPr>
          <w:rFonts w:ascii="StobiSerif" w:hAnsi="StobiSerif" w:cs="Arial"/>
          <w:color w:val="000000"/>
          <w:sz w:val="20"/>
          <w:lang w:val="mk-MK"/>
        </w:rPr>
        <w:t xml:space="preserve">страна на Министерот  надлежен за работите од областа на енерегтиката најдоцна 9 месеци од денот на влегување во сила на овој Предлог Закон. </w:t>
      </w:r>
    </w:p>
    <w:p w:rsidR="00911DB1" w:rsidRPr="00A61E4F" w:rsidRDefault="00911DB1" w:rsidP="00911DB1">
      <w:pPr>
        <w:spacing w:after="120"/>
        <w:jc w:val="both"/>
        <w:rPr>
          <w:rFonts w:ascii="StobiSerif" w:hAnsi="StobiSerif" w:cs="Arial"/>
          <w:b/>
          <w:bCs/>
          <w:sz w:val="20"/>
          <w:lang w:val="mk-MK"/>
        </w:rPr>
      </w:pPr>
    </w:p>
    <w:p w:rsidR="00911DB1" w:rsidRPr="00A61E4F" w:rsidRDefault="00911DB1" w:rsidP="00911DB1">
      <w:pPr>
        <w:pStyle w:val="Default"/>
        <w:numPr>
          <w:ilvl w:val="0"/>
          <w:numId w:val="1"/>
        </w:numPr>
        <w:jc w:val="both"/>
        <w:rPr>
          <w:rFonts w:ascii="StobiSerif" w:hAnsi="StobiSerif" w:cs="Arial"/>
          <w:b/>
          <w:bCs/>
          <w:color w:val="auto"/>
          <w:sz w:val="20"/>
          <w:szCs w:val="20"/>
          <w:lang w:val="mk-MK"/>
        </w:rPr>
      </w:pPr>
      <w:r w:rsidRPr="00A61E4F">
        <w:rPr>
          <w:rFonts w:ascii="StobiSerif" w:hAnsi="StobiSerif" w:cs="Arial"/>
          <w:b/>
          <w:bCs/>
          <w:color w:val="auto"/>
          <w:sz w:val="20"/>
          <w:szCs w:val="20"/>
          <w:lang w:val="mk-MK"/>
        </w:rPr>
        <w:t>Идентификација на можни решенија (опции)</w:t>
      </w:r>
    </w:p>
    <w:p w:rsidR="00911DB1" w:rsidRPr="00A61E4F" w:rsidRDefault="00911DB1" w:rsidP="00911DB1">
      <w:pPr>
        <w:jc w:val="both"/>
        <w:rPr>
          <w:rFonts w:ascii="StobiSerif" w:hAnsi="StobiSerif" w:cs="Arial"/>
          <w:sz w:val="20"/>
          <w:lang w:val="mk-MK"/>
        </w:rPr>
      </w:pPr>
      <w:r w:rsidRPr="00A61E4F">
        <w:rPr>
          <w:rFonts w:ascii="StobiSerif" w:hAnsi="StobiSerif" w:cs="Arial"/>
          <w:sz w:val="20"/>
          <w:lang w:val="mk-MK"/>
        </w:rPr>
        <w:t>Со Предлог законот и неговото спроведување не се налага потребата од изменување на други закони и прописи.</w:t>
      </w:r>
    </w:p>
    <w:p w:rsidR="00911DB1" w:rsidRPr="00A61E4F" w:rsidRDefault="00911DB1" w:rsidP="00911DB1">
      <w:pPr>
        <w:pStyle w:val="Default"/>
        <w:ind w:left="360"/>
        <w:jc w:val="both"/>
        <w:rPr>
          <w:rFonts w:ascii="StobiSerif" w:hAnsi="StobiSerif" w:cs="Arial"/>
          <w:bCs/>
          <w:color w:val="auto"/>
          <w:sz w:val="20"/>
          <w:szCs w:val="20"/>
          <w:lang w:val="mk-MK"/>
        </w:rPr>
      </w:pPr>
    </w:p>
    <w:p w:rsidR="00911DB1" w:rsidRPr="00A61E4F" w:rsidRDefault="00911DB1" w:rsidP="00911DB1">
      <w:pPr>
        <w:autoSpaceDE w:val="0"/>
        <w:autoSpaceDN w:val="0"/>
        <w:adjustRightInd w:val="0"/>
        <w:spacing w:line="240" w:lineRule="atLeast"/>
        <w:ind w:left="540" w:hanging="540"/>
        <w:jc w:val="both"/>
        <w:rPr>
          <w:rFonts w:ascii="StobiSerif" w:hAnsi="StobiSerif" w:cs="Arial"/>
          <w:sz w:val="20"/>
          <w:lang w:val="mk-MK"/>
        </w:rPr>
      </w:pPr>
      <w:r w:rsidRPr="00A61E4F">
        <w:rPr>
          <w:rFonts w:ascii="StobiSerif" w:hAnsi="StobiSerif" w:cs="Arial"/>
          <w:b/>
          <w:sz w:val="20"/>
          <w:lang w:val="mk-MK"/>
        </w:rPr>
        <w:t xml:space="preserve">Чекор 2: Идентификација на трошоци, придобивки и влијанија </w:t>
      </w:r>
    </w:p>
    <w:p w:rsidR="00911DB1" w:rsidRPr="00A61E4F" w:rsidRDefault="00911DB1" w:rsidP="00911DB1">
      <w:pPr>
        <w:pStyle w:val="Default"/>
        <w:ind w:left="1080"/>
        <w:jc w:val="both"/>
        <w:rPr>
          <w:rFonts w:ascii="StobiSerif" w:hAnsi="StobiSerif" w:cs="Arial"/>
          <w:b/>
          <w:bCs/>
          <w:color w:val="auto"/>
          <w:sz w:val="20"/>
          <w:szCs w:val="20"/>
          <w:lang w:val="mk-MK"/>
        </w:rPr>
      </w:pPr>
      <w:r w:rsidRPr="00A61E4F">
        <w:rPr>
          <w:rFonts w:ascii="StobiSerif" w:hAnsi="StobiSerif" w:cs="Arial"/>
          <w:b/>
          <w:bCs/>
          <w:color w:val="auto"/>
          <w:sz w:val="20"/>
          <w:szCs w:val="20"/>
          <w:lang w:val="mk-MK"/>
        </w:rPr>
        <w:t>Предложено решение (опција):</w:t>
      </w:r>
    </w:p>
    <w:p w:rsidR="00911DB1" w:rsidRPr="00A61E4F" w:rsidRDefault="00911DB1" w:rsidP="00911DB1">
      <w:pPr>
        <w:pStyle w:val="Default"/>
        <w:ind w:left="1080"/>
        <w:jc w:val="both"/>
        <w:rPr>
          <w:rFonts w:ascii="StobiSerif" w:hAnsi="StobiSerif" w:cs="Arial"/>
          <w:b/>
          <w:bCs/>
          <w:color w:val="auto"/>
          <w:sz w:val="20"/>
          <w:szCs w:val="20"/>
          <w:lang w:val="mk-MK"/>
        </w:rPr>
      </w:pPr>
      <w:r w:rsidRPr="00A61E4F">
        <w:rPr>
          <w:rFonts w:ascii="StobiSerif" w:hAnsi="StobiSerif" w:cs="Arial"/>
          <w:b/>
          <w:bCs/>
          <w:color w:val="auto"/>
          <w:sz w:val="20"/>
          <w:szCs w:val="20"/>
          <w:lang w:val="mk-MK"/>
        </w:rPr>
        <w:t>Опис:</w:t>
      </w:r>
    </w:p>
    <w:p w:rsidR="00911DB1" w:rsidRPr="00A61E4F" w:rsidRDefault="00911DB1" w:rsidP="00911DB1">
      <w:pPr>
        <w:pStyle w:val="Default"/>
        <w:jc w:val="both"/>
        <w:rPr>
          <w:rFonts w:ascii="StobiSerif" w:hAnsi="StobiSerif" w:cs="Arial"/>
          <w:b/>
          <w:bCs/>
          <w:color w:val="auto"/>
          <w:sz w:val="20"/>
          <w:szCs w:val="20"/>
          <w:lang w:val="mk-MK"/>
        </w:rPr>
      </w:pPr>
    </w:p>
    <w:p w:rsidR="00911DB1" w:rsidRPr="00A61E4F" w:rsidRDefault="00911DB1" w:rsidP="00911DB1">
      <w:pPr>
        <w:spacing w:after="120"/>
        <w:jc w:val="both"/>
        <w:rPr>
          <w:rFonts w:ascii="StobiSerif" w:hAnsi="StobiSerif" w:cs="Arial"/>
          <w:sz w:val="20"/>
          <w:lang w:val="ru-RU"/>
        </w:rPr>
      </w:pPr>
      <w:r>
        <w:rPr>
          <w:rFonts w:ascii="StobiSerif" w:hAnsi="StobiSerif" w:cs="Arial"/>
          <w:sz w:val="20"/>
          <w:lang w:val="ru-RU"/>
        </w:rPr>
        <w:t xml:space="preserve">Унапредувањето на енергетската ефикасност е една од главните приоритети на владата на Република Македонија. За таа цел со Законот за енергетика и стратешките национални документи се пропишуваат активности со цел да се создадат услови за подобрена импелементација на мерките со кои се придонесува за унапредување на енергетската ефикасност и постигнување на националните индикативни цели за заштеда на енергија. </w:t>
      </w:r>
    </w:p>
    <w:p w:rsidR="00911DB1" w:rsidRDefault="00911DB1" w:rsidP="00911DB1">
      <w:pPr>
        <w:jc w:val="both"/>
        <w:rPr>
          <w:rFonts w:ascii="StobiSerif" w:hAnsi="StobiSerif" w:cs="Arial"/>
          <w:sz w:val="20"/>
          <w:lang w:val="ru-RU"/>
        </w:rPr>
      </w:pPr>
      <w:r>
        <w:rPr>
          <w:rFonts w:ascii="StobiSerif" w:hAnsi="StobiSerif" w:cs="Arial"/>
          <w:sz w:val="20"/>
          <w:lang w:val="ru-RU"/>
        </w:rPr>
        <w:t xml:space="preserve">Со предметните  дополнувања се воведува елаборат за енергетска ефикасност, со цел со истиот да се влијае кон изградба или значителна реконструкција на згради од аспект на повисока енергетска ефикасност. </w:t>
      </w:r>
    </w:p>
    <w:p w:rsidR="00911DB1" w:rsidRDefault="00911DB1" w:rsidP="00911DB1">
      <w:pPr>
        <w:jc w:val="both"/>
        <w:rPr>
          <w:rFonts w:ascii="StobiSerif" w:hAnsi="StobiSerif" w:cs="Arial"/>
          <w:color w:val="000000"/>
          <w:sz w:val="20"/>
          <w:lang w:val="mk-MK"/>
        </w:rPr>
      </w:pPr>
    </w:p>
    <w:p w:rsidR="00911DB1" w:rsidRPr="00CF1593" w:rsidRDefault="00911DB1" w:rsidP="00911DB1">
      <w:pPr>
        <w:jc w:val="both"/>
        <w:rPr>
          <w:rFonts w:ascii="StobiSerif" w:hAnsi="StobiSerif" w:cs="Arial"/>
          <w:sz w:val="20"/>
          <w:lang w:val="mk-MK"/>
        </w:rPr>
      </w:pPr>
    </w:p>
    <w:p w:rsidR="00911DB1" w:rsidRPr="00A61E4F" w:rsidRDefault="00911DB1" w:rsidP="00911DB1">
      <w:pPr>
        <w:pStyle w:val="Default"/>
        <w:numPr>
          <w:ilvl w:val="0"/>
          <w:numId w:val="2"/>
        </w:numPr>
        <w:jc w:val="both"/>
        <w:rPr>
          <w:rFonts w:ascii="StobiSerif" w:hAnsi="StobiSerif" w:cs="Arial"/>
          <w:b/>
          <w:bCs/>
          <w:color w:val="auto"/>
          <w:sz w:val="20"/>
          <w:szCs w:val="20"/>
          <w:lang w:val="mk-MK"/>
        </w:rPr>
      </w:pPr>
      <w:r w:rsidRPr="00A61E4F">
        <w:rPr>
          <w:rFonts w:ascii="StobiSerif" w:hAnsi="StobiSerif" w:cs="Arial"/>
          <w:b/>
          <w:bCs/>
          <w:color w:val="auto"/>
          <w:sz w:val="20"/>
          <w:szCs w:val="20"/>
          <w:lang w:val="mk-MK"/>
        </w:rPr>
        <w:t xml:space="preserve">Трошоци </w:t>
      </w:r>
    </w:p>
    <w:p w:rsidR="00911DB1" w:rsidRPr="00A61E4F" w:rsidRDefault="00911DB1" w:rsidP="00911DB1">
      <w:pPr>
        <w:pStyle w:val="Default"/>
        <w:jc w:val="both"/>
        <w:rPr>
          <w:rFonts w:ascii="StobiSerif" w:hAnsi="StobiSerif" w:cs="Arial"/>
          <w:bCs/>
          <w:color w:val="auto"/>
          <w:sz w:val="20"/>
          <w:szCs w:val="20"/>
          <w:lang w:val="mk-MK"/>
        </w:rPr>
      </w:pPr>
    </w:p>
    <w:p w:rsidR="00911DB1" w:rsidRPr="00A61E4F" w:rsidRDefault="00911DB1" w:rsidP="00911DB1">
      <w:pPr>
        <w:pStyle w:val="Default"/>
        <w:numPr>
          <w:ilvl w:val="0"/>
          <w:numId w:val="3"/>
        </w:numPr>
        <w:jc w:val="both"/>
        <w:rPr>
          <w:rFonts w:ascii="StobiSerif" w:hAnsi="StobiSerif" w:cs="Arial"/>
          <w:bCs/>
          <w:color w:val="auto"/>
          <w:sz w:val="20"/>
          <w:szCs w:val="20"/>
          <w:lang w:val="mk-MK"/>
        </w:rPr>
      </w:pPr>
      <w:r w:rsidRPr="00A61E4F">
        <w:rPr>
          <w:rFonts w:ascii="StobiSerif" w:hAnsi="StobiSerif" w:cs="Arial"/>
          <w:bCs/>
          <w:color w:val="auto"/>
          <w:sz w:val="20"/>
          <w:szCs w:val="20"/>
          <w:lang w:val="mk-MK"/>
        </w:rPr>
        <w:t>Дали опцијата предвидува воведување на нови формалности во смисла на обврска за правните или физичките лица да обезбедат уверенија, пријави, решенија, одобренија, овластувања, согласности, сертификати, дозволи, барања, изјави и други обрасци? Ако да, наведи ги формалностите.</w:t>
      </w:r>
    </w:p>
    <w:p w:rsidR="00911DB1" w:rsidRPr="00A61E4F" w:rsidRDefault="00911DB1" w:rsidP="00911DB1">
      <w:pPr>
        <w:pStyle w:val="Default"/>
        <w:ind w:left="720"/>
        <w:jc w:val="both"/>
        <w:rPr>
          <w:rFonts w:ascii="StobiSerif" w:hAnsi="StobiSerif" w:cs="Arial"/>
          <w:bCs/>
          <w:color w:val="auto"/>
          <w:sz w:val="20"/>
          <w:szCs w:val="20"/>
          <w:lang w:val="mk-MK"/>
        </w:rPr>
      </w:pPr>
      <w:r w:rsidRPr="00A61E4F">
        <w:rPr>
          <w:rFonts w:ascii="StobiSerif" w:hAnsi="StobiSerif" w:cs="Arial"/>
          <w:bCs/>
          <w:color w:val="auto"/>
          <w:sz w:val="20"/>
          <w:szCs w:val="20"/>
          <w:lang w:val="mk-MK"/>
        </w:rPr>
        <w:t>ДА- само за субјектите кои работа во секторот за енергетска ефикасност.</w:t>
      </w:r>
    </w:p>
    <w:p w:rsidR="00911DB1" w:rsidRPr="00A61E4F" w:rsidRDefault="00911DB1" w:rsidP="00911DB1">
      <w:pPr>
        <w:pStyle w:val="Default"/>
        <w:ind w:left="720"/>
        <w:jc w:val="both"/>
        <w:rPr>
          <w:rFonts w:ascii="StobiSerif" w:hAnsi="StobiSerif" w:cs="Arial"/>
          <w:bCs/>
          <w:color w:val="auto"/>
          <w:sz w:val="20"/>
          <w:szCs w:val="20"/>
          <w:lang w:val="mk-MK"/>
        </w:rPr>
      </w:pPr>
    </w:p>
    <w:p w:rsidR="00911DB1" w:rsidRPr="00A61E4F" w:rsidRDefault="00911DB1" w:rsidP="00911DB1">
      <w:pPr>
        <w:pStyle w:val="Default"/>
        <w:numPr>
          <w:ilvl w:val="0"/>
          <w:numId w:val="3"/>
        </w:numPr>
        <w:jc w:val="both"/>
        <w:rPr>
          <w:rFonts w:ascii="StobiSerif" w:hAnsi="StobiSerif" w:cs="Arial"/>
          <w:bCs/>
          <w:color w:val="auto"/>
          <w:sz w:val="20"/>
          <w:szCs w:val="20"/>
          <w:lang w:val="mk-MK"/>
        </w:rPr>
      </w:pPr>
      <w:r w:rsidRPr="00A61E4F">
        <w:rPr>
          <w:rFonts w:ascii="StobiSerif" w:hAnsi="StobiSerif" w:cs="Arial"/>
          <w:bCs/>
          <w:color w:val="auto"/>
          <w:sz w:val="20"/>
          <w:szCs w:val="20"/>
          <w:lang w:val="mk-MK"/>
        </w:rPr>
        <w:t>Дали опцијата ќе предизвика иницијални трошоци за министерствата, другите органи на државната управа? Ако да, образложи ги трошоците.</w:t>
      </w:r>
    </w:p>
    <w:p w:rsidR="00911DB1" w:rsidRDefault="00911DB1" w:rsidP="00911DB1">
      <w:pPr>
        <w:pStyle w:val="Default"/>
        <w:ind w:left="720"/>
        <w:jc w:val="both"/>
        <w:rPr>
          <w:rFonts w:ascii="StobiSerif" w:hAnsi="StobiSerif" w:cs="Arial"/>
          <w:bCs/>
          <w:color w:val="auto"/>
          <w:sz w:val="20"/>
          <w:szCs w:val="20"/>
          <w:lang w:val="mk-MK"/>
        </w:rPr>
      </w:pPr>
      <w:r>
        <w:rPr>
          <w:rFonts w:ascii="StobiSerif" w:hAnsi="StobiSerif" w:cs="Arial"/>
          <w:bCs/>
          <w:color w:val="auto"/>
          <w:sz w:val="20"/>
          <w:szCs w:val="20"/>
          <w:lang w:val="mk-MK"/>
        </w:rPr>
        <w:t>Се предвидува формирање на две Комисии за одобрување на елаборат за енергетска ефикасност на ниво на Министерство и на ниво на единиците на локалната самоуправа.</w:t>
      </w:r>
    </w:p>
    <w:p w:rsidR="00911DB1" w:rsidRDefault="00911DB1" w:rsidP="00911DB1">
      <w:pPr>
        <w:pStyle w:val="Default"/>
        <w:ind w:left="720"/>
        <w:jc w:val="both"/>
        <w:rPr>
          <w:rFonts w:ascii="StobiSerif" w:hAnsi="StobiSerif"/>
          <w:sz w:val="20"/>
          <w:szCs w:val="20"/>
          <w:lang w:val="mk-MK"/>
        </w:rPr>
      </w:pPr>
      <w:proofErr w:type="spellStart"/>
      <w:r w:rsidRPr="000F7A92">
        <w:rPr>
          <w:rFonts w:ascii="StobiSerif" w:hAnsi="StobiSerif"/>
          <w:sz w:val="20"/>
          <w:szCs w:val="20"/>
        </w:rPr>
        <w:t>Комисијата</w:t>
      </w:r>
      <w:proofErr w:type="spellEnd"/>
      <w:r w:rsidRPr="000F7A92">
        <w:rPr>
          <w:rFonts w:ascii="StobiSerif" w:hAnsi="StobiSerif"/>
          <w:sz w:val="20"/>
          <w:szCs w:val="20"/>
        </w:rPr>
        <w:t xml:space="preserve"> </w:t>
      </w:r>
      <w:r>
        <w:rPr>
          <w:rFonts w:ascii="StobiSerif" w:hAnsi="StobiSerif"/>
          <w:sz w:val="20"/>
          <w:szCs w:val="20"/>
          <w:lang w:val="mk-MK"/>
        </w:rPr>
        <w:t xml:space="preserve">формирана од Министерот </w:t>
      </w:r>
      <w:r w:rsidRPr="000F7A92">
        <w:rPr>
          <w:rFonts w:ascii="StobiSerif" w:hAnsi="StobiSerif"/>
          <w:sz w:val="20"/>
          <w:szCs w:val="20"/>
        </w:rPr>
        <w:t xml:space="preserve">е </w:t>
      </w:r>
      <w:proofErr w:type="spellStart"/>
      <w:r w:rsidRPr="000F7A92">
        <w:rPr>
          <w:rFonts w:ascii="StobiSerif" w:hAnsi="StobiSerif"/>
          <w:sz w:val="20"/>
          <w:szCs w:val="20"/>
        </w:rPr>
        <w:t>составена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Pr>
          <w:rFonts w:ascii="StobiSerif" w:hAnsi="StobiSerif"/>
          <w:sz w:val="20"/>
          <w:szCs w:val="20"/>
        </w:rPr>
        <w:t>седум</w:t>
      </w:r>
      <w:proofErr w:type="spellEnd"/>
      <w:r w:rsidRPr="000F7A92">
        <w:rPr>
          <w:rFonts w:ascii="StobiSerif" w:hAnsi="StobiSerif"/>
          <w:sz w:val="20"/>
          <w:szCs w:val="20"/>
        </w:rPr>
        <w:t xml:space="preserve"> </w:t>
      </w:r>
      <w:proofErr w:type="spellStart"/>
      <w:r w:rsidRPr="000F7A92">
        <w:rPr>
          <w:rFonts w:ascii="StobiSerif" w:hAnsi="StobiSerif"/>
          <w:sz w:val="20"/>
          <w:szCs w:val="20"/>
        </w:rPr>
        <w:t>члена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кои</w:t>
      </w:r>
      <w:proofErr w:type="spellEnd"/>
      <w:r w:rsidRPr="000F7A92">
        <w:rPr>
          <w:rFonts w:ascii="StobiSerif" w:hAnsi="StobiSerif"/>
          <w:sz w:val="20"/>
          <w:szCs w:val="20"/>
        </w:rPr>
        <w:t xml:space="preserve"> </w:t>
      </w:r>
      <w:proofErr w:type="spellStart"/>
      <w:r w:rsidRPr="000F7A92">
        <w:rPr>
          <w:rFonts w:ascii="StobiSerif" w:hAnsi="StobiSerif"/>
          <w:sz w:val="20"/>
          <w:szCs w:val="20"/>
        </w:rPr>
        <w:t>по</w:t>
      </w:r>
      <w:proofErr w:type="spellEnd"/>
      <w:r w:rsidRPr="000F7A92">
        <w:rPr>
          <w:rFonts w:ascii="StobiSerif" w:hAnsi="StobiSerif"/>
          <w:sz w:val="20"/>
          <w:szCs w:val="20"/>
        </w:rPr>
        <w:t xml:space="preserve"> </w:t>
      </w:r>
      <w:proofErr w:type="spellStart"/>
      <w:r w:rsidRPr="000F7A92">
        <w:rPr>
          <w:rFonts w:ascii="StobiSerif" w:hAnsi="StobiSerif"/>
          <w:sz w:val="20"/>
          <w:szCs w:val="20"/>
        </w:rPr>
        <w:t>еден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претставник</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Министерството</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надлежно</w:t>
      </w:r>
      <w:proofErr w:type="spellEnd"/>
      <w:r w:rsidRPr="000F7A92">
        <w:rPr>
          <w:rFonts w:ascii="StobiSerif" w:hAnsi="StobiSerif"/>
          <w:sz w:val="20"/>
          <w:szCs w:val="20"/>
        </w:rPr>
        <w:t xml:space="preserve"> </w:t>
      </w:r>
      <w:proofErr w:type="spellStart"/>
      <w:r w:rsidRPr="000F7A92">
        <w:rPr>
          <w:rFonts w:ascii="StobiSerif" w:hAnsi="StobiSerif"/>
          <w:sz w:val="20"/>
          <w:szCs w:val="20"/>
        </w:rPr>
        <w:t>за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работите</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енергетиката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министерството</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надлежно</w:t>
      </w:r>
      <w:proofErr w:type="spellEnd"/>
      <w:r w:rsidRPr="000F7A92">
        <w:rPr>
          <w:rFonts w:ascii="StobiSerif" w:hAnsi="StobiSerif"/>
          <w:sz w:val="20"/>
          <w:szCs w:val="20"/>
        </w:rPr>
        <w:t xml:space="preserve"> </w:t>
      </w:r>
      <w:proofErr w:type="spellStart"/>
      <w:r w:rsidRPr="000F7A92">
        <w:rPr>
          <w:rFonts w:ascii="StobiSerif" w:hAnsi="StobiSerif"/>
          <w:sz w:val="20"/>
          <w:szCs w:val="20"/>
        </w:rPr>
        <w:t>за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работите</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градежништвото</w:t>
      </w:r>
      <w:proofErr w:type="spellEnd"/>
      <w:r w:rsidRPr="000F7A92">
        <w:rPr>
          <w:rFonts w:ascii="StobiSerif" w:hAnsi="StobiSerif"/>
          <w:sz w:val="20"/>
          <w:szCs w:val="20"/>
        </w:rPr>
        <w:t xml:space="preserve">, </w:t>
      </w:r>
      <w:proofErr w:type="spellStart"/>
      <w:r>
        <w:rPr>
          <w:rFonts w:ascii="StobiSerif" w:hAnsi="StobiSerif"/>
          <w:sz w:val="20"/>
          <w:szCs w:val="20"/>
        </w:rPr>
        <w:t>Министерство</w:t>
      </w:r>
      <w:proofErr w:type="spellEnd"/>
      <w:r>
        <w:rPr>
          <w:rFonts w:ascii="StobiSerif" w:hAnsi="StobiSerif"/>
          <w:sz w:val="20"/>
          <w:szCs w:val="20"/>
        </w:rPr>
        <w:t xml:space="preserve"> </w:t>
      </w:r>
      <w:proofErr w:type="spellStart"/>
      <w:r>
        <w:rPr>
          <w:rFonts w:ascii="StobiSerif" w:hAnsi="StobiSerif"/>
          <w:sz w:val="20"/>
          <w:szCs w:val="20"/>
        </w:rPr>
        <w:t>надлежно</w:t>
      </w:r>
      <w:proofErr w:type="spellEnd"/>
      <w:r>
        <w:rPr>
          <w:rFonts w:ascii="StobiSerif" w:hAnsi="StobiSerif"/>
          <w:sz w:val="20"/>
          <w:szCs w:val="20"/>
        </w:rPr>
        <w:t xml:space="preserve"> </w:t>
      </w:r>
      <w:proofErr w:type="spellStart"/>
      <w:r>
        <w:rPr>
          <w:rFonts w:ascii="StobiSerif" w:hAnsi="StobiSerif"/>
          <w:sz w:val="20"/>
          <w:szCs w:val="20"/>
        </w:rPr>
        <w:t>за</w:t>
      </w:r>
      <w:proofErr w:type="spellEnd"/>
      <w:r>
        <w:rPr>
          <w:rFonts w:ascii="StobiSerif" w:hAnsi="StobiSerif"/>
          <w:sz w:val="20"/>
          <w:szCs w:val="20"/>
        </w:rPr>
        <w:t xml:space="preserve"> </w:t>
      </w:r>
      <w:proofErr w:type="spellStart"/>
      <w:r>
        <w:rPr>
          <w:rFonts w:ascii="StobiSerif" w:hAnsi="StobiSerif"/>
          <w:sz w:val="20"/>
          <w:szCs w:val="20"/>
        </w:rPr>
        <w:t>работи</w:t>
      </w:r>
      <w:proofErr w:type="spellEnd"/>
      <w:r>
        <w:rPr>
          <w:rFonts w:ascii="StobiSerif" w:hAnsi="StobiSerif"/>
          <w:sz w:val="20"/>
          <w:szCs w:val="20"/>
        </w:rPr>
        <w:t xml:space="preserve"> </w:t>
      </w:r>
      <w:proofErr w:type="spellStart"/>
      <w:r>
        <w:rPr>
          <w:rFonts w:ascii="StobiSerif" w:hAnsi="StobiSerif"/>
          <w:sz w:val="20"/>
          <w:szCs w:val="20"/>
        </w:rPr>
        <w:t>од</w:t>
      </w:r>
      <w:proofErr w:type="spellEnd"/>
      <w:r>
        <w:rPr>
          <w:rFonts w:ascii="StobiSerif" w:hAnsi="StobiSerif"/>
          <w:sz w:val="20"/>
          <w:szCs w:val="20"/>
        </w:rPr>
        <w:t xml:space="preserve"> </w:t>
      </w:r>
      <w:proofErr w:type="spellStart"/>
      <w:r>
        <w:rPr>
          <w:rFonts w:ascii="StobiSerif" w:hAnsi="StobiSerif"/>
          <w:sz w:val="20"/>
          <w:szCs w:val="20"/>
        </w:rPr>
        <w:t>областа</w:t>
      </w:r>
      <w:proofErr w:type="spellEnd"/>
      <w:r>
        <w:rPr>
          <w:rFonts w:ascii="StobiSerif" w:hAnsi="StobiSerif"/>
          <w:sz w:val="20"/>
          <w:szCs w:val="20"/>
        </w:rPr>
        <w:t xml:space="preserve"> </w:t>
      </w:r>
      <w:proofErr w:type="spellStart"/>
      <w:r>
        <w:rPr>
          <w:rFonts w:ascii="StobiSerif" w:hAnsi="StobiSerif"/>
          <w:sz w:val="20"/>
          <w:szCs w:val="20"/>
        </w:rPr>
        <w:t>на</w:t>
      </w:r>
      <w:proofErr w:type="spellEnd"/>
      <w:r>
        <w:rPr>
          <w:rFonts w:ascii="StobiSerif" w:hAnsi="StobiSerif"/>
          <w:sz w:val="20"/>
          <w:szCs w:val="20"/>
        </w:rPr>
        <w:t xml:space="preserve"> </w:t>
      </w:r>
      <w:proofErr w:type="spellStart"/>
      <w:r>
        <w:rPr>
          <w:rFonts w:ascii="StobiSerif" w:hAnsi="StobiSerif"/>
          <w:sz w:val="20"/>
          <w:szCs w:val="20"/>
        </w:rPr>
        <w:t>финансиите</w:t>
      </w:r>
      <w:proofErr w:type="spellEnd"/>
      <w:r>
        <w:rPr>
          <w:rFonts w:ascii="StobiSerif" w:hAnsi="StobiSerif"/>
          <w:sz w:val="20"/>
          <w:szCs w:val="20"/>
        </w:rPr>
        <w:t xml:space="preserve">, </w:t>
      </w:r>
      <w:proofErr w:type="spellStart"/>
      <w:r>
        <w:rPr>
          <w:rFonts w:ascii="StobiSerif" w:hAnsi="StobiSerif"/>
          <w:sz w:val="20"/>
          <w:szCs w:val="20"/>
        </w:rPr>
        <w:t>Министерство</w:t>
      </w:r>
      <w:proofErr w:type="spellEnd"/>
      <w:r>
        <w:rPr>
          <w:rFonts w:ascii="StobiSerif" w:hAnsi="StobiSerif"/>
          <w:sz w:val="20"/>
          <w:szCs w:val="20"/>
        </w:rPr>
        <w:t xml:space="preserve"> </w:t>
      </w:r>
      <w:proofErr w:type="spellStart"/>
      <w:r>
        <w:rPr>
          <w:rFonts w:ascii="StobiSerif" w:hAnsi="StobiSerif"/>
          <w:sz w:val="20"/>
          <w:szCs w:val="20"/>
        </w:rPr>
        <w:t>надлежно</w:t>
      </w:r>
      <w:proofErr w:type="spellEnd"/>
      <w:r>
        <w:rPr>
          <w:rFonts w:ascii="StobiSerif" w:hAnsi="StobiSerif"/>
          <w:sz w:val="20"/>
          <w:szCs w:val="20"/>
        </w:rPr>
        <w:t xml:space="preserve"> </w:t>
      </w:r>
      <w:proofErr w:type="spellStart"/>
      <w:r>
        <w:rPr>
          <w:rFonts w:ascii="StobiSerif" w:hAnsi="StobiSerif"/>
          <w:sz w:val="20"/>
          <w:szCs w:val="20"/>
        </w:rPr>
        <w:t>за</w:t>
      </w:r>
      <w:proofErr w:type="spellEnd"/>
      <w:r>
        <w:rPr>
          <w:rFonts w:ascii="StobiSerif" w:hAnsi="StobiSerif"/>
          <w:sz w:val="20"/>
          <w:szCs w:val="20"/>
        </w:rPr>
        <w:t xml:space="preserve"> </w:t>
      </w:r>
      <w:proofErr w:type="spellStart"/>
      <w:r>
        <w:rPr>
          <w:rFonts w:ascii="StobiSerif" w:hAnsi="StobiSerif"/>
          <w:sz w:val="20"/>
          <w:szCs w:val="20"/>
        </w:rPr>
        <w:t>работи</w:t>
      </w:r>
      <w:proofErr w:type="spellEnd"/>
      <w:r>
        <w:rPr>
          <w:rFonts w:ascii="StobiSerif" w:hAnsi="StobiSerif"/>
          <w:sz w:val="20"/>
          <w:szCs w:val="20"/>
        </w:rPr>
        <w:t xml:space="preserve"> </w:t>
      </w:r>
      <w:proofErr w:type="spellStart"/>
      <w:r>
        <w:rPr>
          <w:rFonts w:ascii="StobiSerif" w:hAnsi="StobiSerif"/>
          <w:sz w:val="20"/>
          <w:szCs w:val="20"/>
        </w:rPr>
        <w:t>од</w:t>
      </w:r>
      <w:proofErr w:type="spellEnd"/>
      <w:r>
        <w:rPr>
          <w:rFonts w:ascii="StobiSerif" w:hAnsi="StobiSerif"/>
          <w:sz w:val="20"/>
          <w:szCs w:val="20"/>
        </w:rPr>
        <w:t xml:space="preserve"> </w:t>
      </w:r>
      <w:proofErr w:type="spellStart"/>
      <w:r>
        <w:rPr>
          <w:rFonts w:ascii="StobiSerif" w:hAnsi="StobiSerif"/>
          <w:sz w:val="20"/>
          <w:szCs w:val="20"/>
        </w:rPr>
        <w:t>областа</w:t>
      </w:r>
      <w:proofErr w:type="spellEnd"/>
      <w:r>
        <w:rPr>
          <w:rFonts w:ascii="StobiSerif" w:hAnsi="StobiSerif"/>
          <w:sz w:val="20"/>
          <w:szCs w:val="20"/>
        </w:rPr>
        <w:t xml:space="preserve"> </w:t>
      </w:r>
      <w:proofErr w:type="spellStart"/>
      <w:r>
        <w:rPr>
          <w:rFonts w:ascii="StobiSerif" w:hAnsi="StobiSerif"/>
          <w:sz w:val="20"/>
          <w:szCs w:val="20"/>
        </w:rPr>
        <w:t>на</w:t>
      </w:r>
      <w:proofErr w:type="spellEnd"/>
      <w:r>
        <w:rPr>
          <w:rFonts w:ascii="StobiSerif" w:hAnsi="StobiSerif"/>
          <w:sz w:val="20"/>
          <w:szCs w:val="20"/>
        </w:rPr>
        <w:t xml:space="preserve"> </w:t>
      </w:r>
      <w:proofErr w:type="spellStart"/>
      <w:r>
        <w:rPr>
          <w:rFonts w:ascii="StobiSerif" w:hAnsi="StobiSerif"/>
          <w:sz w:val="20"/>
          <w:szCs w:val="20"/>
        </w:rPr>
        <w:t>животната</w:t>
      </w:r>
      <w:proofErr w:type="spellEnd"/>
      <w:r>
        <w:rPr>
          <w:rFonts w:ascii="StobiSerif" w:hAnsi="StobiSerif"/>
          <w:sz w:val="20"/>
          <w:szCs w:val="20"/>
        </w:rPr>
        <w:t xml:space="preserve"> </w:t>
      </w:r>
      <w:proofErr w:type="spellStart"/>
      <w:r>
        <w:rPr>
          <w:rFonts w:ascii="StobiSerif" w:hAnsi="StobiSerif"/>
          <w:sz w:val="20"/>
          <w:szCs w:val="20"/>
        </w:rPr>
        <w:t>средина</w:t>
      </w:r>
      <w:proofErr w:type="spellEnd"/>
      <w:r>
        <w:rPr>
          <w:rFonts w:ascii="StobiSerif" w:hAnsi="StobiSerif"/>
          <w:sz w:val="20"/>
          <w:szCs w:val="20"/>
        </w:rPr>
        <w:t xml:space="preserve">, </w:t>
      </w:r>
      <w:proofErr w:type="spellStart"/>
      <w:r w:rsidRPr="000F7A92">
        <w:rPr>
          <w:rFonts w:ascii="StobiSerif" w:hAnsi="StobiSerif"/>
          <w:sz w:val="20"/>
          <w:szCs w:val="20"/>
        </w:rPr>
        <w:t>Комората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овластени</w:t>
      </w:r>
      <w:proofErr w:type="spellEnd"/>
      <w:r w:rsidRPr="000F7A92">
        <w:rPr>
          <w:rFonts w:ascii="StobiSerif" w:hAnsi="StobiSerif"/>
          <w:sz w:val="20"/>
          <w:szCs w:val="20"/>
        </w:rPr>
        <w:t xml:space="preserve"> </w:t>
      </w:r>
      <w:proofErr w:type="spellStart"/>
      <w:r w:rsidRPr="000F7A92">
        <w:rPr>
          <w:rFonts w:ascii="StobiSerif" w:hAnsi="StobiSerif"/>
          <w:sz w:val="20"/>
          <w:szCs w:val="20"/>
        </w:rPr>
        <w:t>архитекти</w:t>
      </w:r>
      <w:proofErr w:type="spellEnd"/>
      <w:r w:rsidRPr="000F7A92">
        <w:rPr>
          <w:rFonts w:ascii="StobiSerif" w:hAnsi="StobiSerif"/>
          <w:sz w:val="20"/>
          <w:szCs w:val="20"/>
        </w:rPr>
        <w:t xml:space="preserve"> и </w:t>
      </w:r>
      <w:proofErr w:type="spellStart"/>
      <w:r w:rsidRPr="000F7A92">
        <w:rPr>
          <w:rFonts w:ascii="StobiSerif" w:hAnsi="StobiSerif"/>
          <w:sz w:val="20"/>
          <w:szCs w:val="20"/>
        </w:rPr>
        <w:t>овластени</w:t>
      </w:r>
      <w:proofErr w:type="spellEnd"/>
      <w:r w:rsidRPr="000F7A92">
        <w:rPr>
          <w:rFonts w:ascii="StobiSerif" w:hAnsi="StobiSerif"/>
          <w:sz w:val="20"/>
          <w:szCs w:val="20"/>
        </w:rPr>
        <w:t xml:space="preserve"> </w:t>
      </w:r>
      <w:proofErr w:type="spellStart"/>
      <w:r w:rsidRPr="000F7A92">
        <w:rPr>
          <w:rFonts w:ascii="StobiSerif" w:hAnsi="StobiSerif"/>
          <w:sz w:val="20"/>
          <w:szCs w:val="20"/>
        </w:rPr>
        <w:lastRenderedPageBreak/>
        <w:t>инжинери</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Република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Македонија</w:t>
      </w:r>
      <w:proofErr w:type="spellEnd"/>
      <w:r w:rsidRPr="000F7A92">
        <w:rPr>
          <w:rFonts w:ascii="StobiSerif" w:hAnsi="StobiSerif"/>
          <w:sz w:val="20"/>
          <w:szCs w:val="20"/>
        </w:rPr>
        <w:t xml:space="preserve"> и </w:t>
      </w:r>
      <w:proofErr w:type="spellStart"/>
      <w:r w:rsidRPr="000F7A92">
        <w:rPr>
          <w:rFonts w:ascii="StobiSerif" w:hAnsi="StobiSerif"/>
          <w:sz w:val="20"/>
          <w:szCs w:val="20"/>
        </w:rPr>
        <w:t>двајца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надворешни</w:t>
      </w:r>
      <w:proofErr w:type="spellEnd"/>
      <w:r w:rsidRPr="000F7A92">
        <w:rPr>
          <w:rFonts w:ascii="StobiSerif" w:hAnsi="StobiSerif"/>
          <w:sz w:val="20"/>
          <w:szCs w:val="20"/>
        </w:rPr>
        <w:t xml:space="preserve"> </w:t>
      </w:r>
      <w:proofErr w:type="spellStart"/>
      <w:r w:rsidRPr="000F7A92">
        <w:rPr>
          <w:rFonts w:ascii="StobiSerif" w:hAnsi="StobiSerif"/>
          <w:sz w:val="20"/>
          <w:szCs w:val="20"/>
        </w:rPr>
        <w:t>експерти</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кои</w:t>
      </w:r>
      <w:proofErr w:type="spellEnd"/>
      <w:r w:rsidRPr="000F7A92">
        <w:rPr>
          <w:rFonts w:ascii="StobiSerif" w:hAnsi="StobiSerif"/>
          <w:sz w:val="20"/>
          <w:szCs w:val="20"/>
        </w:rPr>
        <w:t xml:space="preserve"> </w:t>
      </w:r>
      <w:proofErr w:type="spellStart"/>
      <w:r w:rsidRPr="000F7A92">
        <w:rPr>
          <w:rFonts w:ascii="StobiSerif" w:hAnsi="StobiSerif"/>
          <w:sz w:val="20"/>
          <w:szCs w:val="20"/>
        </w:rPr>
        <w:t>еден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градежништвото</w:t>
      </w:r>
      <w:proofErr w:type="spellEnd"/>
      <w:r w:rsidRPr="000F7A92">
        <w:rPr>
          <w:rFonts w:ascii="StobiSerif" w:hAnsi="StobiSerif"/>
          <w:sz w:val="20"/>
          <w:szCs w:val="20"/>
        </w:rPr>
        <w:t xml:space="preserve"> и </w:t>
      </w:r>
      <w:proofErr w:type="spellStart"/>
      <w:r w:rsidRPr="000F7A92">
        <w:rPr>
          <w:rFonts w:ascii="StobiSerif" w:hAnsi="StobiSerif"/>
          <w:sz w:val="20"/>
          <w:szCs w:val="20"/>
        </w:rPr>
        <w:t>еден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енергетската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ефикасност</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Pr>
          <w:rFonts w:ascii="StobiSerif" w:hAnsi="StobiSerif"/>
          <w:sz w:val="20"/>
          <w:szCs w:val="20"/>
        </w:rPr>
        <w:t>надворешните</w:t>
      </w:r>
      <w:proofErr w:type="spellEnd"/>
      <w:r>
        <w:rPr>
          <w:rFonts w:ascii="StobiSerif" w:hAnsi="StobiSerif"/>
          <w:sz w:val="20"/>
          <w:szCs w:val="20"/>
        </w:rPr>
        <w:t xml:space="preserve"> </w:t>
      </w:r>
      <w:proofErr w:type="spellStart"/>
      <w:r w:rsidRPr="000F7A92">
        <w:rPr>
          <w:rFonts w:ascii="StobiSerif" w:hAnsi="StobiSerif"/>
          <w:sz w:val="20"/>
          <w:szCs w:val="20"/>
        </w:rPr>
        <w:t>членови</w:t>
      </w:r>
      <w:proofErr w:type="spellEnd"/>
      <w:r w:rsidRPr="000F7A92">
        <w:rPr>
          <w:rFonts w:ascii="StobiSerif" w:hAnsi="StobiSerif"/>
          <w:sz w:val="20"/>
          <w:szCs w:val="20"/>
        </w:rPr>
        <w:t xml:space="preserve"> </w:t>
      </w:r>
      <w:proofErr w:type="spellStart"/>
      <w:proofErr w:type="gram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Комисијата</w:t>
      </w:r>
      <w:proofErr w:type="spellEnd"/>
      <w:proofErr w:type="gramEnd"/>
      <w:r w:rsidRPr="000F7A92">
        <w:rPr>
          <w:rFonts w:ascii="StobiSerif" w:hAnsi="StobiSerif"/>
          <w:sz w:val="20"/>
          <w:szCs w:val="20"/>
        </w:rPr>
        <w:t xml:space="preserve"> </w:t>
      </w:r>
      <w:proofErr w:type="spellStart"/>
      <w:r w:rsidRPr="000F7A92">
        <w:rPr>
          <w:rFonts w:ascii="StobiSerif" w:hAnsi="StobiSerif"/>
          <w:sz w:val="20"/>
          <w:szCs w:val="20"/>
        </w:rPr>
        <w:t>им</w:t>
      </w:r>
      <w:proofErr w:type="spellEnd"/>
      <w:r w:rsidRPr="000F7A92">
        <w:rPr>
          <w:rFonts w:ascii="StobiSerif" w:hAnsi="StobiSerif"/>
          <w:sz w:val="20"/>
          <w:szCs w:val="20"/>
        </w:rPr>
        <w:t xml:space="preserve"> </w:t>
      </w:r>
      <w:proofErr w:type="spellStart"/>
      <w:r w:rsidRPr="000F7A92">
        <w:rPr>
          <w:rFonts w:ascii="StobiSerif" w:hAnsi="StobiSerif"/>
          <w:sz w:val="20"/>
          <w:szCs w:val="20"/>
        </w:rPr>
        <w:t>следува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месечен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надоместок</w:t>
      </w:r>
      <w:proofErr w:type="spellEnd"/>
      <w:r w:rsidRPr="000F7A92">
        <w:rPr>
          <w:rFonts w:ascii="StobiSerif" w:hAnsi="StobiSerif"/>
          <w:sz w:val="20"/>
          <w:szCs w:val="20"/>
        </w:rPr>
        <w:t xml:space="preserve"> </w:t>
      </w:r>
      <w:proofErr w:type="spellStart"/>
      <w:r w:rsidRPr="000F7A92">
        <w:rPr>
          <w:rFonts w:ascii="StobiSerif" w:hAnsi="StobiSerif"/>
          <w:sz w:val="20"/>
          <w:szCs w:val="20"/>
        </w:rPr>
        <w:t>за</w:t>
      </w:r>
      <w:proofErr w:type="spellEnd"/>
      <w:r w:rsidRPr="000F7A92">
        <w:rPr>
          <w:rFonts w:ascii="StobiSerif" w:hAnsi="StobiSerif"/>
          <w:sz w:val="20"/>
          <w:szCs w:val="20"/>
        </w:rPr>
        <w:t xml:space="preserve"> </w:t>
      </w:r>
      <w:proofErr w:type="spellStart"/>
      <w:r w:rsidRPr="000F7A92">
        <w:rPr>
          <w:rFonts w:ascii="StobiSerif" w:hAnsi="StobiSerif"/>
          <w:sz w:val="20"/>
          <w:szCs w:val="20"/>
        </w:rPr>
        <w:t>извршената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работа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што</w:t>
      </w:r>
      <w:proofErr w:type="spellEnd"/>
      <w:r w:rsidRPr="000F7A92">
        <w:rPr>
          <w:rFonts w:ascii="StobiSerif" w:hAnsi="StobiSerif"/>
          <w:sz w:val="20"/>
          <w:szCs w:val="20"/>
        </w:rPr>
        <w:t xml:space="preserve"> </w:t>
      </w:r>
      <w:proofErr w:type="spellStart"/>
      <w:r w:rsidRPr="000F7A92">
        <w:rPr>
          <w:rFonts w:ascii="StobiSerif" w:hAnsi="StobiSerif"/>
          <w:sz w:val="20"/>
          <w:szCs w:val="20"/>
        </w:rPr>
        <w:t>го</w:t>
      </w:r>
      <w:proofErr w:type="spellEnd"/>
      <w:r w:rsidRPr="000F7A92">
        <w:rPr>
          <w:rFonts w:ascii="StobiSerif" w:hAnsi="StobiSerif"/>
          <w:sz w:val="20"/>
          <w:szCs w:val="20"/>
        </w:rPr>
        <w:t xml:space="preserve"> </w:t>
      </w:r>
      <w:proofErr w:type="spellStart"/>
      <w:r w:rsidRPr="000F7A92">
        <w:rPr>
          <w:rFonts w:ascii="StobiSerif" w:hAnsi="StobiSerif"/>
          <w:sz w:val="20"/>
          <w:szCs w:val="20"/>
        </w:rPr>
        <w:t>определува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министерот</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надлежен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за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работите</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енергетиката</w:t>
      </w:r>
      <w:proofErr w:type="spellEnd"/>
      <w:r w:rsidRPr="000F7A92">
        <w:rPr>
          <w:rFonts w:ascii="StobiSerif" w:hAnsi="StobiSerif"/>
          <w:sz w:val="20"/>
          <w:szCs w:val="20"/>
        </w:rPr>
        <w:t xml:space="preserve">, а </w:t>
      </w:r>
      <w:proofErr w:type="spellStart"/>
      <w:r w:rsidRPr="000F7A92">
        <w:rPr>
          <w:rFonts w:ascii="StobiSerif" w:hAnsi="StobiSerif"/>
          <w:sz w:val="20"/>
          <w:szCs w:val="20"/>
        </w:rPr>
        <w:t>средствата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се</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обезбедуваат</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Буџетот</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Република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Македонија</w:t>
      </w:r>
      <w:proofErr w:type="spellEnd"/>
      <w:r w:rsidRPr="000F7A92">
        <w:rPr>
          <w:rFonts w:ascii="StobiSerif" w:hAnsi="StobiSerif"/>
          <w:sz w:val="20"/>
          <w:szCs w:val="20"/>
        </w:rPr>
        <w:t xml:space="preserve">.   </w:t>
      </w:r>
    </w:p>
    <w:p w:rsidR="00911DB1" w:rsidRPr="004165E9" w:rsidRDefault="00911DB1" w:rsidP="00911DB1">
      <w:pPr>
        <w:pStyle w:val="Default"/>
        <w:ind w:left="720"/>
        <w:jc w:val="both"/>
        <w:rPr>
          <w:rFonts w:ascii="StobiSerif" w:hAnsi="StobiSerif"/>
          <w:sz w:val="20"/>
          <w:szCs w:val="20"/>
          <w:lang w:val="mk-MK"/>
        </w:rPr>
      </w:pPr>
    </w:p>
    <w:p w:rsidR="00911DB1" w:rsidRPr="000F7A92" w:rsidRDefault="00911DB1" w:rsidP="00911DB1">
      <w:pPr>
        <w:ind w:left="680"/>
        <w:jc w:val="both"/>
        <w:rPr>
          <w:rFonts w:ascii="StobiSerif" w:hAnsi="StobiSerif"/>
          <w:color w:val="000000"/>
          <w:sz w:val="20"/>
        </w:rPr>
      </w:pPr>
      <w:proofErr w:type="spellStart"/>
      <w:proofErr w:type="gramStart"/>
      <w:r w:rsidRPr="000F7A92">
        <w:rPr>
          <w:rFonts w:ascii="StobiSerif" w:hAnsi="StobiSerif"/>
          <w:color w:val="000000"/>
          <w:sz w:val="20"/>
        </w:rPr>
        <w:t>Комисијата</w:t>
      </w:r>
      <w:proofErr w:type="spellEnd"/>
      <w:r>
        <w:rPr>
          <w:rFonts w:ascii="StobiSerif" w:hAnsi="StobiSerif"/>
          <w:color w:val="000000"/>
          <w:sz w:val="20"/>
          <w:lang w:val="mk-MK"/>
        </w:rPr>
        <w:t xml:space="preserve"> </w:t>
      </w:r>
      <w:proofErr w:type="spellStart"/>
      <w:r w:rsidRPr="000F7A92">
        <w:rPr>
          <w:rFonts w:ascii="StobiSerif" w:hAnsi="StobiSerif"/>
          <w:color w:val="000000"/>
          <w:sz w:val="20"/>
        </w:rPr>
        <w:t>формира</w:t>
      </w:r>
      <w:proofErr w:type="spellEnd"/>
      <w:r>
        <w:rPr>
          <w:rFonts w:ascii="StobiSerif" w:hAnsi="StobiSerif"/>
          <w:color w:val="000000"/>
          <w:sz w:val="20"/>
          <w:lang w:val="mk-MK"/>
        </w:rPr>
        <w:t xml:space="preserve">на од </w:t>
      </w:r>
      <w:proofErr w:type="spellStart"/>
      <w:r w:rsidRPr="000F7A92">
        <w:rPr>
          <w:rFonts w:ascii="StobiSerif" w:hAnsi="StobiSerif"/>
          <w:color w:val="000000"/>
          <w:sz w:val="20"/>
        </w:rPr>
        <w:t>Градоначалникот</w:t>
      </w:r>
      <w:proofErr w:type="spellEnd"/>
      <w:r>
        <w:rPr>
          <w:rFonts w:ascii="StobiSerif" w:hAnsi="StobiSerif"/>
          <w:color w:val="000000"/>
          <w:sz w:val="20"/>
          <w:lang w:val="mk-MK"/>
        </w:rPr>
        <w:t xml:space="preserve"> </w:t>
      </w:r>
      <w:r w:rsidRPr="000F7A92">
        <w:rPr>
          <w:rFonts w:ascii="StobiSerif" w:hAnsi="StobiSerif"/>
          <w:color w:val="000000"/>
          <w:sz w:val="20"/>
        </w:rPr>
        <w:t xml:space="preserve">е </w:t>
      </w:r>
      <w:proofErr w:type="spellStart"/>
      <w:r w:rsidRPr="000F7A92">
        <w:rPr>
          <w:rFonts w:ascii="StobiSerif" w:hAnsi="StobiSerif"/>
          <w:color w:val="000000"/>
          <w:sz w:val="20"/>
        </w:rPr>
        <w:t>составена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w:t>
      </w:r>
      <w:r>
        <w:rPr>
          <w:rFonts w:ascii="StobiSerif" w:hAnsi="StobiSerif"/>
          <w:color w:val="000000"/>
          <w:sz w:val="20"/>
          <w:lang w:val="mk-MK"/>
        </w:rPr>
        <w:t>пет</w:t>
      </w:r>
      <w:r w:rsidRPr="000F7A92">
        <w:rPr>
          <w:rFonts w:ascii="StobiSerif" w:hAnsi="StobiSerif"/>
          <w:color w:val="000000"/>
          <w:sz w:val="20"/>
        </w:rPr>
        <w:t xml:space="preserve"> </w:t>
      </w:r>
      <w:proofErr w:type="spellStart"/>
      <w:r w:rsidRPr="000F7A92">
        <w:rPr>
          <w:rFonts w:ascii="StobiSerif" w:hAnsi="StobiSerif"/>
          <w:color w:val="000000"/>
          <w:sz w:val="20"/>
        </w:rPr>
        <w:t>члена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кои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се</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експерти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областа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енергетската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ефикасност</w:t>
      </w:r>
      <w:proofErr w:type="spellEnd"/>
      <w:r w:rsidRPr="000F7A92">
        <w:rPr>
          <w:rFonts w:ascii="StobiSerif" w:hAnsi="StobiSerif"/>
          <w:color w:val="000000"/>
          <w:sz w:val="20"/>
        </w:rPr>
        <w:t xml:space="preserve"> и </w:t>
      </w:r>
      <w:proofErr w:type="spellStart"/>
      <w:r w:rsidRPr="000F7A92">
        <w:rPr>
          <w:rFonts w:ascii="StobiSerif" w:hAnsi="StobiSerif"/>
          <w:color w:val="000000"/>
          <w:sz w:val="20"/>
        </w:rPr>
        <w:t>градежништвото</w:t>
      </w:r>
      <w:proofErr w:type="spellEnd"/>
      <w:r w:rsidRPr="000F7A92">
        <w:rPr>
          <w:rFonts w:ascii="StobiSerif" w:hAnsi="StobiSerif"/>
          <w:color w:val="000000"/>
          <w:sz w:val="20"/>
        </w:rPr>
        <w:t>.</w:t>
      </w:r>
      <w:proofErr w:type="gramEnd"/>
      <w:r w:rsidRPr="000F7A92">
        <w:rPr>
          <w:rFonts w:ascii="StobiSerif" w:hAnsi="StobiSerif"/>
          <w:color w:val="000000"/>
          <w:sz w:val="20"/>
        </w:rPr>
        <w:t xml:space="preserve"> </w:t>
      </w:r>
      <w:proofErr w:type="spellStart"/>
      <w:proofErr w:type="gramStart"/>
      <w:r w:rsidRPr="000F7A92">
        <w:rPr>
          <w:rFonts w:ascii="StobiSerif" w:hAnsi="StobiSerif"/>
          <w:color w:val="000000"/>
          <w:sz w:val="20"/>
        </w:rPr>
        <w:t>На</w:t>
      </w:r>
      <w:proofErr w:type="spellEnd"/>
      <w:r w:rsidRPr="000F7A92">
        <w:rPr>
          <w:rFonts w:ascii="StobiSerif" w:hAnsi="StobiSerif"/>
          <w:color w:val="000000"/>
          <w:sz w:val="20"/>
        </w:rPr>
        <w:t xml:space="preserve"> </w:t>
      </w:r>
      <w:r>
        <w:rPr>
          <w:rFonts w:ascii="StobiSerif" w:hAnsi="StobiSerif"/>
          <w:color w:val="000000"/>
          <w:sz w:val="20"/>
          <w:lang w:val="mk-MK"/>
        </w:rPr>
        <w:t xml:space="preserve">надворешните </w:t>
      </w:r>
      <w:proofErr w:type="spellStart"/>
      <w:r w:rsidRPr="000F7A92">
        <w:rPr>
          <w:rFonts w:ascii="StobiSerif" w:hAnsi="StobiSerif"/>
          <w:color w:val="000000"/>
          <w:sz w:val="20"/>
        </w:rPr>
        <w:t>членовите</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Комисијата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им</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следува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месечен</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надоместок</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за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извршената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работа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што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го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определува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градоначалниот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единицата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локалната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самоуправа</w:t>
      </w:r>
      <w:proofErr w:type="spellEnd"/>
      <w:r w:rsidRPr="000F7A92">
        <w:rPr>
          <w:rFonts w:ascii="StobiSerif" w:hAnsi="StobiSerif"/>
          <w:color w:val="000000"/>
          <w:sz w:val="20"/>
        </w:rPr>
        <w:t xml:space="preserve">, а </w:t>
      </w:r>
      <w:proofErr w:type="spellStart"/>
      <w:r w:rsidRPr="000F7A92">
        <w:rPr>
          <w:rFonts w:ascii="StobiSerif" w:hAnsi="StobiSerif"/>
          <w:color w:val="000000"/>
          <w:sz w:val="20"/>
        </w:rPr>
        <w:t>средствата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се</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обезбедуваат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средствата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Буџетот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единицата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локалната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самоуправа</w:t>
      </w:r>
      <w:proofErr w:type="spellEnd"/>
      <w:r w:rsidRPr="000F7A92">
        <w:rPr>
          <w:rFonts w:ascii="StobiSerif" w:hAnsi="StobiSerif"/>
          <w:color w:val="000000"/>
          <w:sz w:val="20"/>
        </w:rPr>
        <w:t>.</w:t>
      </w:r>
      <w:proofErr w:type="gramEnd"/>
    </w:p>
    <w:p w:rsidR="00911DB1" w:rsidRDefault="00911DB1" w:rsidP="00911DB1">
      <w:pPr>
        <w:jc w:val="both"/>
        <w:rPr>
          <w:rFonts w:ascii="StobiSerif" w:hAnsi="StobiSerif"/>
          <w:color w:val="000000"/>
          <w:sz w:val="20"/>
          <w:lang w:val="mk-MK"/>
        </w:rPr>
      </w:pPr>
    </w:p>
    <w:p w:rsidR="00911DB1" w:rsidRPr="000F7A92" w:rsidRDefault="00911DB1" w:rsidP="00911DB1">
      <w:pPr>
        <w:ind w:left="680"/>
        <w:jc w:val="both"/>
        <w:rPr>
          <w:rFonts w:ascii="StobiSerif" w:hAnsi="StobiSerif"/>
          <w:color w:val="000000"/>
          <w:sz w:val="20"/>
          <w:lang w:val="en-US"/>
        </w:rPr>
      </w:pPr>
      <w:proofErr w:type="spellStart"/>
      <w:proofErr w:type="gramStart"/>
      <w:r w:rsidRPr="000F7A92">
        <w:rPr>
          <w:rFonts w:ascii="StobiSerif" w:hAnsi="StobiSerif"/>
          <w:color w:val="000000"/>
          <w:sz w:val="20"/>
        </w:rPr>
        <w:t>Месечните</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надоместоци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не</w:t>
      </w:r>
      <w:proofErr w:type="spellEnd"/>
      <w:r>
        <w:rPr>
          <w:rFonts w:ascii="StobiSerif" w:hAnsi="StobiSerif"/>
          <w:color w:val="000000"/>
          <w:sz w:val="20"/>
          <w:lang w:val="mk-MK"/>
        </w:rPr>
        <w:t xml:space="preserve"> </w:t>
      </w:r>
      <w:proofErr w:type="spellStart"/>
      <w:r w:rsidRPr="000F7A92">
        <w:rPr>
          <w:rFonts w:ascii="StobiSerif" w:hAnsi="StobiSerif"/>
          <w:color w:val="000000"/>
          <w:sz w:val="20"/>
        </w:rPr>
        <w:t>можат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да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бидат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повисоки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30%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просечна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плата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исплатена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во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Република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Македонија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во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претходната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календарска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година</w:t>
      </w:r>
      <w:proofErr w:type="spellEnd"/>
      <w:r w:rsidRPr="000F7A92">
        <w:rPr>
          <w:rFonts w:ascii="StobiSerif" w:hAnsi="StobiSerif"/>
          <w:color w:val="000000"/>
          <w:sz w:val="20"/>
          <w:lang w:val="en-US"/>
        </w:rPr>
        <w:t>.</w:t>
      </w:r>
      <w:proofErr w:type="gramEnd"/>
    </w:p>
    <w:p w:rsidR="00911DB1" w:rsidRDefault="00911DB1" w:rsidP="00911DB1">
      <w:pPr>
        <w:pStyle w:val="Default"/>
        <w:ind w:left="720"/>
        <w:jc w:val="both"/>
        <w:rPr>
          <w:rFonts w:ascii="StobiSerif" w:hAnsi="StobiSerif" w:cs="Arial"/>
          <w:bCs/>
          <w:color w:val="auto"/>
          <w:sz w:val="20"/>
          <w:szCs w:val="20"/>
          <w:lang w:val="mk-MK"/>
        </w:rPr>
      </w:pPr>
    </w:p>
    <w:p w:rsidR="00911DB1" w:rsidRPr="00A61E4F" w:rsidRDefault="00911DB1" w:rsidP="00911DB1">
      <w:pPr>
        <w:pStyle w:val="Default"/>
        <w:jc w:val="both"/>
        <w:rPr>
          <w:rFonts w:ascii="StobiSerif" w:hAnsi="StobiSerif" w:cs="Arial"/>
          <w:bCs/>
          <w:color w:val="auto"/>
          <w:sz w:val="20"/>
          <w:szCs w:val="20"/>
          <w:lang w:val="mk-MK"/>
        </w:rPr>
      </w:pPr>
    </w:p>
    <w:p w:rsidR="00911DB1" w:rsidRPr="00A61E4F" w:rsidRDefault="00911DB1" w:rsidP="00911DB1">
      <w:pPr>
        <w:pStyle w:val="Default"/>
        <w:numPr>
          <w:ilvl w:val="0"/>
          <w:numId w:val="3"/>
        </w:numPr>
        <w:jc w:val="both"/>
        <w:rPr>
          <w:rFonts w:ascii="StobiSerif" w:hAnsi="StobiSerif" w:cs="Arial"/>
          <w:bCs/>
          <w:color w:val="auto"/>
          <w:sz w:val="20"/>
          <w:szCs w:val="20"/>
          <w:lang w:val="mk-MK"/>
        </w:rPr>
      </w:pPr>
      <w:r w:rsidRPr="00A61E4F">
        <w:rPr>
          <w:rFonts w:ascii="StobiSerif" w:hAnsi="StobiSerif" w:cs="Arial"/>
          <w:bCs/>
          <w:color w:val="auto"/>
          <w:sz w:val="20"/>
          <w:szCs w:val="20"/>
          <w:lang w:val="mk-MK"/>
        </w:rPr>
        <w:t>Дали опцијата ќе предизвика континуирани трошоци за министерствата и другите органи на државната управа. Ако да, образложи ги трошоците.</w:t>
      </w:r>
    </w:p>
    <w:p w:rsidR="00911DB1" w:rsidRPr="00A61E4F" w:rsidRDefault="00911DB1" w:rsidP="00911DB1">
      <w:pPr>
        <w:pStyle w:val="Default"/>
        <w:ind w:left="720"/>
        <w:jc w:val="both"/>
        <w:rPr>
          <w:rFonts w:ascii="StobiSerif" w:hAnsi="StobiSerif" w:cs="Arial"/>
          <w:bCs/>
          <w:color w:val="auto"/>
          <w:sz w:val="20"/>
          <w:szCs w:val="20"/>
          <w:lang w:val="mk-MK"/>
        </w:rPr>
      </w:pPr>
      <w:r>
        <w:rPr>
          <w:rFonts w:ascii="StobiSerif" w:hAnsi="StobiSerif" w:cs="Arial"/>
          <w:bCs/>
          <w:color w:val="auto"/>
          <w:sz w:val="20"/>
          <w:szCs w:val="20"/>
          <w:lang w:val="mk-MK"/>
        </w:rPr>
        <w:t>Да, во однос на гореспоменатите Комисии кои че имаат мандат од 4 години</w:t>
      </w:r>
    </w:p>
    <w:p w:rsidR="00911DB1" w:rsidRPr="00A61E4F" w:rsidRDefault="00911DB1" w:rsidP="00911DB1">
      <w:pPr>
        <w:pStyle w:val="Default"/>
        <w:jc w:val="both"/>
        <w:rPr>
          <w:rFonts w:ascii="StobiSerif" w:hAnsi="StobiSerif" w:cs="Arial"/>
          <w:bCs/>
          <w:color w:val="auto"/>
          <w:sz w:val="20"/>
          <w:szCs w:val="20"/>
          <w:lang w:val="mk-MK"/>
        </w:rPr>
      </w:pPr>
    </w:p>
    <w:p w:rsidR="00911DB1" w:rsidRPr="00A61E4F" w:rsidRDefault="00911DB1" w:rsidP="00911DB1">
      <w:pPr>
        <w:pStyle w:val="Default"/>
        <w:numPr>
          <w:ilvl w:val="0"/>
          <w:numId w:val="3"/>
        </w:numPr>
        <w:jc w:val="both"/>
        <w:rPr>
          <w:rFonts w:ascii="StobiSerif" w:hAnsi="StobiSerif" w:cs="Arial"/>
          <w:bCs/>
          <w:color w:val="auto"/>
          <w:sz w:val="20"/>
          <w:szCs w:val="20"/>
          <w:lang w:val="mk-MK"/>
        </w:rPr>
      </w:pPr>
      <w:r w:rsidRPr="00A61E4F">
        <w:rPr>
          <w:rFonts w:ascii="StobiSerif" w:hAnsi="StobiSerif" w:cs="Arial"/>
          <w:bCs/>
          <w:color w:val="auto"/>
          <w:sz w:val="20"/>
          <w:szCs w:val="20"/>
          <w:lang w:val="mk-MK"/>
        </w:rPr>
        <w:t>Дали опцијата ќе предизвика иницијални трошоци за правните или физичките лица? Ако да, образложи ги трошоците.</w:t>
      </w:r>
    </w:p>
    <w:p w:rsidR="00911DB1" w:rsidRDefault="00911DB1" w:rsidP="00911DB1">
      <w:pPr>
        <w:ind w:firstLine="680"/>
        <w:rPr>
          <w:rFonts w:ascii="StobiSerif" w:hAnsi="StobiSerif" w:cs="Arial"/>
          <w:bCs/>
          <w:sz w:val="20"/>
          <w:lang w:val="mk-MK"/>
        </w:rPr>
      </w:pPr>
      <w:r>
        <w:rPr>
          <w:rFonts w:ascii="StobiSerif" w:hAnsi="StobiSerif" w:cs="Arial"/>
          <w:bCs/>
          <w:sz w:val="20"/>
          <w:lang w:val="mk-MK"/>
        </w:rPr>
        <w:t xml:space="preserve">ДА, </w:t>
      </w:r>
    </w:p>
    <w:p w:rsidR="00911DB1" w:rsidRDefault="00911DB1" w:rsidP="00911DB1">
      <w:pPr>
        <w:ind w:left="680"/>
        <w:jc w:val="both"/>
        <w:rPr>
          <w:rFonts w:ascii="StobiSerif" w:hAnsi="StobiSerif"/>
          <w:color w:val="000000"/>
          <w:sz w:val="20"/>
          <w:lang w:val="mk-MK"/>
        </w:rPr>
      </w:pPr>
      <w:proofErr w:type="gramStart"/>
      <w:r w:rsidRPr="000F7A92">
        <w:rPr>
          <w:rFonts w:ascii="StobiSerif" w:hAnsi="StobiSerif" w:cs="Arial"/>
          <w:noProof/>
          <w:color w:val="000000"/>
          <w:sz w:val="20"/>
        </w:rPr>
        <w:t>Во постапката за донесување на решение за издавање на лиценца за</w:t>
      </w:r>
      <w:r w:rsidRPr="000F7A92">
        <w:rPr>
          <w:rFonts w:ascii="StobiSerif" w:hAnsi="StobiSerif" w:cs="Arial"/>
          <w:color w:val="000000"/>
          <w:sz w:val="20"/>
        </w:rPr>
        <w:t xml:space="preserve"> </w:t>
      </w:r>
      <w:proofErr w:type="spellStart"/>
      <w:r w:rsidRPr="000F7A92">
        <w:rPr>
          <w:rFonts w:ascii="StobiSerif" w:hAnsi="StobiSerif" w:cs="Arial"/>
          <w:color w:val="000000"/>
          <w:sz w:val="20"/>
        </w:rPr>
        <w:t>изработка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на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елаборат</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за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енергетска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ефикасност</w:t>
      </w:r>
      <w:proofErr w:type="spellEnd"/>
      <w:r w:rsidRPr="000F7A92">
        <w:rPr>
          <w:rFonts w:ascii="StobiSerif" w:hAnsi="StobiSerif" w:cs="Arial"/>
          <w:noProof/>
          <w:color w:val="000000"/>
          <w:sz w:val="20"/>
        </w:rPr>
        <w:t xml:space="preserve">, Министерството наплаќа надоместок во износ од </w:t>
      </w:r>
      <w:r>
        <w:rPr>
          <w:rFonts w:ascii="StobiSerif" w:hAnsi="StobiSerif" w:cs="Arial"/>
          <w:noProof/>
          <w:color w:val="000000"/>
          <w:sz w:val="20"/>
        </w:rPr>
        <w:t>6</w:t>
      </w:r>
      <w:r w:rsidRPr="000F7A92">
        <w:rPr>
          <w:rFonts w:ascii="StobiSerif" w:hAnsi="StobiSerif" w:cs="Arial"/>
          <w:noProof/>
          <w:color w:val="000000"/>
          <w:sz w:val="20"/>
        </w:rPr>
        <w:t>.000 денари.</w:t>
      </w:r>
      <w:proofErr w:type="gramEnd"/>
      <w:r w:rsidRPr="004165E9">
        <w:rPr>
          <w:rFonts w:ascii="StobiSerif" w:hAnsi="StobiSerif"/>
          <w:color w:val="000000"/>
          <w:sz w:val="20"/>
        </w:rPr>
        <w:t xml:space="preserve"> </w:t>
      </w:r>
    </w:p>
    <w:p w:rsidR="00911DB1" w:rsidRDefault="00911DB1" w:rsidP="00911DB1">
      <w:pPr>
        <w:ind w:firstLine="680"/>
        <w:jc w:val="both"/>
        <w:rPr>
          <w:rFonts w:ascii="StobiSerif" w:hAnsi="StobiSerif"/>
          <w:color w:val="000000"/>
          <w:sz w:val="20"/>
          <w:lang w:val="mk-MK"/>
        </w:rPr>
      </w:pPr>
    </w:p>
    <w:p w:rsidR="00911DB1" w:rsidRPr="000F7A92" w:rsidRDefault="00911DB1" w:rsidP="00911DB1">
      <w:pPr>
        <w:ind w:left="680"/>
        <w:jc w:val="both"/>
        <w:rPr>
          <w:rFonts w:ascii="StobiSerif" w:hAnsi="StobiSerif"/>
          <w:color w:val="000000"/>
          <w:sz w:val="20"/>
          <w:lang w:val="mk-MK"/>
        </w:rPr>
      </w:pPr>
      <w:r w:rsidRPr="000F7A92">
        <w:rPr>
          <w:rFonts w:ascii="StobiSerif" w:hAnsi="StobiSerif" w:cs="Arial"/>
          <w:noProof/>
          <w:color w:val="000000"/>
          <w:sz w:val="20"/>
        </w:rPr>
        <w:t>Во постапката за донесување на решение за издавање на овластување за</w:t>
      </w:r>
      <w:r w:rsidRPr="000F7A92">
        <w:rPr>
          <w:rFonts w:ascii="StobiSerif" w:hAnsi="StobiSerif" w:cs="Arial"/>
          <w:color w:val="000000"/>
          <w:sz w:val="20"/>
        </w:rPr>
        <w:t xml:space="preserve"> </w:t>
      </w:r>
      <w:proofErr w:type="spellStart"/>
      <w:r w:rsidRPr="000F7A92">
        <w:rPr>
          <w:rFonts w:ascii="StobiSerif" w:hAnsi="StobiSerif" w:cs="Arial"/>
          <w:color w:val="000000"/>
          <w:sz w:val="20"/>
        </w:rPr>
        <w:t>изработка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на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елаборат</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за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енергетска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ефикасност</w:t>
      </w:r>
      <w:proofErr w:type="spellEnd"/>
      <w:r w:rsidRPr="000F7A92">
        <w:rPr>
          <w:rFonts w:ascii="StobiSerif" w:hAnsi="StobiSerif" w:cs="Arial"/>
          <w:noProof/>
          <w:color w:val="000000"/>
          <w:sz w:val="20"/>
        </w:rPr>
        <w:t xml:space="preserve">, </w:t>
      </w:r>
      <w:proofErr w:type="spellStart"/>
      <w:r w:rsidRPr="000F7A92">
        <w:rPr>
          <w:rFonts w:ascii="StobiSerif" w:hAnsi="StobiSerif" w:cs="Arial"/>
          <w:color w:val="000000"/>
          <w:sz w:val="20"/>
        </w:rPr>
        <w:t>Министерството</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надлежно</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за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работите</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од</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облста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на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енергетика</w:t>
      </w:r>
      <w:proofErr w:type="spellEnd"/>
      <w:r w:rsidRPr="000F7A92">
        <w:rPr>
          <w:rFonts w:ascii="StobiSerif" w:hAnsi="StobiSerif" w:cs="Arial"/>
          <w:color w:val="000000"/>
          <w:sz w:val="20"/>
        </w:rPr>
        <w:t xml:space="preserve"> </w:t>
      </w:r>
      <w:proofErr w:type="spellStart"/>
      <w:r w:rsidRPr="000F7A92">
        <w:rPr>
          <w:rFonts w:ascii="StobiSerif" w:hAnsi="StobiSerif"/>
          <w:color w:val="000000"/>
          <w:sz w:val="20"/>
        </w:rPr>
        <w:t>наплаќа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административна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такса</w:t>
      </w:r>
      <w:proofErr w:type="spellEnd"/>
      <w:r w:rsidRPr="000F7A92">
        <w:rPr>
          <w:rFonts w:ascii="StobiSerif" w:hAnsi="StobiSerif"/>
          <w:color w:val="000000"/>
          <w:sz w:val="20"/>
        </w:rPr>
        <w:t xml:space="preserve"> </w:t>
      </w:r>
      <w:proofErr w:type="spellStart"/>
      <w:proofErr w:type="gramStart"/>
      <w:r w:rsidRPr="000F7A92">
        <w:rPr>
          <w:rFonts w:ascii="StobiSerif" w:hAnsi="StobiSerif"/>
          <w:color w:val="000000"/>
          <w:sz w:val="20"/>
        </w:rPr>
        <w:t>согласно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со</w:t>
      </w:r>
      <w:proofErr w:type="spellEnd"/>
      <w:proofErr w:type="gramEnd"/>
      <w:r w:rsidRPr="000F7A92">
        <w:rPr>
          <w:rFonts w:ascii="StobiSerif" w:hAnsi="StobiSerif"/>
          <w:color w:val="000000"/>
          <w:sz w:val="20"/>
        </w:rPr>
        <w:t xml:space="preserve">  </w:t>
      </w:r>
      <w:proofErr w:type="spellStart"/>
      <w:r w:rsidRPr="000F7A92">
        <w:rPr>
          <w:rFonts w:ascii="StobiSerif" w:hAnsi="StobiSerif"/>
          <w:color w:val="000000"/>
          <w:sz w:val="20"/>
        </w:rPr>
        <w:t>Законот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за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администартивни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такси</w:t>
      </w:r>
      <w:proofErr w:type="spellEnd"/>
      <w:r w:rsidRPr="000F7A92">
        <w:rPr>
          <w:rFonts w:ascii="StobiSerif" w:hAnsi="StobiSerif"/>
          <w:color w:val="000000"/>
          <w:sz w:val="20"/>
          <w:lang w:val="mk-MK"/>
        </w:rPr>
        <w:t>.</w:t>
      </w:r>
    </w:p>
    <w:p w:rsidR="00911DB1" w:rsidRPr="00A61E4F" w:rsidRDefault="00911DB1" w:rsidP="00911DB1">
      <w:pPr>
        <w:pStyle w:val="Default"/>
        <w:ind w:left="720"/>
        <w:jc w:val="both"/>
        <w:rPr>
          <w:rFonts w:ascii="StobiSerif" w:hAnsi="StobiSerif" w:cs="Arial"/>
          <w:bCs/>
          <w:color w:val="auto"/>
          <w:sz w:val="20"/>
          <w:szCs w:val="20"/>
          <w:lang w:val="mk-MK"/>
        </w:rPr>
      </w:pPr>
    </w:p>
    <w:p w:rsidR="00911DB1" w:rsidRPr="00A61E4F" w:rsidRDefault="00911DB1" w:rsidP="00911DB1">
      <w:pPr>
        <w:pStyle w:val="Default"/>
        <w:jc w:val="both"/>
        <w:rPr>
          <w:rFonts w:ascii="StobiSerif" w:hAnsi="StobiSerif" w:cs="Arial"/>
          <w:bCs/>
          <w:color w:val="auto"/>
          <w:sz w:val="20"/>
          <w:szCs w:val="20"/>
          <w:lang w:val="mk-MK"/>
        </w:rPr>
      </w:pPr>
    </w:p>
    <w:p w:rsidR="00911DB1" w:rsidRPr="00A61E4F" w:rsidRDefault="00911DB1" w:rsidP="00911DB1">
      <w:pPr>
        <w:pStyle w:val="Default"/>
        <w:numPr>
          <w:ilvl w:val="0"/>
          <w:numId w:val="3"/>
        </w:numPr>
        <w:jc w:val="both"/>
        <w:rPr>
          <w:rFonts w:ascii="StobiSerif" w:hAnsi="StobiSerif" w:cs="Arial"/>
          <w:bCs/>
          <w:color w:val="auto"/>
          <w:sz w:val="20"/>
          <w:szCs w:val="20"/>
          <w:lang w:val="mk-MK"/>
        </w:rPr>
      </w:pPr>
      <w:r w:rsidRPr="00A61E4F">
        <w:rPr>
          <w:rFonts w:ascii="StobiSerif" w:hAnsi="StobiSerif" w:cs="Arial"/>
          <w:bCs/>
          <w:color w:val="auto"/>
          <w:sz w:val="20"/>
          <w:szCs w:val="20"/>
          <w:lang w:val="mk-MK"/>
        </w:rPr>
        <w:t>Дали опцијата ќе предизвика оперативни трошоци за правните или физичките лица. Ако да, образложи ги трошоците.</w:t>
      </w:r>
    </w:p>
    <w:p w:rsidR="00911DB1" w:rsidRPr="00A61E4F" w:rsidRDefault="00911DB1" w:rsidP="00911DB1">
      <w:pPr>
        <w:pStyle w:val="Default"/>
        <w:ind w:left="720"/>
        <w:jc w:val="both"/>
        <w:rPr>
          <w:rFonts w:ascii="StobiSerif" w:hAnsi="StobiSerif" w:cs="Arial"/>
          <w:bCs/>
          <w:color w:val="auto"/>
          <w:sz w:val="20"/>
          <w:szCs w:val="20"/>
          <w:lang w:val="mk-MK"/>
        </w:rPr>
      </w:pPr>
      <w:r>
        <w:rPr>
          <w:rFonts w:ascii="StobiSerif" w:hAnsi="StobiSerif" w:cs="Arial"/>
          <w:bCs/>
          <w:color w:val="auto"/>
          <w:sz w:val="20"/>
          <w:szCs w:val="20"/>
          <w:lang w:val="mk-MK"/>
        </w:rPr>
        <w:t>НЕ</w:t>
      </w:r>
    </w:p>
    <w:p w:rsidR="00911DB1" w:rsidRPr="00A61E4F" w:rsidRDefault="00911DB1" w:rsidP="00911DB1">
      <w:pPr>
        <w:pStyle w:val="Default"/>
        <w:ind w:left="1080"/>
        <w:jc w:val="both"/>
        <w:rPr>
          <w:rFonts w:ascii="StobiSerif" w:hAnsi="StobiSerif" w:cs="Arial"/>
          <w:b/>
          <w:bCs/>
          <w:color w:val="auto"/>
          <w:sz w:val="20"/>
          <w:szCs w:val="20"/>
        </w:rPr>
      </w:pPr>
    </w:p>
    <w:p w:rsidR="00911DB1" w:rsidRPr="00A61E4F" w:rsidRDefault="00911DB1" w:rsidP="00911DB1">
      <w:pPr>
        <w:pStyle w:val="Default"/>
        <w:numPr>
          <w:ilvl w:val="0"/>
          <w:numId w:val="2"/>
        </w:numPr>
        <w:jc w:val="both"/>
        <w:rPr>
          <w:rFonts w:ascii="StobiSerif" w:hAnsi="StobiSerif" w:cs="Arial"/>
          <w:b/>
          <w:bCs/>
          <w:color w:val="auto"/>
          <w:sz w:val="20"/>
          <w:szCs w:val="20"/>
          <w:lang w:val="mk-MK"/>
        </w:rPr>
      </w:pPr>
      <w:r w:rsidRPr="00A61E4F">
        <w:rPr>
          <w:rFonts w:ascii="StobiSerif" w:hAnsi="StobiSerif" w:cs="Arial"/>
          <w:b/>
          <w:bCs/>
          <w:color w:val="auto"/>
          <w:sz w:val="20"/>
          <w:szCs w:val="20"/>
          <w:lang w:val="mk-MK"/>
        </w:rPr>
        <w:t>Придобивки</w:t>
      </w:r>
    </w:p>
    <w:p w:rsidR="00911DB1" w:rsidRPr="00A61E4F" w:rsidRDefault="00911DB1" w:rsidP="00911DB1">
      <w:pPr>
        <w:pStyle w:val="Default"/>
        <w:jc w:val="both"/>
        <w:rPr>
          <w:rFonts w:ascii="StobiSerif" w:hAnsi="StobiSerif" w:cs="Arial"/>
          <w:bCs/>
          <w:color w:val="auto"/>
          <w:sz w:val="20"/>
          <w:szCs w:val="20"/>
          <w:lang w:val="mk-MK"/>
        </w:rPr>
      </w:pPr>
    </w:p>
    <w:p w:rsidR="00911DB1" w:rsidRPr="00A61E4F" w:rsidRDefault="00911DB1" w:rsidP="00911DB1">
      <w:pPr>
        <w:pStyle w:val="Default"/>
        <w:ind w:left="360"/>
        <w:jc w:val="both"/>
        <w:rPr>
          <w:rFonts w:ascii="StobiSerif" w:hAnsi="StobiSerif" w:cs="Arial"/>
          <w:bCs/>
          <w:color w:val="auto"/>
          <w:sz w:val="20"/>
          <w:szCs w:val="20"/>
          <w:lang w:val="ru-RU"/>
        </w:rPr>
      </w:pPr>
      <w:r w:rsidRPr="00A61E4F">
        <w:rPr>
          <w:rFonts w:ascii="StobiSerif" w:hAnsi="StobiSerif" w:cs="Arial"/>
          <w:bCs/>
          <w:color w:val="auto"/>
          <w:sz w:val="20"/>
          <w:szCs w:val="20"/>
          <w:lang w:val="mk-MK"/>
        </w:rPr>
        <w:t>- Опис и опсег на финансиските придобивки за засегнати страни/ИМА</w:t>
      </w:r>
    </w:p>
    <w:p w:rsidR="00911DB1" w:rsidRPr="00A61E4F" w:rsidRDefault="00911DB1" w:rsidP="00911DB1">
      <w:pPr>
        <w:pStyle w:val="Default"/>
        <w:ind w:left="360"/>
        <w:jc w:val="both"/>
        <w:rPr>
          <w:rFonts w:ascii="StobiSerif" w:hAnsi="StobiSerif" w:cs="Arial"/>
          <w:bCs/>
          <w:color w:val="auto"/>
          <w:sz w:val="20"/>
          <w:szCs w:val="20"/>
          <w:lang w:val="mk-MK"/>
        </w:rPr>
      </w:pPr>
      <w:r w:rsidRPr="00A61E4F">
        <w:rPr>
          <w:rFonts w:ascii="StobiSerif" w:hAnsi="StobiSerif" w:cs="Arial"/>
          <w:bCs/>
          <w:color w:val="auto"/>
          <w:sz w:val="20"/>
          <w:szCs w:val="20"/>
          <w:lang w:val="mk-MK"/>
        </w:rPr>
        <w:t>- Други нефинансиски придобивки за засегнати страни / ИМА</w:t>
      </w:r>
    </w:p>
    <w:p w:rsidR="00911DB1" w:rsidRPr="00A61E4F" w:rsidRDefault="00911DB1" w:rsidP="00911DB1">
      <w:pPr>
        <w:pStyle w:val="Default"/>
        <w:ind w:left="360"/>
        <w:jc w:val="both"/>
        <w:rPr>
          <w:rFonts w:ascii="StobiSerif" w:hAnsi="StobiSerif" w:cs="Arial"/>
          <w:bCs/>
          <w:color w:val="auto"/>
          <w:sz w:val="20"/>
          <w:szCs w:val="20"/>
          <w:highlight w:val="yellow"/>
          <w:lang w:val="mk-MK"/>
        </w:rPr>
      </w:pPr>
    </w:p>
    <w:p w:rsidR="00911DB1" w:rsidRDefault="00911DB1" w:rsidP="00911DB1">
      <w:pPr>
        <w:pStyle w:val="Default"/>
        <w:ind w:left="360"/>
        <w:jc w:val="both"/>
        <w:rPr>
          <w:rFonts w:ascii="StobiSerif" w:hAnsi="StobiSerif" w:cs="Arial"/>
          <w:bCs/>
          <w:color w:val="auto"/>
          <w:sz w:val="20"/>
          <w:szCs w:val="20"/>
          <w:lang w:val="mk-MK"/>
        </w:rPr>
      </w:pPr>
      <w:r w:rsidRPr="00A61E4F">
        <w:rPr>
          <w:rFonts w:ascii="StobiSerif" w:hAnsi="StobiSerif" w:cs="Arial"/>
          <w:bCs/>
          <w:color w:val="auto"/>
          <w:sz w:val="20"/>
          <w:szCs w:val="20"/>
          <w:lang w:val="mk-MK"/>
        </w:rPr>
        <w:t xml:space="preserve">Со предлог законот се предвидува  наплаќање на административни трошоци </w:t>
      </w:r>
      <w:r>
        <w:rPr>
          <w:rFonts w:ascii="StobiSerif" w:hAnsi="StobiSerif" w:cs="Arial"/>
          <w:bCs/>
          <w:color w:val="auto"/>
          <w:sz w:val="20"/>
          <w:szCs w:val="20"/>
          <w:lang w:val="mk-MK"/>
        </w:rPr>
        <w:t xml:space="preserve">и </w:t>
      </w:r>
      <w:r w:rsidRPr="00A61E4F">
        <w:rPr>
          <w:rFonts w:ascii="StobiSerif" w:hAnsi="StobiSerif" w:cs="Arial"/>
          <w:bCs/>
          <w:color w:val="auto"/>
          <w:sz w:val="20"/>
          <w:szCs w:val="20"/>
          <w:lang w:val="mk-MK"/>
        </w:rPr>
        <w:t xml:space="preserve">наплаќање на надоместок од страна на Министерството за економија  за издавање на </w:t>
      </w:r>
      <w:r>
        <w:rPr>
          <w:rFonts w:ascii="StobiSerif" w:hAnsi="StobiSerif" w:cs="Arial"/>
          <w:bCs/>
          <w:color w:val="auto"/>
          <w:sz w:val="20"/>
          <w:szCs w:val="20"/>
          <w:lang w:val="mk-MK"/>
        </w:rPr>
        <w:t xml:space="preserve">овалстување за изработка на елаборат за енергетска ефикасност и </w:t>
      </w:r>
      <w:r w:rsidRPr="00A61E4F">
        <w:rPr>
          <w:rFonts w:ascii="StobiSerif" w:hAnsi="StobiSerif" w:cs="Arial"/>
          <w:bCs/>
          <w:color w:val="auto"/>
          <w:sz w:val="20"/>
          <w:szCs w:val="20"/>
          <w:lang w:val="mk-MK"/>
        </w:rPr>
        <w:t xml:space="preserve">лиценци </w:t>
      </w:r>
      <w:r>
        <w:rPr>
          <w:rFonts w:ascii="StobiSerif" w:hAnsi="StobiSerif" w:cs="Arial"/>
          <w:bCs/>
          <w:color w:val="auto"/>
          <w:sz w:val="20"/>
          <w:szCs w:val="20"/>
          <w:lang w:val="mk-MK"/>
        </w:rPr>
        <w:t>за изработка на елаборат за енергетска ефикасност</w:t>
      </w:r>
    </w:p>
    <w:p w:rsidR="00911DB1" w:rsidRDefault="00911DB1" w:rsidP="00911DB1">
      <w:pPr>
        <w:pStyle w:val="Default"/>
        <w:ind w:left="360"/>
        <w:jc w:val="both"/>
        <w:rPr>
          <w:rFonts w:ascii="StobiSerif" w:hAnsi="StobiSerif" w:cs="Arial"/>
          <w:bCs/>
          <w:color w:val="auto"/>
          <w:sz w:val="20"/>
          <w:szCs w:val="20"/>
          <w:lang w:val="mk-MK"/>
        </w:rPr>
      </w:pPr>
    </w:p>
    <w:p w:rsidR="00911DB1" w:rsidRDefault="00911DB1" w:rsidP="00911DB1">
      <w:pPr>
        <w:pStyle w:val="Default"/>
        <w:ind w:left="360"/>
        <w:jc w:val="both"/>
        <w:rPr>
          <w:rFonts w:ascii="StobiSerif" w:hAnsi="StobiSerif" w:cs="Arial"/>
          <w:sz w:val="20"/>
          <w:szCs w:val="20"/>
          <w:lang w:val="mk-MK"/>
        </w:rPr>
      </w:pPr>
      <w:r>
        <w:rPr>
          <w:rFonts w:ascii="StobiSerif" w:hAnsi="StobiSerif" w:cs="Arial"/>
          <w:bCs/>
          <w:color w:val="auto"/>
          <w:sz w:val="20"/>
          <w:szCs w:val="20"/>
          <w:lang w:val="mk-MK"/>
        </w:rPr>
        <w:t>Едновремено има придобивка и за правните лица и трговци поединци, земајќи во предвид дека н</w:t>
      </w:r>
      <w:proofErr w:type="spellStart"/>
      <w:r w:rsidRPr="000F7A92">
        <w:rPr>
          <w:rFonts w:ascii="StobiSerif" w:hAnsi="StobiSerif" w:cs="Arial"/>
          <w:sz w:val="20"/>
          <w:szCs w:val="20"/>
        </w:rPr>
        <w:t>осителите</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на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лиценца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за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изработка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на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елеаборат</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за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енергетска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ефикасност</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наплаќаат</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надоместок</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за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изработката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на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елаборат</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за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енергетска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ефикасност</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чија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висина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се</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утврдува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врз</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основа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на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плоштината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на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корисната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подна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површина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на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зградата</w:t>
      </w:r>
      <w:proofErr w:type="spellEnd"/>
      <w:r w:rsidRPr="000F7A92">
        <w:rPr>
          <w:rFonts w:ascii="StobiSerif" w:hAnsi="StobiSerif" w:cs="Arial"/>
          <w:sz w:val="20"/>
          <w:szCs w:val="20"/>
        </w:rPr>
        <w:t xml:space="preserve"> и </w:t>
      </w:r>
      <w:proofErr w:type="spellStart"/>
      <w:r w:rsidRPr="000F7A92">
        <w:rPr>
          <w:rFonts w:ascii="StobiSerif" w:hAnsi="StobiSerif" w:cs="Arial"/>
          <w:sz w:val="20"/>
          <w:szCs w:val="20"/>
        </w:rPr>
        <w:t>не</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може</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да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биде</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повисока</w:t>
      </w:r>
      <w:proofErr w:type="spellEnd"/>
      <w:r w:rsidRPr="000F7A92">
        <w:rPr>
          <w:rFonts w:ascii="StobiSerif" w:hAnsi="StobiSerif" w:cs="Arial"/>
          <w:sz w:val="20"/>
          <w:szCs w:val="20"/>
        </w:rPr>
        <w:t xml:space="preserve"> </w:t>
      </w:r>
      <w:proofErr w:type="spellStart"/>
      <w:r w:rsidRPr="000F7A92">
        <w:rPr>
          <w:rFonts w:ascii="StobiSerif" w:hAnsi="StobiSerif" w:cs="Arial"/>
          <w:sz w:val="20"/>
          <w:szCs w:val="20"/>
        </w:rPr>
        <w:t>од</w:t>
      </w:r>
      <w:proofErr w:type="spellEnd"/>
      <w:r w:rsidRPr="000F7A92">
        <w:rPr>
          <w:rFonts w:ascii="StobiSerif" w:hAnsi="StobiSerif" w:cs="Arial"/>
          <w:sz w:val="20"/>
          <w:szCs w:val="20"/>
        </w:rPr>
        <w:t xml:space="preserve"> 60 </w:t>
      </w:r>
      <w:proofErr w:type="spellStart"/>
      <w:r w:rsidRPr="000F7A92">
        <w:rPr>
          <w:rFonts w:ascii="StobiSerif" w:hAnsi="StobiSerif" w:cs="Arial"/>
          <w:sz w:val="20"/>
          <w:szCs w:val="20"/>
        </w:rPr>
        <w:t>денари</w:t>
      </w:r>
      <w:proofErr w:type="spellEnd"/>
      <w:r w:rsidRPr="000F7A92">
        <w:rPr>
          <w:rFonts w:ascii="StobiSerif" w:hAnsi="StobiSerif" w:cs="Arial"/>
          <w:sz w:val="20"/>
          <w:szCs w:val="20"/>
        </w:rPr>
        <w:t>/m</w:t>
      </w:r>
      <w:r w:rsidRPr="000F7A92">
        <w:rPr>
          <w:rFonts w:ascii="StobiSerif" w:hAnsi="StobiSerif" w:cs="Arial"/>
          <w:sz w:val="20"/>
          <w:szCs w:val="20"/>
          <w:vertAlign w:val="superscript"/>
        </w:rPr>
        <w:t>2</w:t>
      </w:r>
      <w:r w:rsidRPr="000F7A92">
        <w:rPr>
          <w:rFonts w:ascii="StobiSerif" w:hAnsi="StobiSerif" w:cs="Arial"/>
          <w:sz w:val="20"/>
          <w:szCs w:val="20"/>
        </w:rPr>
        <w:t>.</w:t>
      </w:r>
    </w:p>
    <w:p w:rsidR="00911DB1" w:rsidRPr="00761AA1" w:rsidRDefault="00911DB1" w:rsidP="00911DB1">
      <w:pPr>
        <w:pStyle w:val="Default"/>
        <w:ind w:left="360"/>
        <w:jc w:val="both"/>
        <w:rPr>
          <w:rFonts w:ascii="StobiSerif" w:hAnsi="StobiSerif" w:cs="Arial"/>
          <w:sz w:val="20"/>
          <w:u w:val="single"/>
          <w:lang w:val="mk-MK"/>
        </w:rPr>
      </w:pPr>
    </w:p>
    <w:p w:rsidR="00911DB1" w:rsidRPr="00A61E4F" w:rsidRDefault="00911DB1" w:rsidP="00911DB1">
      <w:pPr>
        <w:pStyle w:val="Default"/>
        <w:numPr>
          <w:ilvl w:val="0"/>
          <w:numId w:val="2"/>
        </w:numPr>
        <w:jc w:val="both"/>
        <w:rPr>
          <w:rFonts w:ascii="StobiSerif" w:hAnsi="StobiSerif" w:cs="Arial"/>
          <w:b/>
          <w:bCs/>
          <w:color w:val="auto"/>
          <w:sz w:val="20"/>
          <w:szCs w:val="20"/>
          <w:lang w:val="mk-MK"/>
        </w:rPr>
      </w:pPr>
      <w:r w:rsidRPr="00A61E4F">
        <w:rPr>
          <w:rFonts w:ascii="StobiSerif" w:hAnsi="StobiSerif" w:cs="Arial"/>
          <w:b/>
          <w:bCs/>
          <w:color w:val="auto"/>
          <w:sz w:val="20"/>
          <w:szCs w:val="20"/>
          <w:lang w:val="mk-MK"/>
        </w:rPr>
        <w:t>Ризици и претпоставки</w:t>
      </w:r>
    </w:p>
    <w:p w:rsidR="00911DB1" w:rsidRPr="00A61E4F" w:rsidRDefault="00911DB1" w:rsidP="00911DB1">
      <w:pPr>
        <w:spacing w:after="120"/>
        <w:ind w:left="360"/>
        <w:jc w:val="both"/>
        <w:rPr>
          <w:rFonts w:ascii="StobiSerif" w:hAnsi="StobiSerif" w:cs="Arial"/>
          <w:sz w:val="20"/>
          <w:lang w:val="ru-RU"/>
        </w:rPr>
      </w:pPr>
      <w:r w:rsidRPr="00A61E4F">
        <w:rPr>
          <w:rFonts w:ascii="StobiSerif" w:hAnsi="StobiSerif" w:cs="Arial"/>
          <w:bCs/>
          <w:sz w:val="20"/>
          <w:lang w:val="mk-MK"/>
        </w:rPr>
        <w:t xml:space="preserve">Доколку не се донесат дополнувања на законот, </w:t>
      </w:r>
      <w:r>
        <w:rPr>
          <w:rFonts w:ascii="StobiSerif" w:hAnsi="StobiSerif" w:cs="Arial"/>
          <w:bCs/>
          <w:sz w:val="20"/>
          <w:lang w:val="mk-MK"/>
        </w:rPr>
        <w:t xml:space="preserve">оваа мерка за воведување на овој тип  на елаборати за енергетска ефикасност со </w:t>
      </w:r>
      <w:r w:rsidRPr="00A34872">
        <w:rPr>
          <w:rFonts w:ascii="StobiSerif" w:hAnsi="StobiSerif" w:cs="Arial"/>
          <w:sz w:val="20"/>
          <w:lang w:val="ru-RU"/>
        </w:rPr>
        <w:t xml:space="preserve"> </w:t>
      </w:r>
      <w:r>
        <w:rPr>
          <w:rFonts w:ascii="StobiSerif" w:hAnsi="StobiSerif" w:cs="Arial"/>
          <w:sz w:val="20"/>
          <w:lang w:val="ru-RU"/>
        </w:rPr>
        <w:t xml:space="preserve">цел да се создадат подобрени  услови за импелементација на мерките и активностите со кои се придонесува кон постигнување ана националните индикативни цели за заштеда на енергија нема да се реализираат. </w:t>
      </w:r>
    </w:p>
    <w:p w:rsidR="00911DB1" w:rsidRPr="00A61E4F" w:rsidRDefault="00911DB1" w:rsidP="00911DB1">
      <w:pPr>
        <w:pStyle w:val="Default"/>
        <w:jc w:val="both"/>
        <w:rPr>
          <w:rFonts w:ascii="StobiSerif" w:hAnsi="StobiSerif" w:cs="Arial"/>
          <w:b/>
          <w:bCs/>
          <w:color w:val="auto"/>
          <w:sz w:val="20"/>
          <w:szCs w:val="20"/>
          <w:lang w:val="mk-MK"/>
        </w:rPr>
      </w:pPr>
    </w:p>
    <w:p w:rsidR="00911DB1" w:rsidRPr="00A61E4F" w:rsidRDefault="00911DB1" w:rsidP="00911DB1">
      <w:pPr>
        <w:pStyle w:val="Default"/>
        <w:numPr>
          <w:ilvl w:val="0"/>
          <w:numId w:val="2"/>
        </w:numPr>
        <w:jc w:val="both"/>
        <w:rPr>
          <w:rFonts w:ascii="StobiSerif" w:hAnsi="StobiSerif" w:cs="Arial"/>
          <w:b/>
          <w:bCs/>
          <w:color w:val="auto"/>
          <w:sz w:val="20"/>
          <w:szCs w:val="20"/>
          <w:lang w:val="mk-MK"/>
        </w:rPr>
      </w:pPr>
      <w:r w:rsidRPr="00A61E4F">
        <w:rPr>
          <w:rFonts w:ascii="StobiSerif" w:hAnsi="StobiSerif" w:cs="Arial"/>
          <w:b/>
          <w:bCs/>
          <w:color w:val="auto"/>
          <w:sz w:val="20"/>
          <w:szCs w:val="20"/>
          <w:lang w:val="mk-MK"/>
        </w:rPr>
        <w:t>Останати влијанија</w:t>
      </w:r>
    </w:p>
    <w:p w:rsidR="00911DB1" w:rsidRPr="00A61E4F" w:rsidRDefault="00911DB1" w:rsidP="00911DB1">
      <w:pPr>
        <w:pStyle w:val="Default"/>
        <w:ind w:left="360"/>
        <w:jc w:val="both"/>
        <w:rPr>
          <w:rFonts w:ascii="StobiSerif" w:hAnsi="StobiSerif" w:cs="Arial"/>
          <w:b/>
          <w:bCs/>
          <w:color w:val="auto"/>
          <w:sz w:val="20"/>
          <w:szCs w:val="20"/>
          <w:lang w:val="mk-M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725"/>
        <w:gridCol w:w="2212"/>
        <w:gridCol w:w="2305"/>
      </w:tblGrid>
      <w:tr w:rsidR="00911DB1" w:rsidRPr="00A61E4F" w:rsidTr="00146E43">
        <w:trPr>
          <w:cantSplit/>
          <w:tblHeader/>
        </w:trPr>
        <w:tc>
          <w:tcPr>
            <w:tcW w:w="4725" w:type="dxa"/>
            <w:tcBorders>
              <w:top w:val="single" w:sz="12" w:space="0" w:color="auto"/>
              <w:left w:val="single" w:sz="12" w:space="0" w:color="auto"/>
              <w:bottom w:val="single" w:sz="12" w:space="0" w:color="auto"/>
              <w:right w:val="single" w:sz="6" w:space="0" w:color="auto"/>
            </w:tcBorders>
            <w:tcMar>
              <w:top w:w="85" w:type="dxa"/>
              <w:left w:w="108" w:type="dxa"/>
              <w:bottom w:w="85" w:type="dxa"/>
              <w:right w:w="108" w:type="dxa"/>
            </w:tcMar>
          </w:tcPr>
          <w:p w:rsidR="00911DB1" w:rsidRPr="00A61E4F" w:rsidRDefault="00911DB1" w:rsidP="00146E43">
            <w:pPr>
              <w:pStyle w:val="Default"/>
              <w:jc w:val="both"/>
              <w:rPr>
                <w:rFonts w:ascii="StobiSerif" w:hAnsi="StobiSerif" w:cs="Arial"/>
                <w:b/>
                <w:color w:val="auto"/>
                <w:sz w:val="20"/>
                <w:szCs w:val="20"/>
                <w:lang w:val="mk-MK"/>
              </w:rPr>
            </w:pPr>
            <w:r w:rsidRPr="00A61E4F">
              <w:rPr>
                <w:rFonts w:ascii="StobiSerif" w:hAnsi="StobiSerif" w:cs="Arial"/>
                <w:b/>
                <w:color w:val="auto"/>
                <w:sz w:val="20"/>
                <w:szCs w:val="20"/>
                <w:lang w:val="mk-MK"/>
              </w:rPr>
              <w:t>Тип на влијание проценето во проценка на влијание на регулативата</w:t>
            </w:r>
          </w:p>
        </w:tc>
        <w:tc>
          <w:tcPr>
            <w:tcW w:w="2212" w:type="dxa"/>
            <w:tcBorders>
              <w:top w:val="single" w:sz="12" w:space="0" w:color="auto"/>
              <w:left w:val="single" w:sz="6" w:space="0" w:color="auto"/>
              <w:bottom w:val="single" w:sz="12" w:space="0" w:color="auto"/>
              <w:right w:val="single" w:sz="6" w:space="0" w:color="auto"/>
            </w:tcBorders>
            <w:tcMar>
              <w:top w:w="85" w:type="dxa"/>
              <w:left w:w="108" w:type="dxa"/>
              <w:bottom w:w="85" w:type="dxa"/>
              <w:right w:w="108" w:type="dxa"/>
            </w:tcMar>
          </w:tcPr>
          <w:p w:rsidR="00911DB1" w:rsidRPr="00A61E4F" w:rsidRDefault="00911DB1" w:rsidP="00146E43">
            <w:pPr>
              <w:pStyle w:val="Default"/>
              <w:rPr>
                <w:rFonts w:ascii="StobiSerif" w:hAnsi="StobiSerif" w:cs="Arial"/>
                <w:b/>
                <w:color w:val="auto"/>
                <w:sz w:val="20"/>
                <w:szCs w:val="20"/>
                <w:lang w:val="mk-MK"/>
              </w:rPr>
            </w:pPr>
          </w:p>
        </w:tc>
        <w:tc>
          <w:tcPr>
            <w:tcW w:w="2305" w:type="dxa"/>
            <w:tcBorders>
              <w:top w:val="single" w:sz="12" w:space="0" w:color="auto"/>
              <w:left w:val="single" w:sz="6" w:space="0" w:color="auto"/>
              <w:bottom w:val="single" w:sz="12" w:space="0" w:color="auto"/>
              <w:right w:val="single" w:sz="12" w:space="0" w:color="auto"/>
            </w:tcBorders>
            <w:tcMar>
              <w:top w:w="85" w:type="dxa"/>
              <w:left w:w="108" w:type="dxa"/>
              <w:bottom w:w="85" w:type="dxa"/>
              <w:right w:w="108" w:type="dxa"/>
            </w:tcMar>
          </w:tcPr>
          <w:p w:rsidR="00911DB1" w:rsidRPr="00A61E4F" w:rsidRDefault="00911DB1" w:rsidP="00146E43">
            <w:pPr>
              <w:pStyle w:val="Default"/>
              <w:rPr>
                <w:rFonts w:ascii="StobiSerif" w:hAnsi="StobiSerif" w:cs="Arial"/>
                <w:b/>
                <w:color w:val="auto"/>
                <w:sz w:val="20"/>
                <w:szCs w:val="20"/>
                <w:lang w:val="mk-MK"/>
              </w:rPr>
            </w:pPr>
            <w:r w:rsidRPr="00A61E4F">
              <w:rPr>
                <w:rFonts w:ascii="StobiSerif" w:hAnsi="StobiSerif" w:cs="Arial"/>
                <w:b/>
                <w:color w:val="auto"/>
                <w:sz w:val="20"/>
                <w:szCs w:val="20"/>
                <w:lang w:val="mk-MK"/>
              </w:rPr>
              <w:t>Анализи приложени во прилог</w:t>
            </w:r>
          </w:p>
        </w:tc>
      </w:tr>
      <w:tr w:rsidR="00911DB1" w:rsidRPr="00A61E4F" w:rsidTr="00146E43">
        <w:trPr>
          <w:cantSplit/>
        </w:trPr>
        <w:tc>
          <w:tcPr>
            <w:tcW w:w="4725" w:type="dxa"/>
            <w:tcBorders>
              <w:top w:val="single" w:sz="12" w:space="0" w:color="auto"/>
              <w:left w:val="single" w:sz="12"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pStyle w:val="Default"/>
              <w:rPr>
                <w:rFonts w:ascii="StobiSerif" w:hAnsi="StobiSerif" w:cs="Arial"/>
                <w:color w:val="auto"/>
                <w:sz w:val="20"/>
                <w:szCs w:val="20"/>
                <w:lang w:val="mk-MK"/>
              </w:rPr>
            </w:pPr>
            <w:r w:rsidRPr="00A61E4F">
              <w:rPr>
                <w:rFonts w:ascii="StobiSerif" w:hAnsi="StobiSerif" w:cs="Arial"/>
                <w:color w:val="auto"/>
                <w:sz w:val="20"/>
                <w:szCs w:val="20"/>
                <w:lang w:val="mk-MK"/>
              </w:rPr>
              <w:t>Влијание врз националната конкурентност</w:t>
            </w:r>
          </w:p>
        </w:tc>
        <w:tc>
          <w:tcPr>
            <w:tcW w:w="2212" w:type="dxa"/>
            <w:tcBorders>
              <w:top w:val="single" w:sz="12" w:space="0" w:color="auto"/>
              <w:left w:val="single" w:sz="6"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Pr>
                <w:rFonts w:ascii="StobiSerif" w:hAnsi="StobiSerif" w:cs="Arial"/>
                <w:sz w:val="20"/>
                <w:lang w:val="mk-MK"/>
              </w:rPr>
              <w:t>ДА</w:t>
            </w:r>
          </w:p>
        </w:tc>
        <w:tc>
          <w:tcPr>
            <w:tcW w:w="2305" w:type="dxa"/>
            <w:tcBorders>
              <w:top w:val="single" w:sz="12" w:space="0" w:color="auto"/>
              <w:left w:val="single" w:sz="6" w:space="0" w:color="auto"/>
              <w:bottom w:val="single" w:sz="6" w:space="0" w:color="auto"/>
              <w:right w:val="single" w:sz="12"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Pr>
                <w:rFonts w:ascii="StobiSerif" w:hAnsi="StobiSerif" w:cs="Arial"/>
                <w:sz w:val="20"/>
                <w:lang w:val="mk-MK"/>
              </w:rPr>
              <w:t>НЕ</w:t>
            </w:r>
          </w:p>
        </w:tc>
      </w:tr>
      <w:tr w:rsidR="00911DB1" w:rsidRPr="00A61E4F" w:rsidTr="00146E43">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pStyle w:val="Default"/>
              <w:rPr>
                <w:rFonts w:ascii="StobiSerif" w:hAnsi="StobiSerif" w:cs="Arial"/>
                <w:color w:val="auto"/>
                <w:sz w:val="20"/>
                <w:szCs w:val="20"/>
                <w:lang w:val="mk-MK"/>
              </w:rPr>
            </w:pPr>
            <w:r w:rsidRPr="00A61E4F">
              <w:rPr>
                <w:rFonts w:ascii="StobiSerif" w:hAnsi="StobiSerif" w:cs="Arial"/>
                <w:color w:val="auto"/>
                <w:sz w:val="20"/>
                <w:szCs w:val="20"/>
                <w:lang w:val="mk-MK"/>
              </w:rPr>
              <w:t>Влијание врз социјално исклучените и ранливи групи</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r>
      <w:tr w:rsidR="00911DB1" w:rsidRPr="00A61E4F" w:rsidTr="00146E43">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pStyle w:val="Default"/>
              <w:rPr>
                <w:rFonts w:ascii="StobiSerif" w:hAnsi="StobiSerif" w:cs="Arial"/>
                <w:color w:val="auto"/>
                <w:sz w:val="20"/>
                <w:szCs w:val="20"/>
                <w:lang w:val="mk-MK"/>
              </w:rPr>
            </w:pPr>
            <w:r w:rsidRPr="00A61E4F">
              <w:rPr>
                <w:rFonts w:ascii="StobiSerif" w:hAnsi="StobiSerif" w:cs="Arial"/>
                <w:color w:val="auto"/>
                <w:sz w:val="20"/>
                <w:szCs w:val="20"/>
                <w:lang w:val="mk-MK"/>
              </w:rPr>
              <w:t>Влијание и ефекти на регулативата врз родовите аспекти и еднаквоста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r>
      <w:tr w:rsidR="00911DB1" w:rsidRPr="00A61E4F" w:rsidTr="00146E43">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pStyle w:val="Default"/>
              <w:rPr>
                <w:rFonts w:ascii="StobiSerif" w:hAnsi="StobiSerif" w:cs="Arial"/>
                <w:color w:val="auto"/>
                <w:sz w:val="20"/>
                <w:szCs w:val="20"/>
                <w:lang w:val="mk-MK"/>
              </w:rPr>
            </w:pPr>
            <w:r w:rsidRPr="00A61E4F">
              <w:rPr>
                <w:rFonts w:ascii="StobiSerif" w:hAnsi="StobiSerif" w:cs="Arial"/>
                <w:color w:val="auto"/>
                <w:sz w:val="20"/>
                <w:szCs w:val="20"/>
                <w:lang w:val="mk-MK"/>
              </w:rPr>
              <w:t>Влијание врз животната средина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Pr>
                <w:rFonts w:ascii="StobiSerif" w:hAnsi="StobiSerif" w:cs="Arial"/>
                <w:sz w:val="20"/>
                <w:lang w:val="mk-MK"/>
              </w:rPr>
              <w:t>ДА</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r>
      <w:tr w:rsidR="00911DB1" w:rsidRPr="00A61E4F" w:rsidTr="00146E43">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pStyle w:val="Default"/>
              <w:rPr>
                <w:rFonts w:ascii="StobiSerif" w:hAnsi="StobiSerif" w:cs="Arial"/>
                <w:color w:val="auto"/>
                <w:sz w:val="20"/>
                <w:szCs w:val="20"/>
                <w:lang w:val="mk-MK"/>
              </w:rPr>
            </w:pPr>
            <w:r w:rsidRPr="00A61E4F">
              <w:rPr>
                <w:rFonts w:ascii="StobiSerif" w:hAnsi="StobiSerif" w:cs="Arial"/>
                <w:bCs/>
                <w:color w:val="auto"/>
                <w:sz w:val="20"/>
                <w:szCs w:val="20"/>
                <w:lang w:val="mk-MK"/>
              </w:rPr>
              <w:t>Влијание/значителна политичка промена на пазарната економија вклучувајќи испитување на влијанието врз потрошувачите и конкурентноста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r>
      <w:tr w:rsidR="00911DB1" w:rsidRPr="00A61E4F" w:rsidTr="00146E43">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pStyle w:val="BodyText"/>
              <w:ind w:left="252" w:hanging="252"/>
              <w:rPr>
                <w:rFonts w:ascii="StobiSerif" w:hAnsi="StobiSerif" w:cs="Arial"/>
                <w:bCs/>
                <w:sz w:val="20"/>
                <w:lang w:val="mk-MK"/>
              </w:rPr>
            </w:pPr>
            <w:r w:rsidRPr="00A61E4F">
              <w:rPr>
                <w:rFonts w:ascii="StobiSerif" w:hAnsi="StobiSerif" w:cs="Arial"/>
                <w:bCs/>
                <w:sz w:val="20"/>
                <w:lang w:val="mk-MK"/>
              </w:rPr>
              <w:t xml:space="preserve">Влијание врз правата на граѓаните </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 xml:space="preserve"> 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r>
      <w:tr w:rsidR="00911DB1" w:rsidRPr="00A61E4F" w:rsidTr="00146E43">
        <w:trPr>
          <w:cantSplit/>
        </w:trPr>
        <w:tc>
          <w:tcPr>
            <w:tcW w:w="4725" w:type="dxa"/>
            <w:tcBorders>
              <w:top w:val="single" w:sz="6" w:space="0" w:color="auto"/>
              <w:left w:val="single" w:sz="12" w:space="0" w:color="auto"/>
              <w:bottom w:val="single" w:sz="12" w:space="0" w:color="auto"/>
              <w:right w:val="single" w:sz="6" w:space="0" w:color="auto"/>
            </w:tcBorders>
            <w:tcMar>
              <w:top w:w="85" w:type="dxa"/>
              <w:left w:w="108" w:type="dxa"/>
              <w:bottom w:w="85" w:type="dxa"/>
              <w:right w:w="108" w:type="dxa"/>
            </w:tcMar>
          </w:tcPr>
          <w:p w:rsidR="00911DB1" w:rsidRPr="00A61E4F" w:rsidRDefault="00911DB1" w:rsidP="00146E43">
            <w:pPr>
              <w:pStyle w:val="Default"/>
              <w:rPr>
                <w:rFonts w:ascii="StobiSerif" w:hAnsi="StobiSerif" w:cs="Arial"/>
                <w:color w:val="auto"/>
                <w:sz w:val="20"/>
                <w:szCs w:val="20"/>
                <w:lang w:val="mk-MK"/>
              </w:rPr>
            </w:pPr>
            <w:r w:rsidRPr="00A61E4F">
              <w:rPr>
                <w:rFonts w:ascii="StobiSerif" w:hAnsi="StobiSerif" w:cs="Arial"/>
                <w:bCs/>
                <w:color w:val="auto"/>
                <w:sz w:val="20"/>
                <w:szCs w:val="20"/>
                <w:lang w:val="mk-MK"/>
              </w:rPr>
              <w:t>Дали предложените решенија вклучуваат значителни тешкотии за усогласување</w:t>
            </w:r>
          </w:p>
        </w:tc>
        <w:tc>
          <w:tcPr>
            <w:tcW w:w="2212" w:type="dxa"/>
            <w:tcBorders>
              <w:top w:val="single" w:sz="6" w:space="0" w:color="auto"/>
              <w:left w:val="single" w:sz="6" w:space="0" w:color="auto"/>
              <w:bottom w:val="single" w:sz="12" w:space="0" w:color="auto"/>
              <w:right w:val="single" w:sz="6"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c>
          <w:tcPr>
            <w:tcW w:w="2305" w:type="dxa"/>
            <w:tcBorders>
              <w:top w:val="single" w:sz="6" w:space="0" w:color="auto"/>
              <w:left w:val="single" w:sz="6" w:space="0" w:color="auto"/>
              <w:bottom w:val="single" w:sz="12" w:space="0" w:color="auto"/>
              <w:right w:val="single" w:sz="12" w:space="0" w:color="auto"/>
            </w:tcBorders>
            <w:tcMar>
              <w:top w:w="85" w:type="dxa"/>
              <w:left w:w="108" w:type="dxa"/>
              <w:bottom w:w="85" w:type="dxa"/>
              <w:right w:w="108" w:type="dxa"/>
            </w:tcMar>
          </w:tcPr>
          <w:p w:rsidR="00911DB1" w:rsidRPr="00A61E4F" w:rsidRDefault="00911DB1" w:rsidP="00146E43">
            <w:pPr>
              <w:jc w:val="center"/>
              <w:rPr>
                <w:rFonts w:ascii="StobiSerif" w:hAnsi="StobiSerif" w:cs="Arial"/>
                <w:sz w:val="20"/>
                <w:lang w:val="mk-MK"/>
              </w:rPr>
            </w:pPr>
            <w:r w:rsidRPr="00A61E4F">
              <w:rPr>
                <w:rFonts w:ascii="StobiSerif" w:hAnsi="StobiSerif" w:cs="Arial"/>
                <w:sz w:val="20"/>
                <w:lang w:val="mk-MK"/>
              </w:rPr>
              <w:t>НЕ</w:t>
            </w:r>
          </w:p>
        </w:tc>
      </w:tr>
    </w:tbl>
    <w:p w:rsidR="00911DB1" w:rsidRPr="00A61E4F" w:rsidRDefault="00911DB1" w:rsidP="00911DB1">
      <w:pPr>
        <w:rPr>
          <w:rFonts w:ascii="StobiSerif" w:hAnsi="StobiSerif" w:cs="Arial"/>
          <w:sz w:val="20"/>
          <w:lang w:val="mk-MK"/>
        </w:rPr>
      </w:pPr>
    </w:p>
    <w:p w:rsidR="00911DB1" w:rsidRPr="00A61E4F" w:rsidRDefault="00911DB1" w:rsidP="00911DB1">
      <w:pPr>
        <w:rPr>
          <w:rFonts w:ascii="StobiSerif" w:hAnsi="StobiSerif" w:cs="Arial"/>
          <w:b/>
          <w:sz w:val="20"/>
          <w:lang w:val="mk-MK"/>
        </w:rPr>
      </w:pPr>
      <w:r w:rsidRPr="00A61E4F">
        <w:rPr>
          <w:rFonts w:ascii="StobiSerif" w:hAnsi="StobiSerif" w:cs="Arial"/>
          <w:b/>
          <w:sz w:val="20"/>
          <w:lang w:val="mk-MK"/>
        </w:rPr>
        <w:t>Чекор 3: Консултации</w:t>
      </w:r>
    </w:p>
    <w:p w:rsidR="00911DB1" w:rsidRPr="00A61E4F" w:rsidRDefault="00911DB1" w:rsidP="00911DB1">
      <w:pPr>
        <w:jc w:val="both"/>
        <w:rPr>
          <w:rFonts w:ascii="StobiSerif" w:hAnsi="StobiSerif" w:cs="Arial"/>
          <w:sz w:val="20"/>
          <w:lang w:val="mk-MK"/>
        </w:rPr>
      </w:pPr>
    </w:p>
    <w:p w:rsidR="00911DB1" w:rsidRDefault="00911DB1" w:rsidP="00911DB1">
      <w:pPr>
        <w:jc w:val="both"/>
        <w:rPr>
          <w:rFonts w:ascii="StobiSerif" w:hAnsi="StobiSerif" w:cs="Arial"/>
          <w:sz w:val="20"/>
          <w:lang w:val="mk-MK"/>
        </w:rPr>
      </w:pPr>
      <w:r>
        <w:rPr>
          <w:rFonts w:ascii="StobiSerif" w:hAnsi="StobiSerif" w:cs="Arial"/>
          <w:sz w:val="20"/>
          <w:lang w:val="mk-MK"/>
        </w:rPr>
        <w:t>Предлог Законот е доставен на мислење до:</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t xml:space="preserve">Кабинет на Заменик претседател на Владата задолжен за економски прашања, </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t xml:space="preserve">Кабинет на Заменик претседател на Владата задолжен за европски прашања Министерство за транспорт и врски, </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t xml:space="preserve">Минитерство за финансии, </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lastRenderedPageBreak/>
        <w:t>Министерство за локална самоуправа,</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t xml:space="preserve">Министерство за животна средина, </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t xml:space="preserve">Секретаријат за законодавство, </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t xml:space="preserve">Агенција за енерегтика, </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t xml:space="preserve">Стопански комори, </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t>научни установи,</w:t>
      </w:r>
    </w:p>
    <w:p w:rsidR="00911DB1" w:rsidRDefault="00911DB1" w:rsidP="00911DB1">
      <w:pPr>
        <w:numPr>
          <w:ilvl w:val="0"/>
          <w:numId w:val="5"/>
        </w:numPr>
        <w:jc w:val="both"/>
        <w:rPr>
          <w:rFonts w:ascii="StobiSerif" w:hAnsi="StobiSerif" w:cs="Arial"/>
          <w:sz w:val="20"/>
          <w:lang w:val="mk-MK"/>
        </w:rPr>
      </w:pPr>
      <w:r>
        <w:rPr>
          <w:rFonts w:ascii="StobiSerif" w:hAnsi="StobiSerif" w:cs="Arial"/>
          <w:sz w:val="20"/>
          <w:lang w:val="mk-MK"/>
        </w:rPr>
        <w:t>ЗЕЛС</w:t>
      </w:r>
    </w:p>
    <w:p w:rsidR="00911DB1" w:rsidRDefault="00911DB1" w:rsidP="00911DB1">
      <w:pPr>
        <w:jc w:val="both"/>
        <w:rPr>
          <w:rFonts w:ascii="StobiSerif" w:hAnsi="StobiSerif" w:cs="Arial"/>
          <w:sz w:val="20"/>
          <w:lang w:val="mk-MK"/>
        </w:rPr>
      </w:pPr>
      <w:r>
        <w:rPr>
          <w:rFonts w:ascii="StobiSerif" w:hAnsi="StobiSerif" w:cs="Arial"/>
          <w:sz w:val="20"/>
          <w:lang w:val="mk-MK"/>
        </w:rPr>
        <w:t>Предметниотпредлог Закон ќе се објави и на ЕНЕР и на веб страницата на Министерството за економија.</w:t>
      </w:r>
    </w:p>
    <w:p w:rsidR="00911DB1" w:rsidRPr="00A61E4F" w:rsidRDefault="00911DB1" w:rsidP="00911DB1">
      <w:pPr>
        <w:rPr>
          <w:rFonts w:ascii="StobiSerif" w:hAnsi="StobiSerif" w:cs="Arial"/>
          <w:sz w:val="20"/>
          <w:lang w:val="mk-MK"/>
        </w:rPr>
      </w:pPr>
    </w:p>
    <w:p w:rsidR="00911DB1" w:rsidRDefault="00911DB1" w:rsidP="00911DB1">
      <w:pPr>
        <w:jc w:val="center"/>
        <w:rPr>
          <w:rFonts w:ascii="StobiSerif" w:hAnsi="StobiSerif" w:cs="Arial"/>
          <w:b/>
          <w:sz w:val="20"/>
          <w:lang w:val="en-US"/>
        </w:rPr>
      </w:pPr>
    </w:p>
    <w:p w:rsidR="00911DB1" w:rsidRDefault="00911DB1" w:rsidP="00911DB1">
      <w:pPr>
        <w:jc w:val="center"/>
        <w:rPr>
          <w:rFonts w:ascii="StobiSerif" w:hAnsi="StobiSerif" w:cs="Arial"/>
          <w:b/>
          <w:sz w:val="20"/>
          <w:lang w:val="en-US"/>
        </w:rPr>
      </w:pPr>
    </w:p>
    <w:p w:rsidR="00911DB1" w:rsidRPr="00A61E4F" w:rsidRDefault="00911DB1" w:rsidP="00911DB1">
      <w:pPr>
        <w:jc w:val="center"/>
        <w:rPr>
          <w:rFonts w:ascii="StobiSerif" w:hAnsi="StobiSerif" w:cs="Arial"/>
          <w:b/>
          <w:sz w:val="20"/>
          <w:lang w:val="mk-MK"/>
        </w:rPr>
      </w:pPr>
      <w:r w:rsidRPr="00A61E4F">
        <w:rPr>
          <w:rFonts w:ascii="StobiSerif" w:hAnsi="StobiSerif" w:cs="Arial"/>
          <w:b/>
          <w:sz w:val="20"/>
          <w:lang w:val="mk-MK"/>
        </w:rPr>
        <w:t>Резиме на иницијалната</w:t>
      </w:r>
    </w:p>
    <w:p w:rsidR="00911DB1" w:rsidRPr="00A61E4F" w:rsidRDefault="00911DB1" w:rsidP="00911DB1">
      <w:pPr>
        <w:jc w:val="center"/>
        <w:rPr>
          <w:rFonts w:ascii="StobiSerif" w:hAnsi="StobiSerif" w:cs="Arial"/>
          <w:b/>
          <w:sz w:val="20"/>
          <w:lang w:val="mk-MK"/>
        </w:rPr>
      </w:pPr>
      <w:r w:rsidRPr="00A61E4F">
        <w:rPr>
          <w:rFonts w:ascii="StobiSerif" w:hAnsi="StobiSerif" w:cs="Arial"/>
          <w:b/>
          <w:sz w:val="20"/>
          <w:lang w:val="mk-MK"/>
        </w:rPr>
        <w:t>проценка на влијание на регулативата</w:t>
      </w:r>
    </w:p>
    <w:p w:rsidR="00911DB1" w:rsidRPr="00A61E4F" w:rsidRDefault="00911DB1" w:rsidP="00911DB1">
      <w:pPr>
        <w:rPr>
          <w:rFonts w:ascii="StobiSerif" w:hAnsi="StobiSerif" w:cs="Arial"/>
          <w:sz w:val="20"/>
          <w:lang w:val="mk-MK"/>
        </w:rPr>
      </w:pPr>
    </w:p>
    <w:p w:rsidR="00911DB1" w:rsidRPr="00A61E4F" w:rsidRDefault="00911DB1" w:rsidP="00911DB1">
      <w:pPr>
        <w:numPr>
          <w:ilvl w:val="0"/>
          <w:numId w:val="4"/>
        </w:numPr>
        <w:autoSpaceDE w:val="0"/>
        <w:autoSpaceDN w:val="0"/>
        <w:adjustRightInd w:val="0"/>
        <w:spacing w:after="200" w:line="240" w:lineRule="atLeast"/>
        <w:jc w:val="both"/>
        <w:rPr>
          <w:rFonts w:ascii="StobiSerif" w:hAnsi="StobiSerif" w:cs="Arial"/>
          <w:b/>
          <w:bCs/>
          <w:sz w:val="20"/>
          <w:lang w:val="mk-MK"/>
        </w:rPr>
      </w:pPr>
      <w:r w:rsidRPr="00A61E4F">
        <w:rPr>
          <w:rFonts w:ascii="StobiSerif" w:hAnsi="StobiSerif" w:cs="Arial"/>
          <w:b/>
          <w:bCs/>
          <w:sz w:val="20"/>
          <w:lang w:val="mk-MK"/>
        </w:rPr>
        <w:t xml:space="preserve">Краток осврт на преферираното решение/опција: </w:t>
      </w:r>
    </w:p>
    <w:p w:rsidR="00911DB1" w:rsidRPr="00A61E4F" w:rsidRDefault="00911DB1" w:rsidP="00911DB1">
      <w:pPr>
        <w:spacing w:after="120"/>
        <w:ind w:left="720"/>
        <w:jc w:val="both"/>
        <w:rPr>
          <w:rFonts w:ascii="StobiSerif" w:hAnsi="StobiSerif" w:cs="Arial"/>
          <w:sz w:val="20"/>
          <w:lang w:val="ru-RU"/>
        </w:rPr>
      </w:pPr>
      <w:r>
        <w:rPr>
          <w:rFonts w:ascii="StobiSerif" w:hAnsi="StobiSerif" w:cs="Arial"/>
          <w:sz w:val="20"/>
          <w:lang w:val="ru-RU"/>
        </w:rPr>
        <w:t xml:space="preserve">Унапредувањето на енергетската ефикасност е една од главните приоритети на владата на Република Македонија. За таа цел со Законот за енергетика и стратешките национални документи се пропишуваат активности со цел да се создадат услови за подобрена импелементација на мерките со кои се придонесува за унапредување на енергетската ефикасност и постигнување на националните индикативни цели за заштеда на енергија. </w:t>
      </w:r>
    </w:p>
    <w:p w:rsidR="00911DB1" w:rsidRDefault="00911DB1" w:rsidP="00911DB1">
      <w:pPr>
        <w:ind w:left="720"/>
        <w:rPr>
          <w:rFonts w:ascii="StobiSerif" w:hAnsi="StobiSerif" w:cs="Arial"/>
          <w:sz w:val="20"/>
          <w:lang w:val="ru-RU"/>
        </w:rPr>
      </w:pPr>
      <w:r>
        <w:rPr>
          <w:rFonts w:ascii="StobiSerif" w:hAnsi="StobiSerif" w:cs="Arial"/>
          <w:sz w:val="20"/>
          <w:lang w:val="ru-RU"/>
        </w:rPr>
        <w:t xml:space="preserve">Со предметните  дополнувања се воведува елаборат за енергетска ефикасност, со цел со истиот да се влијае кон изградба или значителна реконструкција на згради од аспект на повисока енергетска ефикасност. </w:t>
      </w:r>
    </w:p>
    <w:p w:rsidR="00911DB1" w:rsidRDefault="00911DB1" w:rsidP="00911DB1">
      <w:pPr>
        <w:ind w:left="720"/>
        <w:jc w:val="both"/>
        <w:rPr>
          <w:rFonts w:ascii="StobiSerif" w:hAnsi="StobiSerif" w:cs="Arial"/>
          <w:sz w:val="20"/>
          <w:lang w:val="ru-RU"/>
        </w:rPr>
      </w:pPr>
    </w:p>
    <w:p w:rsidR="00911DB1" w:rsidRPr="00A61E4F" w:rsidRDefault="00911DB1" w:rsidP="00911DB1">
      <w:pPr>
        <w:numPr>
          <w:ilvl w:val="0"/>
          <w:numId w:val="4"/>
        </w:numPr>
        <w:autoSpaceDE w:val="0"/>
        <w:autoSpaceDN w:val="0"/>
        <w:adjustRightInd w:val="0"/>
        <w:spacing w:after="200" w:line="240" w:lineRule="atLeast"/>
        <w:jc w:val="both"/>
        <w:rPr>
          <w:rFonts w:ascii="StobiSerif" w:hAnsi="StobiSerif" w:cs="Arial"/>
          <w:b/>
          <w:bCs/>
          <w:sz w:val="20"/>
          <w:lang w:val="mk-MK"/>
        </w:rPr>
      </w:pPr>
      <w:r w:rsidRPr="00A61E4F">
        <w:rPr>
          <w:rFonts w:ascii="StobiSerif" w:hAnsi="StobiSerif" w:cs="Arial"/>
          <w:b/>
          <w:bCs/>
          <w:sz w:val="20"/>
          <w:lang w:val="mk-MK"/>
        </w:rPr>
        <w:t xml:space="preserve">Имиња и презимиња на лицата одговорни за подготовка на иницијалната проценка на влијанието на регулативата и </w:t>
      </w:r>
      <w:r w:rsidRPr="00A61E4F">
        <w:rPr>
          <w:rFonts w:ascii="StobiSerif" w:hAnsi="StobiSerif" w:cs="Arial"/>
          <w:b/>
          <w:sz w:val="20"/>
          <w:lang w:val="mk-MK"/>
        </w:rPr>
        <w:t>предлог законот</w:t>
      </w:r>
      <w:r w:rsidRPr="00A61E4F">
        <w:rPr>
          <w:rFonts w:ascii="StobiSerif" w:hAnsi="StobiSerif" w:cs="Arial"/>
          <w:b/>
          <w:bCs/>
          <w:sz w:val="20"/>
          <w:lang w:val="mk-MK"/>
        </w:rPr>
        <w:t>:</w:t>
      </w:r>
    </w:p>
    <w:p w:rsidR="00911DB1" w:rsidRPr="00A61E4F" w:rsidRDefault="00911DB1" w:rsidP="00911DB1">
      <w:pPr>
        <w:autoSpaceDE w:val="0"/>
        <w:autoSpaceDN w:val="0"/>
        <w:adjustRightInd w:val="0"/>
        <w:spacing w:line="240" w:lineRule="atLeast"/>
        <w:jc w:val="both"/>
        <w:rPr>
          <w:rFonts w:ascii="StobiSerif" w:hAnsi="StobiSerif" w:cs="Arial"/>
          <w:bCs/>
          <w:sz w:val="20"/>
          <w:lang w:val="mk-MK"/>
        </w:rPr>
      </w:pPr>
      <w:r w:rsidRPr="00A61E4F">
        <w:rPr>
          <w:rFonts w:ascii="StobiSerif" w:hAnsi="StobiSerif" w:cs="Arial"/>
          <w:bCs/>
          <w:sz w:val="20"/>
          <w:lang w:val="mk-MK"/>
        </w:rPr>
        <w:t>Виолета Кецкаровска, раководител на сектор за енергетика</w:t>
      </w:r>
    </w:p>
    <w:p w:rsidR="00911DB1" w:rsidRPr="00A61E4F" w:rsidRDefault="00911DB1" w:rsidP="00911DB1">
      <w:pPr>
        <w:autoSpaceDE w:val="0"/>
        <w:autoSpaceDN w:val="0"/>
        <w:adjustRightInd w:val="0"/>
        <w:spacing w:line="240" w:lineRule="atLeast"/>
        <w:jc w:val="both"/>
        <w:rPr>
          <w:rFonts w:ascii="StobiSerif" w:hAnsi="StobiSerif" w:cs="Arial"/>
          <w:bCs/>
          <w:sz w:val="20"/>
          <w:lang w:val="mk-MK"/>
        </w:rPr>
      </w:pPr>
      <w:r w:rsidRPr="00A61E4F">
        <w:rPr>
          <w:rFonts w:ascii="StobiSerif" w:hAnsi="StobiSerif" w:cs="Arial"/>
          <w:bCs/>
          <w:sz w:val="20"/>
          <w:lang w:val="mk-MK"/>
        </w:rPr>
        <w:t>Андон Киров, советник</w:t>
      </w:r>
    </w:p>
    <w:p w:rsidR="00911DB1" w:rsidRPr="00A61E4F" w:rsidRDefault="00911DB1" w:rsidP="00911DB1">
      <w:pPr>
        <w:autoSpaceDE w:val="0"/>
        <w:autoSpaceDN w:val="0"/>
        <w:adjustRightInd w:val="0"/>
        <w:spacing w:line="240" w:lineRule="atLeast"/>
        <w:jc w:val="both"/>
        <w:rPr>
          <w:rFonts w:ascii="StobiSerif" w:hAnsi="StobiSerif" w:cs="Arial"/>
          <w:bCs/>
          <w:sz w:val="20"/>
          <w:lang w:val="mk-MK"/>
        </w:rPr>
      </w:pPr>
      <w:r w:rsidRPr="00A61E4F">
        <w:rPr>
          <w:rFonts w:ascii="StobiSerif" w:hAnsi="StobiSerif" w:cs="Arial"/>
          <w:bCs/>
          <w:sz w:val="20"/>
          <w:lang w:val="mk-MK"/>
        </w:rPr>
        <w:t>Милица Андонов, помлад соработник</w:t>
      </w:r>
    </w:p>
    <w:p w:rsidR="00911DB1" w:rsidRPr="00A61E4F" w:rsidRDefault="00911DB1" w:rsidP="00911DB1">
      <w:pPr>
        <w:autoSpaceDE w:val="0"/>
        <w:autoSpaceDN w:val="0"/>
        <w:adjustRightInd w:val="0"/>
        <w:spacing w:after="200" w:line="240" w:lineRule="atLeast"/>
        <w:ind w:left="720"/>
        <w:jc w:val="both"/>
        <w:rPr>
          <w:rFonts w:ascii="StobiSerif" w:hAnsi="StobiSerif" w:cs="Arial"/>
          <w:b/>
          <w:bCs/>
          <w:sz w:val="20"/>
          <w:lang w:val="mk-MK"/>
        </w:rPr>
      </w:pPr>
    </w:p>
    <w:p w:rsidR="00911DB1" w:rsidRPr="00A61E4F" w:rsidRDefault="00911DB1" w:rsidP="00911DB1">
      <w:pPr>
        <w:numPr>
          <w:ilvl w:val="0"/>
          <w:numId w:val="4"/>
        </w:numPr>
        <w:autoSpaceDE w:val="0"/>
        <w:autoSpaceDN w:val="0"/>
        <w:adjustRightInd w:val="0"/>
        <w:spacing w:after="200" w:line="240" w:lineRule="atLeast"/>
        <w:jc w:val="both"/>
        <w:rPr>
          <w:rFonts w:ascii="StobiSerif" w:hAnsi="StobiSerif" w:cs="Arial"/>
          <w:b/>
          <w:bCs/>
          <w:sz w:val="20"/>
          <w:lang w:val="mk-MK"/>
        </w:rPr>
      </w:pPr>
      <w:r w:rsidRPr="00A61E4F">
        <w:rPr>
          <w:rFonts w:ascii="StobiSerif" w:hAnsi="StobiSerif" w:cs="Arial"/>
          <w:b/>
          <w:bCs/>
          <w:sz w:val="20"/>
          <w:lang w:val="mk-MK"/>
        </w:rPr>
        <w:t xml:space="preserve">Повереници на Владата на Република Македонија кои ќе се вклучат во презентирање на </w:t>
      </w:r>
      <w:r w:rsidRPr="00A61E4F">
        <w:rPr>
          <w:rFonts w:ascii="StobiSerif" w:hAnsi="StobiSerif" w:cs="Arial"/>
          <w:b/>
          <w:sz w:val="20"/>
          <w:lang w:val="mk-MK"/>
        </w:rPr>
        <w:t xml:space="preserve">предлог законот </w:t>
      </w:r>
      <w:r w:rsidRPr="00A61E4F">
        <w:rPr>
          <w:rFonts w:ascii="StobiSerif" w:hAnsi="StobiSerif" w:cs="Arial"/>
          <w:b/>
          <w:bCs/>
          <w:sz w:val="20"/>
          <w:lang w:val="mk-MK"/>
        </w:rPr>
        <w:t>во Собранието на Република Македонија:</w:t>
      </w:r>
    </w:p>
    <w:p w:rsidR="00911DB1" w:rsidRPr="00A61E4F" w:rsidRDefault="00911DB1" w:rsidP="00911DB1">
      <w:pPr>
        <w:autoSpaceDE w:val="0"/>
        <w:autoSpaceDN w:val="0"/>
        <w:adjustRightInd w:val="0"/>
        <w:spacing w:line="240" w:lineRule="atLeast"/>
        <w:jc w:val="both"/>
        <w:rPr>
          <w:rFonts w:ascii="StobiSerif" w:hAnsi="StobiSerif" w:cs="Arial"/>
          <w:bCs/>
          <w:sz w:val="20"/>
          <w:lang w:val="mk-MK"/>
        </w:rPr>
      </w:pPr>
      <w:proofErr w:type="spellStart"/>
      <w:r w:rsidRPr="00A61E4F">
        <w:rPr>
          <w:rFonts w:ascii="StobiSerif" w:hAnsi="StobiSerif" w:cs="Arial"/>
          <w:bCs/>
          <w:sz w:val="20"/>
        </w:rPr>
        <w:t>Valon</w:t>
      </w:r>
      <w:proofErr w:type="spellEnd"/>
      <w:r w:rsidRPr="00A61E4F">
        <w:rPr>
          <w:rFonts w:ascii="StobiSerif" w:hAnsi="StobiSerif" w:cs="Arial"/>
          <w:bCs/>
          <w:sz w:val="20"/>
          <w:lang w:val="ru-RU"/>
        </w:rPr>
        <w:t xml:space="preserve"> </w:t>
      </w:r>
      <w:proofErr w:type="spellStart"/>
      <w:r w:rsidRPr="00A61E4F">
        <w:rPr>
          <w:rFonts w:ascii="StobiSerif" w:hAnsi="StobiSerif" w:cs="Arial"/>
          <w:bCs/>
          <w:sz w:val="20"/>
        </w:rPr>
        <w:t>Saraqini</w:t>
      </w:r>
      <w:proofErr w:type="spellEnd"/>
      <w:r w:rsidRPr="00A61E4F">
        <w:rPr>
          <w:rFonts w:ascii="StobiSerif" w:hAnsi="StobiSerif" w:cs="Arial"/>
          <w:bCs/>
          <w:sz w:val="20"/>
          <w:lang w:val="mk-MK"/>
        </w:rPr>
        <w:t>, министер на МЕ,</w:t>
      </w:r>
    </w:p>
    <w:p w:rsidR="00911DB1" w:rsidRPr="00A61E4F" w:rsidRDefault="00911DB1" w:rsidP="00911DB1">
      <w:pPr>
        <w:autoSpaceDE w:val="0"/>
        <w:autoSpaceDN w:val="0"/>
        <w:adjustRightInd w:val="0"/>
        <w:spacing w:line="240" w:lineRule="atLeast"/>
        <w:jc w:val="both"/>
        <w:rPr>
          <w:rFonts w:ascii="StobiSerif" w:hAnsi="StobiSerif" w:cs="Arial"/>
          <w:bCs/>
          <w:sz w:val="20"/>
          <w:lang w:val="mk-MK"/>
        </w:rPr>
      </w:pPr>
      <w:r w:rsidRPr="00A61E4F">
        <w:rPr>
          <w:rFonts w:ascii="StobiSerif" w:hAnsi="StobiSerif" w:cs="Arial"/>
          <w:bCs/>
          <w:sz w:val="20"/>
          <w:lang w:val="mk-MK"/>
        </w:rPr>
        <w:t>Христијан Делев, заменик министер на МЕ,</w:t>
      </w:r>
    </w:p>
    <w:p w:rsidR="00911DB1" w:rsidRPr="00A61E4F" w:rsidRDefault="00911DB1" w:rsidP="00911DB1">
      <w:pPr>
        <w:autoSpaceDE w:val="0"/>
        <w:autoSpaceDN w:val="0"/>
        <w:adjustRightInd w:val="0"/>
        <w:spacing w:line="240" w:lineRule="atLeast"/>
        <w:jc w:val="both"/>
        <w:rPr>
          <w:rFonts w:ascii="StobiSerif" w:hAnsi="StobiSerif" w:cs="Arial"/>
          <w:bCs/>
          <w:sz w:val="20"/>
          <w:lang w:val="mk-MK"/>
        </w:rPr>
      </w:pPr>
      <w:r w:rsidRPr="00A61E4F">
        <w:rPr>
          <w:rFonts w:ascii="StobiSerif" w:hAnsi="StobiSerif" w:cs="Arial"/>
          <w:bCs/>
          <w:sz w:val="20"/>
          <w:lang w:val="mk-MK"/>
        </w:rPr>
        <w:t>Анче Трифунов, државен секретар на  МЕ,</w:t>
      </w:r>
    </w:p>
    <w:p w:rsidR="00911DB1" w:rsidRPr="00A61E4F" w:rsidRDefault="00911DB1" w:rsidP="00911DB1">
      <w:pPr>
        <w:autoSpaceDE w:val="0"/>
        <w:autoSpaceDN w:val="0"/>
        <w:adjustRightInd w:val="0"/>
        <w:spacing w:line="240" w:lineRule="atLeast"/>
        <w:jc w:val="both"/>
        <w:rPr>
          <w:rFonts w:ascii="StobiSerif" w:hAnsi="StobiSerif" w:cs="Arial"/>
          <w:bCs/>
          <w:sz w:val="20"/>
          <w:lang w:val="mk-MK"/>
        </w:rPr>
      </w:pPr>
      <w:r w:rsidRPr="00A61E4F">
        <w:rPr>
          <w:rFonts w:ascii="StobiSerif" w:hAnsi="StobiSerif" w:cs="Arial"/>
          <w:bCs/>
          <w:sz w:val="20"/>
          <w:lang w:val="mk-MK"/>
        </w:rPr>
        <w:t>Виолета Кецкаровска, раководител на сектор во МЕ</w:t>
      </w:r>
    </w:p>
    <w:p w:rsidR="00911DB1" w:rsidRPr="00A61E4F" w:rsidRDefault="00911DB1" w:rsidP="00911DB1">
      <w:pPr>
        <w:autoSpaceDE w:val="0"/>
        <w:autoSpaceDN w:val="0"/>
        <w:adjustRightInd w:val="0"/>
        <w:spacing w:line="240" w:lineRule="atLeast"/>
        <w:ind w:left="1260" w:hanging="540"/>
        <w:jc w:val="center"/>
        <w:rPr>
          <w:rFonts w:ascii="StobiSerif" w:hAnsi="StobiSerif" w:cs="Arial"/>
          <w:b/>
          <w:sz w:val="20"/>
          <w:lang w:val="mk-MK"/>
        </w:rPr>
      </w:pPr>
    </w:p>
    <w:p w:rsidR="00911DB1" w:rsidRPr="00A61E4F" w:rsidRDefault="00911DB1" w:rsidP="00911DB1">
      <w:pPr>
        <w:autoSpaceDE w:val="0"/>
        <w:autoSpaceDN w:val="0"/>
        <w:adjustRightInd w:val="0"/>
        <w:spacing w:line="240" w:lineRule="atLeast"/>
        <w:ind w:left="1260" w:hanging="540"/>
        <w:jc w:val="center"/>
        <w:rPr>
          <w:rFonts w:ascii="StobiSerif" w:hAnsi="StobiSerif" w:cs="Arial"/>
          <w:iCs/>
          <w:sz w:val="20"/>
          <w:lang w:val="mk-MK"/>
        </w:rPr>
      </w:pPr>
      <w:r w:rsidRPr="00A61E4F">
        <w:rPr>
          <w:rFonts w:ascii="StobiSerif" w:hAnsi="StobiSerif" w:cs="Arial"/>
          <w:b/>
          <w:sz w:val="20"/>
          <w:lang w:val="mk-MK"/>
        </w:rPr>
        <w:t>Изјава од министерот</w:t>
      </w:r>
    </w:p>
    <w:p w:rsidR="00911DB1" w:rsidRPr="00A61E4F" w:rsidRDefault="00911DB1" w:rsidP="00911DB1">
      <w:pPr>
        <w:jc w:val="center"/>
        <w:rPr>
          <w:rFonts w:ascii="StobiSerif" w:hAnsi="StobiSerif" w:cs="Arial"/>
          <w:b/>
          <w:sz w:val="20"/>
          <w:lang w:val="mk-MK"/>
        </w:rPr>
      </w:pPr>
      <w:r w:rsidRPr="00A61E4F">
        <w:rPr>
          <w:rFonts w:ascii="StobiSerif" w:hAnsi="StobiSerif" w:cs="Arial"/>
          <w:b/>
          <w:sz w:val="20"/>
          <w:lang w:val="mk-MK"/>
        </w:rPr>
        <w:t>за иницијалната проценка на влијание на регулативата</w:t>
      </w:r>
    </w:p>
    <w:p w:rsidR="00911DB1" w:rsidRPr="00A61E4F" w:rsidRDefault="00911DB1" w:rsidP="00911DB1">
      <w:pPr>
        <w:autoSpaceDE w:val="0"/>
        <w:autoSpaceDN w:val="0"/>
        <w:adjustRightInd w:val="0"/>
        <w:ind w:left="540" w:hanging="540"/>
        <w:jc w:val="both"/>
        <w:rPr>
          <w:rFonts w:ascii="StobiSerif" w:hAnsi="StobiSerif" w:cs="Arial"/>
          <w:bCs/>
          <w:sz w:val="20"/>
          <w:lang w:val="mk-MK"/>
        </w:rPr>
      </w:pPr>
    </w:p>
    <w:p w:rsidR="00911DB1" w:rsidRPr="00A61E4F" w:rsidRDefault="00911DB1" w:rsidP="00911DB1">
      <w:pPr>
        <w:autoSpaceDE w:val="0"/>
        <w:autoSpaceDN w:val="0"/>
        <w:adjustRightInd w:val="0"/>
        <w:jc w:val="both"/>
        <w:rPr>
          <w:rFonts w:ascii="StobiSerif" w:hAnsi="StobiSerif" w:cs="Arial"/>
          <w:bCs/>
          <w:sz w:val="20"/>
          <w:lang w:val="mk-MK"/>
        </w:rPr>
      </w:pPr>
      <w:r w:rsidRPr="00A61E4F">
        <w:rPr>
          <w:rFonts w:ascii="StobiSerif" w:hAnsi="StobiSerif" w:cs="Arial"/>
          <w:bCs/>
          <w:sz w:val="20"/>
          <w:lang w:val="mk-MK"/>
        </w:rPr>
        <w:lastRenderedPageBreak/>
        <w:t>Изјавувам дека предложениот материјал за иницијална проценка на влијанието на</w:t>
      </w:r>
      <w:r w:rsidRPr="00A61E4F">
        <w:rPr>
          <w:rFonts w:ascii="StobiSerif" w:hAnsi="StobiSerif" w:cs="Arial"/>
          <w:bCs/>
          <w:sz w:val="20"/>
          <w:lang w:val="ru-RU"/>
        </w:rPr>
        <w:t xml:space="preserve"> </w:t>
      </w:r>
      <w:r w:rsidRPr="00A61E4F">
        <w:rPr>
          <w:rFonts w:ascii="StobiSerif" w:hAnsi="StobiSerif" w:cs="Arial"/>
          <w:bCs/>
          <w:sz w:val="20"/>
          <w:lang w:val="mk-MK"/>
        </w:rPr>
        <w:t>регулативата/</w:t>
      </w:r>
      <w:r w:rsidRPr="00A61E4F">
        <w:rPr>
          <w:rFonts w:ascii="StobiSerif" w:hAnsi="StobiSerif" w:cs="Arial"/>
          <w:sz w:val="20"/>
          <w:lang w:val="mk-MK"/>
        </w:rPr>
        <w:t xml:space="preserve"> предлог закон</w:t>
      </w:r>
    </w:p>
    <w:p w:rsidR="00911DB1" w:rsidRPr="00A61E4F" w:rsidRDefault="00911DB1" w:rsidP="00911DB1">
      <w:pPr>
        <w:autoSpaceDE w:val="0"/>
        <w:autoSpaceDN w:val="0"/>
        <w:adjustRightInd w:val="0"/>
        <w:ind w:left="540" w:hanging="540"/>
        <w:jc w:val="both"/>
        <w:rPr>
          <w:rFonts w:ascii="StobiSerif" w:hAnsi="StobiSerif" w:cs="Arial"/>
          <w:bCs/>
          <w:sz w:val="20"/>
          <w:lang w:val="mk-M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1"/>
        <w:gridCol w:w="7088"/>
      </w:tblGrid>
      <w:tr w:rsidR="00911DB1" w:rsidRPr="00A61E4F" w:rsidTr="00146E43">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ind w:left="540" w:hanging="540"/>
              <w:rPr>
                <w:rFonts w:ascii="StobiSerif" w:hAnsi="StobiSerif" w:cs="Arial"/>
                <w:bCs/>
                <w:sz w:val="20"/>
                <w:lang w:val="mk-MK"/>
              </w:rPr>
            </w:pPr>
            <w:r w:rsidRPr="00A61E4F">
              <w:rPr>
                <w:rFonts w:ascii="StobiSerif" w:hAnsi="StobiSerif" w:cs="Arial"/>
                <w:bCs/>
                <w:sz w:val="20"/>
                <w:lang w:val="mk-MK"/>
              </w:rPr>
              <w:t>1.1</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rPr>
                <w:rFonts w:ascii="StobiSerif" w:hAnsi="StobiSerif" w:cs="Arial"/>
                <w:bCs/>
                <w:sz w:val="20"/>
                <w:lang w:val="mk-MK"/>
              </w:rPr>
            </w:pPr>
            <w:r w:rsidRPr="00A61E4F">
              <w:rPr>
                <w:rFonts w:ascii="StobiSerif" w:hAnsi="StobiSerif" w:cs="Arial"/>
                <w:bCs/>
                <w:sz w:val="20"/>
                <w:lang w:val="mk-MK"/>
              </w:rPr>
              <w:t xml:space="preserve"> Има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Default="00911DB1" w:rsidP="00146E43">
            <w:pPr>
              <w:autoSpaceDE w:val="0"/>
              <w:autoSpaceDN w:val="0"/>
              <w:adjustRightInd w:val="0"/>
              <w:rPr>
                <w:rFonts w:ascii="StobiSerif" w:hAnsi="StobiSerif" w:cs="Arial"/>
                <w:bCs/>
                <w:sz w:val="20"/>
                <w:lang w:val="mk-MK"/>
              </w:rPr>
            </w:pPr>
            <w:r w:rsidRPr="00A61E4F">
              <w:rPr>
                <w:rFonts w:ascii="StobiSerif" w:hAnsi="StobiSerif" w:cs="Arial"/>
                <w:bCs/>
                <w:sz w:val="20"/>
                <w:lang w:val="mk-MK"/>
              </w:rPr>
              <w:t xml:space="preserve">врз Буџетот на Република Македонија </w:t>
            </w:r>
          </w:p>
          <w:p w:rsidR="00911DB1" w:rsidRDefault="00911DB1" w:rsidP="00146E43">
            <w:pPr>
              <w:jc w:val="both"/>
              <w:rPr>
                <w:rFonts w:ascii="StobiSerif" w:hAnsi="StobiSerif"/>
                <w:color w:val="000000"/>
                <w:sz w:val="20"/>
                <w:lang w:val="mk-MK"/>
              </w:rPr>
            </w:pPr>
            <w:r w:rsidRPr="00A61E4F">
              <w:rPr>
                <w:rFonts w:ascii="StobiSerif" w:hAnsi="StobiSerif" w:cs="Arial"/>
                <w:bCs/>
                <w:sz w:val="20"/>
                <w:lang w:val="mk-MK"/>
              </w:rPr>
              <w:t xml:space="preserve"> (Со предлог законот се предвидува </w:t>
            </w:r>
            <w:r>
              <w:rPr>
                <w:rFonts w:ascii="StobiSerif" w:hAnsi="StobiSerif" w:cs="Arial"/>
                <w:bCs/>
                <w:sz w:val="20"/>
                <w:lang w:val="mk-MK"/>
              </w:rPr>
              <w:t>в</w:t>
            </w:r>
            <w:r w:rsidRPr="000F7A92">
              <w:rPr>
                <w:rFonts w:ascii="StobiSerif" w:hAnsi="StobiSerif" w:cs="Arial"/>
                <w:noProof/>
                <w:color w:val="000000"/>
                <w:sz w:val="20"/>
              </w:rPr>
              <w:t>о постапката за донесување на решение за издавање на лиценца за</w:t>
            </w:r>
            <w:r w:rsidRPr="000F7A92">
              <w:rPr>
                <w:rFonts w:ascii="StobiSerif" w:hAnsi="StobiSerif" w:cs="Arial"/>
                <w:color w:val="000000"/>
                <w:sz w:val="20"/>
              </w:rPr>
              <w:t xml:space="preserve"> </w:t>
            </w:r>
            <w:proofErr w:type="spellStart"/>
            <w:r w:rsidRPr="000F7A92">
              <w:rPr>
                <w:rFonts w:ascii="StobiSerif" w:hAnsi="StobiSerif" w:cs="Arial"/>
                <w:color w:val="000000"/>
                <w:sz w:val="20"/>
              </w:rPr>
              <w:t>изработка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на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елаборат</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за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енергетска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ефикасност</w:t>
            </w:r>
            <w:proofErr w:type="spellEnd"/>
            <w:r w:rsidRPr="000F7A92">
              <w:rPr>
                <w:rFonts w:ascii="StobiSerif" w:hAnsi="StobiSerif" w:cs="Arial"/>
                <w:noProof/>
                <w:color w:val="000000"/>
                <w:sz w:val="20"/>
              </w:rPr>
              <w:t xml:space="preserve">, Министерството наплаќа надоместок во износ од </w:t>
            </w:r>
            <w:r>
              <w:rPr>
                <w:rFonts w:ascii="StobiSerif" w:hAnsi="StobiSerif" w:cs="Arial"/>
                <w:noProof/>
                <w:color w:val="000000"/>
                <w:sz w:val="20"/>
              </w:rPr>
              <w:t>6</w:t>
            </w:r>
            <w:r w:rsidRPr="000F7A92">
              <w:rPr>
                <w:rFonts w:ascii="StobiSerif" w:hAnsi="StobiSerif" w:cs="Arial"/>
                <w:noProof/>
                <w:color w:val="000000"/>
                <w:sz w:val="20"/>
              </w:rPr>
              <w:t>.000 денари.</w:t>
            </w:r>
            <w:r w:rsidRPr="004165E9">
              <w:rPr>
                <w:rFonts w:ascii="StobiSerif" w:hAnsi="StobiSerif"/>
                <w:color w:val="000000"/>
                <w:sz w:val="20"/>
              </w:rPr>
              <w:t xml:space="preserve"> </w:t>
            </w:r>
          </w:p>
          <w:p w:rsidR="00911DB1" w:rsidRDefault="00911DB1" w:rsidP="00146E43">
            <w:pPr>
              <w:ind w:firstLine="680"/>
              <w:jc w:val="both"/>
              <w:rPr>
                <w:rFonts w:ascii="StobiSerif" w:hAnsi="StobiSerif"/>
                <w:color w:val="000000"/>
                <w:sz w:val="20"/>
                <w:lang w:val="mk-MK"/>
              </w:rPr>
            </w:pPr>
          </w:p>
          <w:p w:rsidR="00911DB1" w:rsidRPr="00A61E4F" w:rsidRDefault="00911DB1" w:rsidP="00146E43">
            <w:pPr>
              <w:jc w:val="both"/>
              <w:rPr>
                <w:rFonts w:ascii="StobiSerif" w:hAnsi="StobiSerif" w:cs="Arial"/>
                <w:bCs/>
                <w:sz w:val="20"/>
                <w:lang w:val="mk-MK"/>
              </w:rPr>
            </w:pPr>
            <w:r w:rsidRPr="000F7A92">
              <w:rPr>
                <w:rFonts w:ascii="StobiSerif" w:hAnsi="StobiSerif" w:cs="Arial"/>
                <w:noProof/>
                <w:color w:val="000000"/>
                <w:sz w:val="20"/>
              </w:rPr>
              <w:t>Во постапката за донесување на решение за издавање на овластување за</w:t>
            </w:r>
            <w:r w:rsidRPr="000F7A92">
              <w:rPr>
                <w:rFonts w:ascii="StobiSerif" w:hAnsi="StobiSerif" w:cs="Arial"/>
                <w:color w:val="000000"/>
                <w:sz w:val="20"/>
              </w:rPr>
              <w:t xml:space="preserve"> </w:t>
            </w:r>
            <w:proofErr w:type="spellStart"/>
            <w:r w:rsidRPr="000F7A92">
              <w:rPr>
                <w:rFonts w:ascii="StobiSerif" w:hAnsi="StobiSerif" w:cs="Arial"/>
                <w:color w:val="000000"/>
                <w:sz w:val="20"/>
              </w:rPr>
              <w:t>изработка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на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елаборат</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за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енергетска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ефикасност</w:t>
            </w:r>
            <w:proofErr w:type="spellEnd"/>
            <w:r w:rsidRPr="000F7A92">
              <w:rPr>
                <w:rFonts w:ascii="StobiSerif" w:hAnsi="StobiSerif" w:cs="Arial"/>
                <w:noProof/>
                <w:color w:val="000000"/>
                <w:sz w:val="20"/>
              </w:rPr>
              <w:t xml:space="preserve">, </w:t>
            </w:r>
            <w:proofErr w:type="spellStart"/>
            <w:r w:rsidRPr="000F7A92">
              <w:rPr>
                <w:rFonts w:ascii="StobiSerif" w:hAnsi="StobiSerif" w:cs="Arial"/>
                <w:color w:val="000000"/>
                <w:sz w:val="20"/>
              </w:rPr>
              <w:t>Министерството</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надлежно</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за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работите</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од</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облста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на</w:t>
            </w:r>
            <w:proofErr w:type="spellEnd"/>
            <w:r w:rsidRPr="000F7A92">
              <w:rPr>
                <w:rFonts w:ascii="StobiSerif" w:hAnsi="StobiSerif" w:cs="Arial"/>
                <w:color w:val="000000"/>
                <w:sz w:val="20"/>
              </w:rPr>
              <w:t xml:space="preserve"> </w:t>
            </w:r>
            <w:proofErr w:type="spellStart"/>
            <w:r w:rsidRPr="000F7A92">
              <w:rPr>
                <w:rFonts w:ascii="StobiSerif" w:hAnsi="StobiSerif" w:cs="Arial"/>
                <w:color w:val="000000"/>
                <w:sz w:val="20"/>
              </w:rPr>
              <w:t>енергетика</w:t>
            </w:r>
            <w:proofErr w:type="spellEnd"/>
            <w:r w:rsidRPr="000F7A92">
              <w:rPr>
                <w:rFonts w:ascii="StobiSerif" w:hAnsi="StobiSerif" w:cs="Arial"/>
                <w:color w:val="000000"/>
                <w:sz w:val="20"/>
              </w:rPr>
              <w:t xml:space="preserve"> </w:t>
            </w:r>
            <w:proofErr w:type="spellStart"/>
            <w:r w:rsidRPr="000F7A92">
              <w:rPr>
                <w:rFonts w:ascii="StobiSerif" w:hAnsi="StobiSerif"/>
                <w:color w:val="000000"/>
                <w:sz w:val="20"/>
              </w:rPr>
              <w:t>наплаќа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административна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такса</w:t>
            </w:r>
            <w:proofErr w:type="spellEnd"/>
            <w:r w:rsidRPr="000F7A92">
              <w:rPr>
                <w:rFonts w:ascii="StobiSerif" w:hAnsi="StobiSerif"/>
                <w:color w:val="000000"/>
                <w:sz w:val="20"/>
              </w:rPr>
              <w:t xml:space="preserve"> </w:t>
            </w:r>
            <w:proofErr w:type="spellStart"/>
            <w:proofErr w:type="gramStart"/>
            <w:r w:rsidRPr="000F7A92">
              <w:rPr>
                <w:rFonts w:ascii="StobiSerif" w:hAnsi="StobiSerif"/>
                <w:color w:val="000000"/>
                <w:sz w:val="20"/>
              </w:rPr>
              <w:t>согласно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со</w:t>
            </w:r>
            <w:proofErr w:type="spellEnd"/>
            <w:proofErr w:type="gramEnd"/>
            <w:r w:rsidRPr="000F7A92">
              <w:rPr>
                <w:rFonts w:ascii="StobiSerif" w:hAnsi="StobiSerif"/>
                <w:color w:val="000000"/>
                <w:sz w:val="20"/>
              </w:rPr>
              <w:t xml:space="preserve">  </w:t>
            </w:r>
            <w:proofErr w:type="spellStart"/>
            <w:r w:rsidRPr="000F7A92">
              <w:rPr>
                <w:rFonts w:ascii="StobiSerif" w:hAnsi="StobiSerif"/>
                <w:color w:val="000000"/>
                <w:sz w:val="20"/>
              </w:rPr>
              <w:t>Законот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за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администартивни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такси</w:t>
            </w:r>
            <w:proofErr w:type="spellEnd"/>
            <w:r w:rsidRPr="000F7A92">
              <w:rPr>
                <w:rFonts w:ascii="StobiSerif" w:hAnsi="StobiSerif"/>
                <w:color w:val="000000"/>
                <w:sz w:val="20"/>
                <w:lang w:val="mk-MK"/>
              </w:rPr>
              <w:t>.</w:t>
            </w:r>
          </w:p>
          <w:p w:rsidR="00911DB1" w:rsidRDefault="00911DB1" w:rsidP="00146E43">
            <w:pPr>
              <w:autoSpaceDE w:val="0"/>
              <w:autoSpaceDN w:val="0"/>
              <w:adjustRightInd w:val="0"/>
              <w:rPr>
                <w:rFonts w:ascii="StobiSerif" w:hAnsi="StobiSerif" w:cs="Arial"/>
                <w:bCs/>
                <w:i/>
                <w:sz w:val="20"/>
                <w:lang w:val="mk-MK"/>
              </w:rPr>
            </w:pPr>
          </w:p>
          <w:p w:rsidR="00911DB1" w:rsidRDefault="00911DB1" w:rsidP="00146E43">
            <w:pPr>
              <w:pStyle w:val="Default"/>
              <w:jc w:val="both"/>
              <w:rPr>
                <w:rFonts w:ascii="StobiSerif" w:hAnsi="StobiSerif" w:cs="Arial"/>
                <w:bCs/>
                <w:color w:val="auto"/>
                <w:sz w:val="20"/>
                <w:szCs w:val="20"/>
                <w:lang w:val="mk-MK"/>
              </w:rPr>
            </w:pPr>
            <w:r>
              <w:rPr>
                <w:rFonts w:ascii="StobiSerif" w:hAnsi="StobiSerif" w:cs="Arial"/>
                <w:bCs/>
                <w:color w:val="auto"/>
                <w:sz w:val="20"/>
                <w:szCs w:val="20"/>
                <w:lang w:val="mk-MK"/>
              </w:rPr>
              <w:t>Се предвидува формирање на две Комисии за одобрување на елаборат за енергетска ефикасност на ниво на Министерство и на ниво на единиците на локалната самоуправа.</w:t>
            </w:r>
          </w:p>
          <w:p w:rsidR="00911DB1" w:rsidRDefault="00911DB1" w:rsidP="00146E43">
            <w:pPr>
              <w:pStyle w:val="Default"/>
              <w:jc w:val="both"/>
              <w:rPr>
                <w:rFonts w:ascii="StobiSerif" w:hAnsi="StobiSerif"/>
                <w:sz w:val="20"/>
                <w:szCs w:val="20"/>
                <w:lang w:val="mk-MK"/>
              </w:rPr>
            </w:pPr>
            <w:proofErr w:type="spellStart"/>
            <w:r w:rsidRPr="000F7A92">
              <w:rPr>
                <w:rFonts w:ascii="StobiSerif" w:hAnsi="StobiSerif"/>
                <w:sz w:val="20"/>
                <w:szCs w:val="20"/>
              </w:rPr>
              <w:t>Комисијата</w:t>
            </w:r>
            <w:proofErr w:type="spellEnd"/>
            <w:r w:rsidRPr="000F7A92">
              <w:rPr>
                <w:rFonts w:ascii="StobiSerif" w:hAnsi="StobiSerif"/>
                <w:sz w:val="20"/>
                <w:szCs w:val="20"/>
              </w:rPr>
              <w:t xml:space="preserve"> </w:t>
            </w:r>
            <w:r>
              <w:rPr>
                <w:rFonts w:ascii="StobiSerif" w:hAnsi="StobiSerif"/>
                <w:sz w:val="20"/>
                <w:szCs w:val="20"/>
                <w:lang w:val="mk-MK"/>
              </w:rPr>
              <w:t xml:space="preserve">формирана од Министерот </w:t>
            </w:r>
            <w:r w:rsidRPr="000F7A92">
              <w:rPr>
                <w:rFonts w:ascii="StobiSerif" w:hAnsi="StobiSerif"/>
                <w:sz w:val="20"/>
                <w:szCs w:val="20"/>
              </w:rPr>
              <w:t xml:space="preserve">е </w:t>
            </w:r>
            <w:proofErr w:type="spellStart"/>
            <w:r w:rsidRPr="000F7A92">
              <w:rPr>
                <w:rFonts w:ascii="StobiSerif" w:hAnsi="StobiSerif"/>
                <w:sz w:val="20"/>
                <w:szCs w:val="20"/>
              </w:rPr>
              <w:t>составена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Pr>
                <w:rFonts w:ascii="StobiSerif" w:hAnsi="StobiSerif"/>
                <w:sz w:val="20"/>
                <w:szCs w:val="20"/>
              </w:rPr>
              <w:t>седум</w:t>
            </w:r>
            <w:proofErr w:type="spellEnd"/>
            <w:r w:rsidRPr="000F7A92">
              <w:rPr>
                <w:rFonts w:ascii="StobiSerif" w:hAnsi="StobiSerif"/>
                <w:sz w:val="20"/>
                <w:szCs w:val="20"/>
              </w:rPr>
              <w:t xml:space="preserve"> </w:t>
            </w:r>
            <w:proofErr w:type="spellStart"/>
            <w:r w:rsidRPr="000F7A92">
              <w:rPr>
                <w:rFonts w:ascii="StobiSerif" w:hAnsi="StobiSerif"/>
                <w:sz w:val="20"/>
                <w:szCs w:val="20"/>
              </w:rPr>
              <w:t>члена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кои</w:t>
            </w:r>
            <w:proofErr w:type="spellEnd"/>
            <w:r w:rsidRPr="000F7A92">
              <w:rPr>
                <w:rFonts w:ascii="StobiSerif" w:hAnsi="StobiSerif"/>
                <w:sz w:val="20"/>
                <w:szCs w:val="20"/>
              </w:rPr>
              <w:t xml:space="preserve"> </w:t>
            </w:r>
            <w:proofErr w:type="spellStart"/>
            <w:r w:rsidRPr="000F7A92">
              <w:rPr>
                <w:rFonts w:ascii="StobiSerif" w:hAnsi="StobiSerif"/>
                <w:sz w:val="20"/>
                <w:szCs w:val="20"/>
              </w:rPr>
              <w:t>по</w:t>
            </w:r>
            <w:proofErr w:type="spellEnd"/>
            <w:r w:rsidRPr="000F7A92">
              <w:rPr>
                <w:rFonts w:ascii="StobiSerif" w:hAnsi="StobiSerif"/>
                <w:sz w:val="20"/>
                <w:szCs w:val="20"/>
              </w:rPr>
              <w:t xml:space="preserve"> </w:t>
            </w:r>
            <w:proofErr w:type="spellStart"/>
            <w:r w:rsidRPr="000F7A92">
              <w:rPr>
                <w:rFonts w:ascii="StobiSerif" w:hAnsi="StobiSerif"/>
                <w:sz w:val="20"/>
                <w:szCs w:val="20"/>
              </w:rPr>
              <w:t>еден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претставник</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Министерството</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надлежно</w:t>
            </w:r>
            <w:proofErr w:type="spellEnd"/>
            <w:r w:rsidRPr="000F7A92">
              <w:rPr>
                <w:rFonts w:ascii="StobiSerif" w:hAnsi="StobiSerif"/>
                <w:sz w:val="20"/>
                <w:szCs w:val="20"/>
              </w:rPr>
              <w:t xml:space="preserve"> </w:t>
            </w:r>
            <w:proofErr w:type="spellStart"/>
            <w:r w:rsidRPr="000F7A92">
              <w:rPr>
                <w:rFonts w:ascii="StobiSerif" w:hAnsi="StobiSerif"/>
                <w:sz w:val="20"/>
                <w:szCs w:val="20"/>
              </w:rPr>
              <w:t>за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работите</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енергетиката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министерството</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надлежно</w:t>
            </w:r>
            <w:proofErr w:type="spellEnd"/>
            <w:r w:rsidRPr="000F7A92">
              <w:rPr>
                <w:rFonts w:ascii="StobiSerif" w:hAnsi="StobiSerif"/>
                <w:sz w:val="20"/>
                <w:szCs w:val="20"/>
              </w:rPr>
              <w:t xml:space="preserve"> </w:t>
            </w:r>
            <w:proofErr w:type="spellStart"/>
            <w:r w:rsidRPr="000F7A92">
              <w:rPr>
                <w:rFonts w:ascii="StobiSerif" w:hAnsi="StobiSerif"/>
                <w:sz w:val="20"/>
                <w:szCs w:val="20"/>
              </w:rPr>
              <w:t>за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работите</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градежништвото</w:t>
            </w:r>
            <w:proofErr w:type="spellEnd"/>
            <w:r w:rsidRPr="000F7A92">
              <w:rPr>
                <w:rFonts w:ascii="StobiSerif" w:hAnsi="StobiSerif"/>
                <w:sz w:val="20"/>
                <w:szCs w:val="20"/>
              </w:rPr>
              <w:t xml:space="preserve">, </w:t>
            </w:r>
            <w:proofErr w:type="spellStart"/>
            <w:r>
              <w:rPr>
                <w:rFonts w:ascii="StobiSerif" w:hAnsi="StobiSerif"/>
                <w:sz w:val="20"/>
                <w:szCs w:val="20"/>
              </w:rPr>
              <w:t>Министерство</w:t>
            </w:r>
            <w:proofErr w:type="spellEnd"/>
            <w:r>
              <w:rPr>
                <w:rFonts w:ascii="StobiSerif" w:hAnsi="StobiSerif"/>
                <w:sz w:val="20"/>
                <w:szCs w:val="20"/>
              </w:rPr>
              <w:t xml:space="preserve"> </w:t>
            </w:r>
            <w:proofErr w:type="spellStart"/>
            <w:r>
              <w:rPr>
                <w:rFonts w:ascii="StobiSerif" w:hAnsi="StobiSerif"/>
                <w:sz w:val="20"/>
                <w:szCs w:val="20"/>
              </w:rPr>
              <w:t>надлежно</w:t>
            </w:r>
            <w:proofErr w:type="spellEnd"/>
            <w:r>
              <w:rPr>
                <w:rFonts w:ascii="StobiSerif" w:hAnsi="StobiSerif"/>
                <w:sz w:val="20"/>
                <w:szCs w:val="20"/>
              </w:rPr>
              <w:t xml:space="preserve"> </w:t>
            </w:r>
            <w:proofErr w:type="spellStart"/>
            <w:r>
              <w:rPr>
                <w:rFonts w:ascii="StobiSerif" w:hAnsi="StobiSerif"/>
                <w:sz w:val="20"/>
                <w:szCs w:val="20"/>
              </w:rPr>
              <w:t>за</w:t>
            </w:r>
            <w:proofErr w:type="spellEnd"/>
            <w:r>
              <w:rPr>
                <w:rFonts w:ascii="StobiSerif" w:hAnsi="StobiSerif"/>
                <w:sz w:val="20"/>
                <w:szCs w:val="20"/>
              </w:rPr>
              <w:t xml:space="preserve"> </w:t>
            </w:r>
            <w:proofErr w:type="spellStart"/>
            <w:r>
              <w:rPr>
                <w:rFonts w:ascii="StobiSerif" w:hAnsi="StobiSerif"/>
                <w:sz w:val="20"/>
                <w:szCs w:val="20"/>
              </w:rPr>
              <w:t>работи</w:t>
            </w:r>
            <w:proofErr w:type="spellEnd"/>
            <w:r>
              <w:rPr>
                <w:rFonts w:ascii="StobiSerif" w:hAnsi="StobiSerif"/>
                <w:sz w:val="20"/>
                <w:szCs w:val="20"/>
              </w:rPr>
              <w:t xml:space="preserve"> </w:t>
            </w:r>
            <w:proofErr w:type="spellStart"/>
            <w:r>
              <w:rPr>
                <w:rFonts w:ascii="StobiSerif" w:hAnsi="StobiSerif"/>
                <w:sz w:val="20"/>
                <w:szCs w:val="20"/>
              </w:rPr>
              <w:t>од</w:t>
            </w:r>
            <w:proofErr w:type="spellEnd"/>
            <w:r>
              <w:rPr>
                <w:rFonts w:ascii="StobiSerif" w:hAnsi="StobiSerif"/>
                <w:sz w:val="20"/>
                <w:szCs w:val="20"/>
              </w:rPr>
              <w:t xml:space="preserve"> </w:t>
            </w:r>
            <w:proofErr w:type="spellStart"/>
            <w:r>
              <w:rPr>
                <w:rFonts w:ascii="StobiSerif" w:hAnsi="StobiSerif"/>
                <w:sz w:val="20"/>
                <w:szCs w:val="20"/>
              </w:rPr>
              <w:t>областа</w:t>
            </w:r>
            <w:proofErr w:type="spellEnd"/>
            <w:r>
              <w:rPr>
                <w:rFonts w:ascii="StobiSerif" w:hAnsi="StobiSerif"/>
                <w:sz w:val="20"/>
                <w:szCs w:val="20"/>
              </w:rPr>
              <w:t xml:space="preserve"> </w:t>
            </w:r>
            <w:proofErr w:type="spellStart"/>
            <w:r>
              <w:rPr>
                <w:rFonts w:ascii="StobiSerif" w:hAnsi="StobiSerif"/>
                <w:sz w:val="20"/>
                <w:szCs w:val="20"/>
              </w:rPr>
              <w:t>на</w:t>
            </w:r>
            <w:proofErr w:type="spellEnd"/>
            <w:r>
              <w:rPr>
                <w:rFonts w:ascii="StobiSerif" w:hAnsi="StobiSerif"/>
                <w:sz w:val="20"/>
                <w:szCs w:val="20"/>
              </w:rPr>
              <w:t xml:space="preserve"> </w:t>
            </w:r>
            <w:proofErr w:type="spellStart"/>
            <w:r>
              <w:rPr>
                <w:rFonts w:ascii="StobiSerif" w:hAnsi="StobiSerif"/>
                <w:sz w:val="20"/>
                <w:szCs w:val="20"/>
              </w:rPr>
              <w:t>финансиите</w:t>
            </w:r>
            <w:proofErr w:type="spellEnd"/>
            <w:r>
              <w:rPr>
                <w:rFonts w:ascii="StobiSerif" w:hAnsi="StobiSerif"/>
                <w:sz w:val="20"/>
                <w:szCs w:val="20"/>
              </w:rPr>
              <w:t xml:space="preserve">, </w:t>
            </w:r>
            <w:proofErr w:type="spellStart"/>
            <w:r>
              <w:rPr>
                <w:rFonts w:ascii="StobiSerif" w:hAnsi="StobiSerif"/>
                <w:sz w:val="20"/>
                <w:szCs w:val="20"/>
              </w:rPr>
              <w:t>Министерство</w:t>
            </w:r>
            <w:proofErr w:type="spellEnd"/>
            <w:r>
              <w:rPr>
                <w:rFonts w:ascii="StobiSerif" w:hAnsi="StobiSerif"/>
                <w:sz w:val="20"/>
                <w:szCs w:val="20"/>
              </w:rPr>
              <w:t xml:space="preserve"> </w:t>
            </w:r>
            <w:proofErr w:type="spellStart"/>
            <w:r>
              <w:rPr>
                <w:rFonts w:ascii="StobiSerif" w:hAnsi="StobiSerif"/>
                <w:sz w:val="20"/>
                <w:szCs w:val="20"/>
              </w:rPr>
              <w:t>надлежно</w:t>
            </w:r>
            <w:proofErr w:type="spellEnd"/>
            <w:r>
              <w:rPr>
                <w:rFonts w:ascii="StobiSerif" w:hAnsi="StobiSerif"/>
                <w:sz w:val="20"/>
                <w:szCs w:val="20"/>
              </w:rPr>
              <w:t xml:space="preserve"> </w:t>
            </w:r>
            <w:proofErr w:type="spellStart"/>
            <w:r>
              <w:rPr>
                <w:rFonts w:ascii="StobiSerif" w:hAnsi="StobiSerif"/>
                <w:sz w:val="20"/>
                <w:szCs w:val="20"/>
              </w:rPr>
              <w:t>за</w:t>
            </w:r>
            <w:proofErr w:type="spellEnd"/>
            <w:r>
              <w:rPr>
                <w:rFonts w:ascii="StobiSerif" w:hAnsi="StobiSerif"/>
                <w:sz w:val="20"/>
                <w:szCs w:val="20"/>
              </w:rPr>
              <w:t xml:space="preserve"> </w:t>
            </w:r>
            <w:proofErr w:type="spellStart"/>
            <w:r>
              <w:rPr>
                <w:rFonts w:ascii="StobiSerif" w:hAnsi="StobiSerif"/>
                <w:sz w:val="20"/>
                <w:szCs w:val="20"/>
              </w:rPr>
              <w:t>работи</w:t>
            </w:r>
            <w:proofErr w:type="spellEnd"/>
            <w:r>
              <w:rPr>
                <w:rFonts w:ascii="StobiSerif" w:hAnsi="StobiSerif"/>
                <w:sz w:val="20"/>
                <w:szCs w:val="20"/>
              </w:rPr>
              <w:t xml:space="preserve"> </w:t>
            </w:r>
            <w:proofErr w:type="spellStart"/>
            <w:r>
              <w:rPr>
                <w:rFonts w:ascii="StobiSerif" w:hAnsi="StobiSerif"/>
                <w:sz w:val="20"/>
                <w:szCs w:val="20"/>
              </w:rPr>
              <w:t>од</w:t>
            </w:r>
            <w:proofErr w:type="spellEnd"/>
            <w:r>
              <w:rPr>
                <w:rFonts w:ascii="StobiSerif" w:hAnsi="StobiSerif"/>
                <w:sz w:val="20"/>
                <w:szCs w:val="20"/>
              </w:rPr>
              <w:t xml:space="preserve"> </w:t>
            </w:r>
            <w:proofErr w:type="spellStart"/>
            <w:r>
              <w:rPr>
                <w:rFonts w:ascii="StobiSerif" w:hAnsi="StobiSerif"/>
                <w:sz w:val="20"/>
                <w:szCs w:val="20"/>
              </w:rPr>
              <w:t>областа</w:t>
            </w:r>
            <w:proofErr w:type="spellEnd"/>
            <w:r>
              <w:rPr>
                <w:rFonts w:ascii="StobiSerif" w:hAnsi="StobiSerif"/>
                <w:sz w:val="20"/>
                <w:szCs w:val="20"/>
              </w:rPr>
              <w:t xml:space="preserve"> </w:t>
            </w:r>
            <w:proofErr w:type="spellStart"/>
            <w:r>
              <w:rPr>
                <w:rFonts w:ascii="StobiSerif" w:hAnsi="StobiSerif"/>
                <w:sz w:val="20"/>
                <w:szCs w:val="20"/>
              </w:rPr>
              <w:t>на</w:t>
            </w:r>
            <w:proofErr w:type="spellEnd"/>
            <w:r>
              <w:rPr>
                <w:rFonts w:ascii="StobiSerif" w:hAnsi="StobiSerif"/>
                <w:sz w:val="20"/>
                <w:szCs w:val="20"/>
              </w:rPr>
              <w:t xml:space="preserve"> </w:t>
            </w:r>
            <w:proofErr w:type="spellStart"/>
            <w:r>
              <w:rPr>
                <w:rFonts w:ascii="StobiSerif" w:hAnsi="StobiSerif"/>
                <w:sz w:val="20"/>
                <w:szCs w:val="20"/>
              </w:rPr>
              <w:t>животната</w:t>
            </w:r>
            <w:proofErr w:type="spellEnd"/>
            <w:r>
              <w:rPr>
                <w:rFonts w:ascii="StobiSerif" w:hAnsi="StobiSerif"/>
                <w:sz w:val="20"/>
                <w:szCs w:val="20"/>
              </w:rPr>
              <w:t xml:space="preserve"> </w:t>
            </w:r>
            <w:proofErr w:type="spellStart"/>
            <w:r>
              <w:rPr>
                <w:rFonts w:ascii="StobiSerif" w:hAnsi="StobiSerif"/>
                <w:sz w:val="20"/>
                <w:szCs w:val="20"/>
              </w:rPr>
              <w:t>средина</w:t>
            </w:r>
            <w:proofErr w:type="spellEnd"/>
            <w:r>
              <w:rPr>
                <w:rFonts w:ascii="StobiSerif" w:hAnsi="StobiSerif"/>
                <w:sz w:val="20"/>
                <w:szCs w:val="20"/>
              </w:rPr>
              <w:t xml:space="preserve">, </w:t>
            </w:r>
            <w:proofErr w:type="spellStart"/>
            <w:r w:rsidRPr="000F7A92">
              <w:rPr>
                <w:rFonts w:ascii="StobiSerif" w:hAnsi="StobiSerif"/>
                <w:sz w:val="20"/>
                <w:szCs w:val="20"/>
              </w:rPr>
              <w:t>Комората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овластени</w:t>
            </w:r>
            <w:proofErr w:type="spellEnd"/>
            <w:r w:rsidRPr="000F7A92">
              <w:rPr>
                <w:rFonts w:ascii="StobiSerif" w:hAnsi="StobiSerif"/>
                <w:sz w:val="20"/>
                <w:szCs w:val="20"/>
              </w:rPr>
              <w:t xml:space="preserve"> </w:t>
            </w:r>
            <w:proofErr w:type="spellStart"/>
            <w:r w:rsidRPr="000F7A92">
              <w:rPr>
                <w:rFonts w:ascii="StobiSerif" w:hAnsi="StobiSerif"/>
                <w:sz w:val="20"/>
                <w:szCs w:val="20"/>
              </w:rPr>
              <w:t>архитекти</w:t>
            </w:r>
            <w:proofErr w:type="spellEnd"/>
            <w:r w:rsidRPr="000F7A92">
              <w:rPr>
                <w:rFonts w:ascii="StobiSerif" w:hAnsi="StobiSerif"/>
                <w:sz w:val="20"/>
                <w:szCs w:val="20"/>
              </w:rPr>
              <w:t xml:space="preserve"> и </w:t>
            </w:r>
            <w:proofErr w:type="spellStart"/>
            <w:r w:rsidRPr="000F7A92">
              <w:rPr>
                <w:rFonts w:ascii="StobiSerif" w:hAnsi="StobiSerif"/>
                <w:sz w:val="20"/>
                <w:szCs w:val="20"/>
              </w:rPr>
              <w:t>овластени</w:t>
            </w:r>
            <w:proofErr w:type="spellEnd"/>
            <w:r w:rsidRPr="000F7A92">
              <w:rPr>
                <w:rFonts w:ascii="StobiSerif" w:hAnsi="StobiSerif"/>
                <w:sz w:val="20"/>
                <w:szCs w:val="20"/>
              </w:rPr>
              <w:t xml:space="preserve"> </w:t>
            </w:r>
            <w:proofErr w:type="spellStart"/>
            <w:r w:rsidRPr="000F7A92">
              <w:rPr>
                <w:rFonts w:ascii="StobiSerif" w:hAnsi="StobiSerif"/>
                <w:sz w:val="20"/>
                <w:szCs w:val="20"/>
              </w:rPr>
              <w:t>инжинери</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Република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Македонија</w:t>
            </w:r>
            <w:proofErr w:type="spellEnd"/>
            <w:r w:rsidRPr="000F7A92">
              <w:rPr>
                <w:rFonts w:ascii="StobiSerif" w:hAnsi="StobiSerif"/>
                <w:sz w:val="20"/>
                <w:szCs w:val="20"/>
              </w:rPr>
              <w:t xml:space="preserve"> и </w:t>
            </w:r>
            <w:proofErr w:type="spellStart"/>
            <w:r w:rsidRPr="000F7A92">
              <w:rPr>
                <w:rFonts w:ascii="StobiSerif" w:hAnsi="StobiSerif"/>
                <w:sz w:val="20"/>
                <w:szCs w:val="20"/>
              </w:rPr>
              <w:t>двајца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надворешни</w:t>
            </w:r>
            <w:proofErr w:type="spellEnd"/>
            <w:r w:rsidRPr="000F7A92">
              <w:rPr>
                <w:rFonts w:ascii="StobiSerif" w:hAnsi="StobiSerif"/>
                <w:sz w:val="20"/>
                <w:szCs w:val="20"/>
              </w:rPr>
              <w:t xml:space="preserve"> </w:t>
            </w:r>
            <w:proofErr w:type="spellStart"/>
            <w:r w:rsidRPr="000F7A92">
              <w:rPr>
                <w:rFonts w:ascii="StobiSerif" w:hAnsi="StobiSerif"/>
                <w:sz w:val="20"/>
                <w:szCs w:val="20"/>
              </w:rPr>
              <w:t>експерти</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кои</w:t>
            </w:r>
            <w:proofErr w:type="spellEnd"/>
            <w:r w:rsidRPr="000F7A92">
              <w:rPr>
                <w:rFonts w:ascii="StobiSerif" w:hAnsi="StobiSerif"/>
                <w:sz w:val="20"/>
                <w:szCs w:val="20"/>
              </w:rPr>
              <w:t xml:space="preserve"> </w:t>
            </w:r>
            <w:proofErr w:type="spellStart"/>
            <w:r w:rsidRPr="000F7A92">
              <w:rPr>
                <w:rFonts w:ascii="StobiSerif" w:hAnsi="StobiSerif"/>
                <w:sz w:val="20"/>
                <w:szCs w:val="20"/>
              </w:rPr>
              <w:t>еден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градежништвото</w:t>
            </w:r>
            <w:proofErr w:type="spellEnd"/>
            <w:r w:rsidRPr="000F7A92">
              <w:rPr>
                <w:rFonts w:ascii="StobiSerif" w:hAnsi="StobiSerif"/>
                <w:sz w:val="20"/>
                <w:szCs w:val="20"/>
              </w:rPr>
              <w:t xml:space="preserve"> и </w:t>
            </w:r>
            <w:proofErr w:type="spellStart"/>
            <w:r w:rsidRPr="000F7A92">
              <w:rPr>
                <w:rFonts w:ascii="StobiSerif" w:hAnsi="StobiSerif"/>
                <w:sz w:val="20"/>
                <w:szCs w:val="20"/>
              </w:rPr>
              <w:t>еден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енергетската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ефикасност</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Pr>
                <w:rFonts w:ascii="StobiSerif" w:hAnsi="StobiSerif"/>
                <w:sz w:val="20"/>
                <w:szCs w:val="20"/>
              </w:rPr>
              <w:t>надворешните</w:t>
            </w:r>
            <w:proofErr w:type="spellEnd"/>
            <w:r>
              <w:rPr>
                <w:rFonts w:ascii="StobiSerif" w:hAnsi="StobiSerif"/>
                <w:sz w:val="20"/>
                <w:szCs w:val="20"/>
              </w:rPr>
              <w:t xml:space="preserve"> </w:t>
            </w:r>
            <w:proofErr w:type="spellStart"/>
            <w:r w:rsidRPr="000F7A92">
              <w:rPr>
                <w:rFonts w:ascii="StobiSerif" w:hAnsi="StobiSerif"/>
                <w:sz w:val="20"/>
                <w:szCs w:val="20"/>
              </w:rPr>
              <w:t>членови</w:t>
            </w:r>
            <w:proofErr w:type="spellEnd"/>
            <w:r w:rsidRPr="000F7A92">
              <w:rPr>
                <w:rFonts w:ascii="StobiSerif" w:hAnsi="StobiSerif"/>
                <w:sz w:val="20"/>
                <w:szCs w:val="20"/>
              </w:rPr>
              <w:t xml:space="preserve"> </w:t>
            </w:r>
            <w:proofErr w:type="spellStart"/>
            <w:proofErr w:type="gram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Комисијата</w:t>
            </w:r>
            <w:proofErr w:type="spellEnd"/>
            <w:proofErr w:type="gramEnd"/>
            <w:r w:rsidRPr="000F7A92">
              <w:rPr>
                <w:rFonts w:ascii="StobiSerif" w:hAnsi="StobiSerif"/>
                <w:sz w:val="20"/>
                <w:szCs w:val="20"/>
              </w:rPr>
              <w:t xml:space="preserve"> </w:t>
            </w:r>
            <w:proofErr w:type="spellStart"/>
            <w:r w:rsidRPr="000F7A92">
              <w:rPr>
                <w:rFonts w:ascii="StobiSerif" w:hAnsi="StobiSerif"/>
                <w:sz w:val="20"/>
                <w:szCs w:val="20"/>
              </w:rPr>
              <w:t>им</w:t>
            </w:r>
            <w:proofErr w:type="spellEnd"/>
            <w:r w:rsidRPr="000F7A92">
              <w:rPr>
                <w:rFonts w:ascii="StobiSerif" w:hAnsi="StobiSerif"/>
                <w:sz w:val="20"/>
                <w:szCs w:val="20"/>
              </w:rPr>
              <w:t xml:space="preserve"> </w:t>
            </w:r>
            <w:proofErr w:type="spellStart"/>
            <w:r w:rsidRPr="000F7A92">
              <w:rPr>
                <w:rFonts w:ascii="StobiSerif" w:hAnsi="StobiSerif"/>
                <w:sz w:val="20"/>
                <w:szCs w:val="20"/>
              </w:rPr>
              <w:t>следува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месечен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надоместок</w:t>
            </w:r>
            <w:proofErr w:type="spellEnd"/>
            <w:r w:rsidRPr="000F7A92">
              <w:rPr>
                <w:rFonts w:ascii="StobiSerif" w:hAnsi="StobiSerif"/>
                <w:sz w:val="20"/>
                <w:szCs w:val="20"/>
              </w:rPr>
              <w:t xml:space="preserve"> </w:t>
            </w:r>
            <w:proofErr w:type="spellStart"/>
            <w:r w:rsidRPr="000F7A92">
              <w:rPr>
                <w:rFonts w:ascii="StobiSerif" w:hAnsi="StobiSerif"/>
                <w:sz w:val="20"/>
                <w:szCs w:val="20"/>
              </w:rPr>
              <w:t>за</w:t>
            </w:r>
            <w:proofErr w:type="spellEnd"/>
            <w:r w:rsidRPr="000F7A92">
              <w:rPr>
                <w:rFonts w:ascii="StobiSerif" w:hAnsi="StobiSerif"/>
                <w:sz w:val="20"/>
                <w:szCs w:val="20"/>
              </w:rPr>
              <w:t xml:space="preserve"> </w:t>
            </w:r>
            <w:proofErr w:type="spellStart"/>
            <w:r w:rsidRPr="000F7A92">
              <w:rPr>
                <w:rFonts w:ascii="StobiSerif" w:hAnsi="StobiSerif"/>
                <w:sz w:val="20"/>
                <w:szCs w:val="20"/>
              </w:rPr>
              <w:t>извршената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работа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што</w:t>
            </w:r>
            <w:proofErr w:type="spellEnd"/>
            <w:r w:rsidRPr="000F7A92">
              <w:rPr>
                <w:rFonts w:ascii="StobiSerif" w:hAnsi="StobiSerif"/>
                <w:sz w:val="20"/>
                <w:szCs w:val="20"/>
              </w:rPr>
              <w:t xml:space="preserve"> </w:t>
            </w:r>
            <w:proofErr w:type="spellStart"/>
            <w:r w:rsidRPr="000F7A92">
              <w:rPr>
                <w:rFonts w:ascii="StobiSerif" w:hAnsi="StobiSerif"/>
                <w:sz w:val="20"/>
                <w:szCs w:val="20"/>
              </w:rPr>
              <w:t>го</w:t>
            </w:r>
            <w:proofErr w:type="spellEnd"/>
            <w:r w:rsidRPr="000F7A92">
              <w:rPr>
                <w:rFonts w:ascii="StobiSerif" w:hAnsi="StobiSerif"/>
                <w:sz w:val="20"/>
                <w:szCs w:val="20"/>
              </w:rPr>
              <w:t xml:space="preserve"> </w:t>
            </w:r>
            <w:proofErr w:type="spellStart"/>
            <w:r w:rsidRPr="000F7A92">
              <w:rPr>
                <w:rFonts w:ascii="StobiSerif" w:hAnsi="StobiSerif"/>
                <w:sz w:val="20"/>
                <w:szCs w:val="20"/>
              </w:rPr>
              <w:t>определува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министерот</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надлежен</w:t>
            </w:r>
            <w:proofErr w:type="spellEnd"/>
            <w:r w:rsidRPr="000F7A92">
              <w:rPr>
                <w:rFonts w:ascii="StobiSerif" w:hAnsi="StobiSerif"/>
                <w:sz w:val="20"/>
                <w:szCs w:val="20"/>
              </w:rPr>
              <w:t xml:space="preserve"> </w:t>
            </w:r>
            <w:proofErr w:type="spellStart"/>
            <w:r w:rsidRPr="000F7A92">
              <w:rPr>
                <w:rFonts w:ascii="StobiSerif" w:hAnsi="StobiSerif"/>
                <w:sz w:val="20"/>
                <w:szCs w:val="20"/>
              </w:rPr>
              <w:t>за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работите</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областа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енергетиката</w:t>
            </w:r>
            <w:proofErr w:type="spellEnd"/>
            <w:r w:rsidRPr="000F7A92">
              <w:rPr>
                <w:rFonts w:ascii="StobiSerif" w:hAnsi="StobiSerif"/>
                <w:sz w:val="20"/>
                <w:szCs w:val="20"/>
              </w:rPr>
              <w:t xml:space="preserve">, а </w:t>
            </w:r>
            <w:proofErr w:type="spellStart"/>
            <w:r w:rsidRPr="000F7A92">
              <w:rPr>
                <w:rFonts w:ascii="StobiSerif" w:hAnsi="StobiSerif"/>
                <w:sz w:val="20"/>
                <w:szCs w:val="20"/>
              </w:rPr>
              <w:t>средствата</w:t>
            </w:r>
            <w:proofErr w:type="spellEnd"/>
            <w:r w:rsidRPr="000F7A92">
              <w:rPr>
                <w:rFonts w:ascii="StobiSerif" w:hAnsi="StobiSerif"/>
                <w:sz w:val="20"/>
                <w:szCs w:val="20"/>
              </w:rPr>
              <w:t xml:space="preserve"> </w:t>
            </w:r>
            <w:proofErr w:type="spellStart"/>
            <w:r w:rsidRPr="000F7A92">
              <w:rPr>
                <w:rFonts w:ascii="StobiSerif" w:hAnsi="StobiSerif"/>
                <w:sz w:val="20"/>
                <w:szCs w:val="20"/>
              </w:rPr>
              <w:t>се</w:t>
            </w:r>
            <w:proofErr w:type="spellEnd"/>
            <w:r w:rsidRPr="000F7A92">
              <w:rPr>
                <w:rFonts w:ascii="StobiSerif" w:hAnsi="StobiSerif"/>
                <w:sz w:val="20"/>
                <w:szCs w:val="20"/>
              </w:rPr>
              <w:t xml:space="preserve"> </w:t>
            </w:r>
            <w:proofErr w:type="spellStart"/>
            <w:r w:rsidRPr="000F7A92">
              <w:rPr>
                <w:rFonts w:ascii="StobiSerif" w:hAnsi="StobiSerif"/>
                <w:sz w:val="20"/>
                <w:szCs w:val="20"/>
              </w:rPr>
              <w:t>обезбедуваат</w:t>
            </w:r>
            <w:proofErr w:type="spellEnd"/>
            <w:r w:rsidRPr="000F7A92">
              <w:rPr>
                <w:rFonts w:ascii="StobiSerif" w:hAnsi="StobiSerif"/>
                <w:sz w:val="20"/>
                <w:szCs w:val="20"/>
              </w:rPr>
              <w:t xml:space="preserve"> </w:t>
            </w:r>
            <w:proofErr w:type="spellStart"/>
            <w:r w:rsidRPr="000F7A92">
              <w:rPr>
                <w:rFonts w:ascii="StobiSerif" w:hAnsi="StobiSerif"/>
                <w:sz w:val="20"/>
                <w:szCs w:val="20"/>
              </w:rPr>
              <w:t>од</w:t>
            </w:r>
            <w:proofErr w:type="spellEnd"/>
            <w:r w:rsidRPr="000F7A92">
              <w:rPr>
                <w:rFonts w:ascii="StobiSerif" w:hAnsi="StobiSerif"/>
                <w:sz w:val="20"/>
                <w:szCs w:val="20"/>
              </w:rPr>
              <w:t xml:space="preserve"> </w:t>
            </w:r>
            <w:proofErr w:type="spellStart"/>
            <w:r w:rsidRPr="000F7A92">
              <w:rPr>
                <w:rFonts w:ascii="StobiSerif" w:hAnsi="StobiSerif"/>
                <w:sz w:val="20"/>
                <w:szCs w:val="20"/>
              </w:rPr>
              <w:t>Буџетот</w:t>
            </w:r>
            <w:proofErr w:type="spellEnd"/>
            <w:r w:rsidRPr="000F7A92">
              <w:rPr>
                <w:rFonts w:ascii="StobiSerif" w:hAnsi="StobiSerif"/>
                <w:sz w:val="20"/>
                <w:szCs w:val="20"/>
              </w:rPr>
              <w:t xml:space="preserve"> </w:t>
            </w:r>
            <w:proofErr w:type="spellStart"/>
            <w:r w:rsidRPr="000F7A92">
              <w:rPr>
                <w:rFonts w:ascii="StobiSerif" w:hAnsi="StobiSerif"/>
                <w:sz w:val="20"/>
                <w:szCs w:val="20"/>
              </w:rPr>
              <w:t>на</w:t>
            </w:r>
            <w:proofErr w:type="spellEnd"/>
            <w:r w:rsidRPr="000F7A92">
              <w:rPr>
                <w:rFonts w:ascii="StobiSerif" w:hAnsi="StobiSerif"/>
                <w:sz w:val="20"/>
                <w:szCs w:val="20"/>
              </w:rPr>
              <w:t xml:space="preserve"> </w:t>
            </w:r>
            <w:proofErr w:type="spellStart"/>
            <w:r w:rsidRPr="000F7A92">
              <w:rPr>
                <w:rFonts w:ascii="StobiSerif" w:hAnsi="StobiSerif"/>
                <w:sz w:val="20"/>
                <w:szCs w:val="20"/>
              </w:rPr>
              <w:t>Република</w:t>
            </w:r>
            <w:proofErr w:type="spellEnd"/>
            <w:r w:rsidRPr="000F7A92">
              <w:rPr>
                <w:rFonts w:ascii="StobiSerif" w:hAnsi="StobiSerif"/>
                <w:sz w:val="20"/>
                <w:szCs w:val="20"/>
              </w:rPr>
              <w:t xml:space="preserve"> </w:t>
            </w:r>
            <w:proofErr w:type="spellStart"/>
            <w:r w:rsidRPr="000F7A92">
              <w:rPr>
                <w:rFonts w:ascii="StobiSerif" w:hAnsi="StobiSerif"/>
                <w:sz w:val="20"/>
                <w:szCs w:val="20"/>
              </w:rPr>
              <w:t>Македонија</w:t>
            </w:r>
            <w:proofErr w:type="spellEnd"/>
            <w:r w:rsidRPr="000F7A92">
              <w:rPr>
                <w:rFonts w:ascii="StobiSerif" w:hAnsi="StobiSerif"/>
                <w:sz w:val="20"/>
                <w:szCs w:val="20"/>
              </w:rPr>
              <w:t xml:space="preserve">.   </w:t>
            </w:r>
          </w:p>
          <w:p w:rsidR="00911DB1" w:rsidRPr="004165E9" w:rsidRDefault="00911DB1" w:rsidP="00146E43">
            <w:pPr>
              <w:pStyle w:val="Default"/>
              <w:ind w:left="720"/>
              <w:jc w:val="both"/>
              <w:rPr>
                <w:rFonts w:ascii="StobiSerif" w:hAnsi="StobiSerif"/>
                <w:sz w:val="20"/>
                <w:szCs w:val="20"/>
                <w:lang w:val="mk-MK"/>
              </w:rPr>
            </w:pPr>
          </w:p>
          <w:p w:rsidR="00911DB1" w:rsidRPr="000F7A92" w:rsidRDefault="00911DB1" w:rsidP="00146E43">
            <w:pPr>
              <w:jc w:val="both"/>
              <w:rPr>
                <w:rFonts w:ascii="StobiSerif" w:hAnsi="StobiSerif"/>
                <w:color w:val="000000"/>
                <w:sz w:val="20"/>
              </w:rPr>
            </w:pPr>
            <w:proofErr w:type="spellStart"/>
            <w:r w:rsidRPr="000F7A92">
              <w:rPr>
                <w:rFonts w:ascii="StobiSerif" w:hAnsi="StobiSerif"/>
                <w:color w:val="000000"/>
                <w:sz w:val="20"/>
              </w:rPr>
              <w:t>Комисијата</w:t>
            </w:r>
            <w:proofErr w:type="spellEnd"/>
            <w:r>
              <w:rPr>
                <w:rFonts w:ascii="StobiSerif" w:hAnsi="StobiSerif"/>
                <w:color w:val="000000"/>
                <w:sz w:val="20"/>
                <w:lang w:val="mk-MK"/>
              </w:rPr>
              <w:t xml:space="preserve"> </w:t>
            </w:r>
            <w:proofErr w:type="spellStart"/>
            <w:r w:rsidRPr="000F7A92">
              <w:rPr>
                <w:rFonts w:ascii="StobiSerif" w:hAnsi="StobiSerif"/>
                <w:color w:val="000000"/>
                <w:sz w:val="20"/>
              </w:rPr>
              <w:t>формира</w:t>
            </w:r>
            <w:proofErr w:type="spellEnd"/>
            <w:r>
              <w:rPr>
                <w:rFonts w:ascii="StobiSerif" w:hAnsi="StobiSerif"/>
                <w:color w:val="000000"/>
                <w:sz w:val="20"/>
                <w:lang w:val="mk-MK"/>
              </w:rPr>
              <w:t xml:space="preserve">на од </w:t>
            </w:r>
            <w:proofErr w:type="spellStart"/>
            <w:r w:rsidRPr="000F7A92">
              <w:rPr>
                <w:rFonts w:ascii="StobiSerif" w:hAnsi="StobiSerif"/>
                <w:color w:val="000000"/>
                <w:sz w:val="20"/>
              </w:rPr>
              <w:t>Градоначалникот</w:t>
            </w:r>
            <w:proofErr w:type="spellEnd"/>
            <w:r>
              <w:rPr>
                <w:rFonts w:ascii="StobiSerif" w:hAnsi="StobiSerif"/>
                <w:color w:val="000000"/>
                <w:sz w:val="20"/>
                <w:lang w:val="mk-MK"/>
              </w:rPr>
              <w:t xml:space="preserve"> </w:t>
            </w:r>
            <w:r w:rsidRPr="000F7A92">
              <w:rPr>
                <w:rFonts w:ascii="StobiSerif" w:hAnsi="StobiSerif"/>
                <w:color w:val="000000"/>
                <w:sz w:val="20"/>
              </w:rPr>
              <w:t xml:space="preserve">е </w:t>
            </w:r>
            <w:proofErr w:type="spellStart"/>
            <w:r w:rsidRPr="000F7A92">
              <w:rPr>
                <w:rFonts w:ascii="StobiSerif" w:hAnsi="StobiSerif"/>
                <w:color w:val="000000"/>
                <w:sz w:val="20"/>
              </w:rPr>
              <w:t>составена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w:t>
            </w:r>
            <w:r>
              <w:rPr>
                <w:rFonts w:ascii="StobiSerif" w:hAnsi="StobiSerif"/>
                <w:color w:val="000000"/>
                <w:sz w:val="20"/>
                <w:lang w:val="mk-MK"/>
              </w:rPr>
              <w:t>пет</w:t>
            </w:r>
            <w:r w:rsidRPr="000F7A92">
              <w:rPr>
                <w:rFonts w:ascii="StobiSerif" w:hAnsi="StobiSerif"/>
                <w:color w:val="000000"/>
                <w:sz w:val="20"/>
              </w:rPr>
              <w:t xml:space="preserve"> </w:t>
            </w:r>
            <w:proofErr w:type="spellStart"/>
            <w:r w:rsidRPr="000F7A92">
              <w:rPr>
                <w:rFonts w:ascii="StobiSerif" w:hAnsi="StobiSerif"/>
                <w:color w:val="000000"/>
                <w:sz w:val="20"/>
              </w:rPr>
              <w:t>члена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кои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се</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експерти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областа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енергетската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ефикасност</w:t>
            </w:r>
            <w:proofErr w:type="spellEnd"/>
            <w:r w:rsidRPr="000F7A92">
              <w:rPr>
                <w:rFonts w:ascii="StobiSerif" w:hAnsi="StobiSerif"/>
                <w:color w:val="000000"/>
                <w:sz w:val="20"/>
              </w:rPr>
              <w:t xml:space="preserve"> и </w:t>
            </w:r>
            <w:proofErr w:type="spellStart"/>
            <w:r w:rsidRPr="000F7A92">
              <w:rPr>
                <w:rFonts w:ascii="StobiSerif" w:hAnsi="StobiSerif"/>
                <w:color w:val="000000"/>
                <w:sz w:val="20"/>
              </w:rPr>
              <w:t>градежништвото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r>
              <w:rPr>
                <w:rFonts w:ascii="StobiSerif" w:hAnsi="StobiSerif"/>
                <w:color w:val="000000"/>
                <w:sz w:val="20"/>
                <w:lang w:val="mk-MK"/>
              </w:rPr>
              <w:t xml:space="preserve">надворешните </w:t>
            </w:r>
            <w:proofErr w:type="spellStart"/>
            <w:r w:rsidRPr="000F7A92">
              <w:rPr>
                <w:rFonts w:ascii="StobiSerif" w:hAnsi="StobiSerif"/>
                <w:color w:val="000000"/>
                <w:sz w:val="20"/>
              </w:rPr>
              <w:t>членовите</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Комисијата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им</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следува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месечен</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надоместок</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за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извршената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работа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што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го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определува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градоначалниот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единицата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локалната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самоуправа</w:t>
            </w:r>
            <w:proofErr w:type="spellEnd"/>
            <w:r w:rsidRPr="000F7A92">
              <w:rPr>
                <w:rFonts w:ascii="StobiSerif" w:hAnsi="StobiSerif"/>
                <w:color w:val="000000"/>
                <w:sz w:val="20"/>
              </w:rPr>
              <w:t xml:space="preserve">, а </w:t>
            </w:r>
            <w:proofErr w:type="spellStart"/>
            <w:r w:rsidRPr="000F7A92">
              <w:rPr>
                <w:rFonts w:ascii="StobiSerif" w:hAnsi="StobiSerif"/>
                <w:color w:val="000000"/>
                <w:sz w:val="20"/>
              </w:rPr>
              <w:t>средствата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се</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обезбедуваат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средствата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Буџетот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единицата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локалната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самоуправа</w:t>
            </w:r>
            <w:proofErr w:type="spellEnd"/>
            <w:r w:rsidRPr="000F7A92">
              <w:rPr>
                <w:rFonts w:ascii="StobiSerif" w:hAnsi="StobiSerif"/>
                <w:color w:val="000000"/>
                <w:sz w:val="20"/>
              </w:rPr>
              <w:t>.</w:t>
            </w:r>
          </w:p>
          <w:p w:rsidR="00911DB1" w:rsidRDefault="00911DB1" w:rsidP="00146E43">
            <w:pPr>
              <w:jc w:val="both"/>
              <w:rPr>
                <w:rFonts w:ascii="StobiSerif" w:hAnsi="StobiSerif"/>
                <w:color w:val="000000"/>
                <w:sz w:val="20"/>
                <w:lang w:val="mk-MK"/>
              </w:rPr>
            </w:pPr>
          </w:p>
          <w:p w:rsidR="00911DB1" w:rsidRPr="00604029" w:rsidRDefault="00911DB1" w:rsidP="00146E43">
            <w:pPr>
              <w:jc w:val="both"/>
              <w:rPr>
                <w:rFonts w:ascii="StobiSerif" w:hAnsi="StobiSerif"/>
                <w:color w:val="000000"/>
                <w:sz w:val="20"/>
                <w:lang w:val="mk-MK"/>
              </w:rPr>
            </w:pPr>
            <w:proofErr w:type="spellStart"/>
            <w:r w:rsidRPr="000F7A92">
              <w:rPr>
                <w:rFonts w:ascii="StobiSerif" w:hAnsi="StobiSerif"/>
                <w:color w:val="000000"/>
                <w:sz w:val="20"/>
              </w:rPr>
              <w:t>Месечните</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надоместоци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не</w:t>
            </w:r>
            <w:proofErr w:type="spellEnd"/>
            <w:r>
              <w:rPr>
                <w:rFonts w:ascii="StobiSerif" w:hAnsi="StobiSerif"/>
                <w:color w:val="000000"/>
                <w:sz w:val="20"/>
                <w:lang w:val="mk-MK"/>
              </w:rPr>
              <w:t xml:space="preserve"> </w:t>
            </w:r>
            <w:proofErr w:type="spellStart"/>
            <w:r w:rsidRPr="000F7A92">
              <w:rPr>
                <w:rFonts w:ascii="StobiSerif" w:hAnsi="StobiSerif"/>
                <w:color w:val="000000"/>
                <w:sz w:val="20"/>
              </w:rPr>
              <w:t>можат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да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бидат</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повисоки</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30% </w:t>
            </w:r>
            <w:proofErr w:type="spellStart"/>
            <w:r w:rsidRPr="000F7A92">
              <w:rPr>
                <w:rFonts w:ascii="StobiSerif" w:hAnsi="StobiSerif"/>
                <w:color w:val="000000"/>
                <w:sz w:val="20"/>
              </w:rPr>
              <w:t>од</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просечна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плата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исплатена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во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Република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Македонија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во</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претходната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календарска</w:t>
            </w:r>
            <w:proofErr w:type="spellEnd"/>
            <w:r w:rsidRPr="000F7A92">
              <w:rPr>
                <w:rFonts w:ascii="StobiSerif" w:hAnsi="StobiSerif"/>
                <w:color w:val="000000"/>
                <w:sz w:val="20"/>
              </w:rPr>
              <w:t xml:space="preserve"> </w:t>
            </w:r>
            <w:proofErr w:type="spellStart"/>
            <w:r w:rsidRPr="000F7A92">
              <w:rPr>
                <w:rFonts w:ascii="StobiSerif" w:hAnsi="StobiSerif"/>
                <w:color w:val="000000"/>
                <w:sz w:val="20"/>
              </w:rPr>
              <w:t>година</w:t>
            </w:r>
            <w:proofErr w:type="spellEnd"/>
            <w:r w:rsidRPr="000F7A92">
              <w:rPr>
                <w:rFonts w:ascii="StobiSerif" w:hAnsi="StobiSerif"/>
                <w:color w:val="000000"/>
                <w:sz w:val="20"/>
                <w:lang w:val="en-US"/>
              </w:rPr>
              <w:t>.</w:t>
            </w:r>
            <w:r>
              <w:rPr>
                <w:rFonts w:ascii="StobiSerif" w:hAnsi="StobiSerif"/>
                <w:color w:val="000000"/>
                <w:sz w:val="20"/>
                <w:lang w:val="mk-MK"/>
              </w:rPr>
              <w:t>)</w:t>
            </w:r>
          </w:p>
          <w:p w:rsidR="00911DB1" w:rsidRDefault="00911DB1" w:rsidP="00146E43">
            <w:pPr>
              <w:autoSpaceDE w:val="0"/>
              <w:autoSpaceDN w:val="0"/>
              <w:adjustRightInd w:val="0"/>
              <w:rPr>
                <w:rFonts w:ascii="StobiSerif" w:hAnsi="StobiSerif" w:cs="Arial"/>
                <w:bCs/>
                <w:i/>
                <w:sz w:val="20"/>
                <w:lang w:val="mk-MK"/>
              </w:rPr>
            </w:pPr>
          </w:p>
          <w:p w:rsidR="00911DB1" w:rsidRDefault="00911DB1" w:rsidP="00146E43">
            <w:pPr>
              <w:autoSpaceDE w:val="0"/>
              <w:autoSpaceDN w:val="0"/>
              <w:adjustRightInd w:val="0"/>
              <w:rPr>
                <w:rFonts w:ascii="StobiSerif" w:hAnsi="StobiSerif" w:cs="Arial"/>
                <w:bCs/>
                <w:i/>
                <w:sz w:val="20"/>
                <w:lang w:val="mk-MK"/>
              </w:rPr>
            </w:pPr>
          </w:p>
          <w:p w:rsidR="00911DB1" w:rsidRPr="00A61E4F" w:rsidRDefault="00911DB1" w:rsidP="00146E43">
            <w:pPr>
              <w:autoSpaceDE w:val="0"/>
              <w:autoSpaceDN w:val="0"/>
              <w:adjustRightInd w:val="0"/>
              <w:rPr>
                <w:rFonts w:ascii="StobiSerif" w:hAnsi="StobiSerif" w:cs="Arial"/>
                <w:bCs/>
                <w:i/>
                <w:sz w:val="20"/>
                <w:lang w:val="mk-MK"/>
              </w:rPr>
            </w:pPr>
          </w:p>
        </w:tc>
      </w:tr>
      <w:tr w:rsidR="00911DB1" w:rsidRPr="00A61E4F" w:rsidTr="00146E43">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ind w:left="540" w:hanging="540"/>
              <w:rPr>
                <w:rFonts w:ascii="StobiSerif" w:hAnsi="StobiSerif" w:cs="Arial"/>
                <w:bCs/>
                <w:sz w:val="20"/>
                <w:lang w:val="mk-MK"/>
              </w:rPr>
            </w:pPr>
            <w:r w:rsidRPr="00A61E4F">
              <w:rPr>
                <w:rFonts w:ascii="StobiSerif" w:hAnsi="StobiSerif" w:cs="Arial"/>
                <w:bCs/>
                <w:sz w:val="20"/>
                <w:lang w:val="mk-MK"/>
              </w:rPr>
              <w:lastRenderedPageBreak/>
              <w:t>2.</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rPr>
                <w:rFonts w:ascii="StobiSerif" w:hAnsi="StobiSerif" w:cs="Arial"/>
                <w:sz w:val="20"/>
                <w:lang w:val="mk-MK"/>
              </w:rPr>
            </w:pPr>
            <w:r w:rsidRPr="00A61E4F">
              <w:rPr>
                <w:rFonts w:ascii="StobiSerif" w:hAnsi="StobiSerif" w:cs="Arial"/>
                <w:bCs/>
                <w:sz w:val="20"/>
                <w:lang w:val="mk-MK"/>
              </w:rPr>
              <w:t xml:space="preserve"> 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rPr>
                <w:rFonts w:ascii="StobiSerif" w:hAnsi="StobiSerif" w:cs="Arial"/>
                <w:bCs/>
                <w:i/>
                <w:sz w:val="20"/>
                <w:lang w:val="mk-MK"/>
              </w:rPr>
            </w:pPr>
            <w:r w:rsidRPr="00A61E4F">
              <w:rPr>
                <w:rFonts w:ascii="StobiSerif" w:hAnsi="StobiSerif" w:cs="Arial"/>
                <w:bCs/>
                <w:sz w:val="20"/>
                <w:lang w:val="mk-MK"/>
              </w:rPr>
              <w:t>врз усогласеноста со законодавството на Европска Унија.</w:t>
            </w:r>
          </w:p>
        </w:tc>
      </w:tr>
      <w:tr w:rsidR="00911DB1" w:rsidRPr="00A61E4F" w:rsidTr="00146E43">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ind w:left="540" w:hanging="540"/>
              <w:rPr>
                <w:rFonts w:ascii="StobiSerif" w:hAnsi="StobiSerif" w:cs="Arial"/>
                <w:sz w:val="20"/>
                <w:lang w:val="mk-MK"/>
              </w:rPr>
            </w:pPr>
            <w:r w:rsidRPr="00A61E4F">
              <w:rPr>
                <w:rFonts w:ascii="StobiSerif" w:hAnsi="StobiSerif" w:cs="Arial"/>
                <w:sz w:val="20"/>
                <w:lang w:val="mk-MK"/>
              </w:rPr>
              <w:t>3.</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rPr>
                <w:rFonts w:ascii="StobiSerif" w:hAnsi="StobiSerif" w:cs="Arial"/>
                <w:sz w:val="20"/>
                <w:lang w:val="mk-MK"/>
              </w:rPr>
            </w:pPr>
            <w:r w:rsidRPr="00A61E4F">
              <w:rPr>
                <w:rFonts w:ascii="StobiSerif" w:hAnsi="StobiSerif" w:cs="Arial"/>
                <w:bCs/>
                <w:sz w:val="20"/>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jc w:val="both"/>
              <w:rPr>
                <w:rFonts w:ascii="StobiSerif" w:hAnsi="StobiSerif" w:cs="Arial"/>
                <w:sz w:val="20"/>
                <w:lang w:val="mk-MK"/>
              </w:rPr>
            </w:pPr>
            <w:r w:rsidRPr="00A61E4F">
              <w:rPr>
                <w:rFonts w:ascii="StobiSerif" w:hAnsi="StobiSerif" w:cs="Arial"/>
                <w:sz w:val="20"/>
                <w:lang w:val="mk-MK"/>
              </w:rPr>
              <w:t>врз постапките или работењето на јавната администрација / врз судството при работа со странки (правни и физички лица) или задолжување на странките од јавната администрација со дополнителен административен товар.</w:t>
            </w:r>
          </w:p>
        </w:tc>
      </w:tr>
      <w:tr w:rsidR="00911DB1" w:rsidRPr="00A61E4F" w:rsidTr="00146E43">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ind w:left="540" w:hanging="540"/>
              <w:rPr>
                <w:rFonts w:ascii="StobiSerif" w:hAnsi="StobiSerif" w:cs="Arial"/>
                <w:sz w:val="20"/>
                <w:lang w:val="mk-MK"/>
              </w:rPr>
            </w:pPr>
            <w:r w:rsidRPr="00A61E4F">
              <w:rPr>
                <w:rFonts w:ascii="StobiSerif" w:hAnsi="StobiSerif" w:cs="Arial"/>
                <w:sz w:val="20"/>
                <w:lang w:val="mk-MK"/>
              </w:rPr>
              <w:t>4.</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rPr>
                <w:rFonts w:ascii="StobiSerif" w:hAnsi="StobiSerif" w:cs="Arial"/>
                <w:sz w:val="20"/>
                <w:lang w:val="mk-MK"/>
              </w:rPr>
            </w:pPr>
            <w:r w:rsidRPr="00A61E4F">
              <w:rPr>
                <w:rFonts w:ascii="StobiSerif" w:hAnsi="StobiSerif" w:cs="Arial"/>
                <w:bCs/>
                <w:sz w:val="20"/>
                <w:lang w:val="mk-MK"/>
              </w:rPr>
              <w:t xml:space="preserve"> 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rPr>
                <w:rFonts w:ascii="StobiSerif" w:hAnsi="StobiSerif" w:cs="Arial"/>
                <w:sz w:val="20"/>
                <w:lang w:val="mk-MK"/>
              </w:rPr>
            </w:pPr>
            <w:r w:rsidRPr="00A61E4F">
              <w:rPr>
                <w:rFonts w:ascii="StobiSerif" w:hAnsi="StobiSerif" w:cs="Arial"/>
                <w:sz w:val="20"/>
                <w:lang w:val="mk-MK"/>
              </w:rPr>
              <w:t>врз економијата и врз обемот на државна помош.</w:t>
            </w:r>
          </w:p>
        </w:tc>
      </w:tr>
      <w:tr w:rsidR="00911DB1" w:rsidRPr="00A61E4F" w:rsidTr="00146E43">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ind w:left="540" w:hanging="540"/>
              <w:rPr>
                <w:rFonts w:ascii="StobiSerif" w:hAnsi="StobiSerif" w:cs="Arial"/>
                <w:bCs/>
                <w:sz w:val="20"/>
                <w:lang w:val="mk-MK"/>
              </w:rPr>
            </w:pPr>
            <w:r w:rsidRPr="00A61E4F">
              <w:rPr>
                <w:rFonts w:ascii="StobiSerif" w:hAnsi="StobiSerif" w:cs="Arial"/>
                <w:bCs/>
                <w:sz w:val="20"/>
                <w:lang w:val="mk-MK"/>
              </w:rPr>
              <w:t>5.)</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rPr>
                <w:rFonts w:ascii="StobiSerif" w:hAnsi="StobiSerif" w:cs="Arial"/>
                <w:sz w:val="20"/>
                <w:lang w:val="mk-MK"/>
              </w:rPr>
            </w:pPr>
            <w:r w:rsidRPr="00A61E4F">
              <w:rPr>
                <w:rFonts w:ascii="StobiSerif" w:hAnsi="StobiSerif" w:cs="Arial"/>
                <w:bCs/>
                <w:sz w:val="20"/>
                <w:lang w:val="mk-MK"/>
              </w:rPr>
              <w:t xml:space="preserve"> </w:t>
            </w:r>
            <w:r>
              <w:rPr>
                <w:rFonts w:ascii="StobiSerif" w:hAnsi="StobiSerif" w:cs="Arial"/>
                <w:bCs/>
                <w:sz w:val="20"/>
                <w:lang w:val="mk-MK"/>
              </w:rPr>
              <w:t xml:space="preserve">Има </w:t>
            </w:r>
            <w:r w:rsidRPr="00A61E4F">
              <w:rPr>
                <w:rFonts w:ascii="StobiSerif" w:hAnsi="StobiSerif" w:cs="Arial"/>
                <w:bCs/>
                <w:sz w:val="20"/>
                <w:lang w:val="mk-MK"/>
              </w:rPr>
              <w:t>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Default="00911DB1" w:rsidP="00146E43">
            <w:pPr>
              <w:autoSpaceDE w:val="0"/>
              <w:autoSpaceDN w:val="0"/>
              <w:adjustRightInd w:val="0"/>
              <w:ind w:left="540" w:hanging="540"/>
              <w:rPr>
                <w:rFonts w:ascii="StobiSerif" w:hAnsi="StobiSerif" w:cs="Arial"/>
                <w:bCs/>
                <w:sz w:val="20"/>
                <w:lang w:val="mk-MK"/>
              </w:rPr>
            </w:pPr>
            <w:r w:rsidRPr="00A61E4F">
              <w:rPr>
                <w:rFonts w:ascii="StobiSerif" w:hAnsi="StobiSerif" w:cs="Arial"/>
                <w:bCs/>
                <w:sz w:val="20"/>
                <w:lang w:val="mk-MK"/>
              </w:rPr>
              <w:t>врз животната средина.</w:t>
            </w:r>
            <w:r>
              <w:rPr>
                <w:rFonts w:ascii="StobiSerif" w:hAnsi="StobiSerif" w:cs="Arial"/>
                <w:bCs/>
                <w:sz w:val="20"/>
                <w:lang w:val="mk-MK"/>
              </w:rPr>
              <w:t xml:space="preserve"> </w:t>
            </w:r>
          </w:p>
          <w:p w:rsidR="00911DB1" w:rsidRPr="00A61E4F" w:rsidRDefault="00911DB1" w:rsidP="00146E43">
            <w:pPr>
              <w:autoSpaceDE w:val="0"/>
              <w:autoSpaceDN w:val="0"/>
              <w:adjustRightInd w:val="0"/>
              <w:ind w:left="540" w:hanging="540"/>
              <w:rPr>
                <w:rFonts w:ascii="StobiSerif" w:hAnsi="StobiSerif" w:cs="Arial"/>
                <w:bCs/>
                <w:i/>
                <w:sz w:val="20"/>
                <w:lang w:val="mk-MK"/>
              </w:rPr>
            </w:pPr>
            <w:r>
              <w:rPr>
                <w:rFonts w:ascii="StobiSerif" w:hAnsi="StobiSerif" w:cs="Arial"/>
                <w:bCs/>
                <w:sz w:val="20"/>
                <w:lang w:val="mk-MK"/>
              </w:rPr>
              <w:t xml:space="preserve">(унапредувањето на енергетската ефикасност придонесува кон заштеда на енергија со што се придонесува кон заштита на животната средина)  </w:t>
            </w:r>
          </w:p>
        </w:tc>
      </w:tr>
      <w:tr w:rsidR="00911DB1" w:rsidRPr="00A61E4F" w:rsidTr="00146E43">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ind w:left="540" w:hanging="540"/>
              <w:rPr>
                <w:rFonts w:ascii="StobiSerif" w:hAnsi="StobiSerif" w:cs="Arial"/>
                <w:bCs/>
                <w:sz w:val="20"/>
                <w:lang w:val="mk-MK"/>
              </w:rPr>
            </w:pPr>
            <w:r w:rsidRPr="00A61E4F">
              <w:rPr>
                <w:rFonts w:ascii="StobiSerif" w:hAnsi="StobiSerif" w:cs="Arial"/>
                <w:bCs/>
                <w:sz w:val="20"/>
                <w:lang w:val="mk-MK"/>
              </w:rPr>
              <w:t>6.)</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rPr>
                <w:rFonts w:ascii="StobiSerif" w:hAnsi="StobiSerif" w:cs="Arial"/>
                <w:sz w:val="20"/>
                <w:lang w:val="mk-MK"/>
              </w:rPr>
            </w:pPr>
            <w:r w:rsidRPr="00A61E4F">
              <w:rPr>
                <w:rFonts w:ascii="StobiSerif" w:hAnsi="StobiSerif" w:cs="Arial"/>
                <w:bCs/>
                <w:sz w:val="20"/>
                <w:lang w:val="mk-MK"/>
              </w:rPr>
              <w:t xml:space="preserve"> 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1DB1" w:rsidRPr="00A61E4F" w:rsidRDefault="00911DB1" w:rsidP="00146E43">
            <w:pPr>
              <w:autoSpaceDE w:val="0"/>
              <w:autoSpaceDN w:val="0"/>
              <w:adjustRightInd w:val="0"/>
              <w:ind w:left="540" w:hanging="540"/>
              <w:rPr>
                <w:rFonts w:ascii="StobiSerif" w:hAnsi="StobiSerif" w:cs="Arial"/>
                <w:bCs/>
                <w:i/>
                <w:sz w:val="20"/>
                <w:lang w:val="mk-MK"/>
              </w:rPr>
            </w:pPr>
            <w:r w:rsidRPr="00A61E4F">
              <w:rPr>
                <w:rFonts w:ascii="StobiSerif" w:hAnsi="StobiSerif" w:cs="Arial"/>
                <w:bCs/>
                <w:sz w:val="20"/>
                <w:lang w:val="mk-MK"/>
              </w:rPr>
              <w:t>врз социјалната положба на граѓаните.</w:t>
            </w:r>
          </w:p>
        </w:tc>
      </w:tr>
    </w:tbl>
    <w:p w:rsidR="00911DB1" w:rsidRPr="00A61E4F" w:rsidRDefault="00911DB1" w:rsidP="00911DB1">
      <w:pPr>
        <w:autoSpaceDE w:val="0"/>
        <w:autoSpaceDN w:val="0"/>
        <w:adjustRightInd w:val="0"/>
        <w:ind w:left="540" w:right="-470"/>
        <w:jc w:val="both"/>
        <w:rPr>
          <w:rFonts w:ascii="StobiSerif" w:hAnsi="StobiSerif" w:cs="Arial"/>
          <w:bCs/>
          <w:sz w:val="20"/>
          <w:lang w:val="mk-MK"/>
        </w:rPr>
      </w:pP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622"/>
        <w:gridCol w:w="1101"/>
      </w:tblGrid>
      <w:tr w:rsidR="00911DB1" w:rsidRPr="00A61E4F" w:rsidTr="00146E43">
        <w:tc>
          <w:tcPr>
            <w:tcW w:w="437"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left="540" w:hanging="540"/>
              <w:jc w:val="both"/>
              <w:rPr>
                <w:rFonts w:ascii="StobiSerif" w:hAnsi="StobiSerif" w:cs="Arial"/>
                <w:bCs/>
                <w:sz w:val="20"/>
                <w:lang w:val="mk-MK"/>
              </w:rPr>
            </w:pPr>
            <w:r w:rsidRPr="00A61E4F">
              <w:rPr>
                <w:rFonts w:ascii="StobiSerif" w:hAnsi="StobiSerif" w:cs="Arial"/>
                <w:bCs/>
                <w:sz w:val="20"/>
                <w:lang w:val="mk-MK"/>
              </w:rPr>
              <w:t>7.</w:t>
            </w:r>
          </w:p>
        </w:tc>
        <w:tc>
          <w:tcPr>
            <w:tcW w:w="7643"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jc w:val="both"/>
              <w:rPr>
                <w:rFonts w:ascii="StobiSerif" w:hAnsi="StobiSerif" w:cs="Arial"/>
                <w:bCs/>
                <w:sz w:val="20"/>
                <w:lang w:val="mk-MK"/>
              </w:rPr>
            </w:pPr>
            <w:r>
              <w:rPr>
                <w:rFonts w:ascii="StobiSerif" w:hAnsi="StobiSerif" w:cs="Arial"/>
                <w:bCs/>
                <w:sz w:val="20"/>
                <w:lang w:val="mk-MK"/>
              </w:rPr>
              <w:t>Предлог Законот ќе се објави на</w:t>
            </w:r>
            <w:r w:rsidRPr="00A61E4F">
              <w:rPr>
                <w:rFonts w:ascii="StobiSerif" w:hAnsi="StobiSerif" w:cs="Arial"/>
                <w:bCs/>
                <w:sz w:val="20"/>
                <w:lang w:val="mk-MK"/>
              </w:rPr>
              <w:t xml:space="preserve"> Единствениот електронски регистар на прописи и јавно </w:t>
            </w:r>
            <w:r>
              <w:rPr>
                <w:rFonts w:ascii="StobiSerif" w:hAnsi="StobiSerif" w:cs="Arial"/>
                <w:bCs/>
                <w:sz w:val="20"/>
                <w:lang w:val="mk-MK"/>
              </w:rPr>
              <w:t xml:space="preserve">ќе </w:t>
            </w:r>
            <w:r w:rsidRPr="00A61E4F">
              <w:rPr>
                <w:rFonts w:ascii="StobiSerif" w:hAnsi="StobiSerif" w:cs="Arial"/>
                <w:bCs/>
                <w:sz w:val="20"/>
                <w:lang w:val="mk-MK"/>
              </w:rPr>
              <w:t xml:space="preserve">се спроведени консултации со заинтересирани страни. </w:t>
            </w:r>
          </w:p>
          <w:p w:rsidR="00911DB1" w:rsidRPr="00A61E4F" w:rsidRDefault="00911DB1" w:rsidP="00146E43">
            <w:pPr>
              <w:autoSpaceDE w:val="0"/>
              <w:autoSpaceDN w:val="0"/>
              <w:adjustRightInd w:val="0"/>
              <w:jc w:val="both"/>
              <w:rPr>
                <w:rFonts w:ascii="StobiSerif" w:hAnsi="StobiSerif" w:cs="Arial"/>
                <w:bCs/>
                <w:sz w:val="20"/>
                <w:lang w:val="mk-MK"/>
              </w:rPr>
            </w:pPr>
          </w:p>
          <w:p w:rsidR="00911DB1" w:rsidRPr="00A61E4F" w:rsidRDefault="00911DB1" w:rsidP="00146E43">
            <w:pPr>
              <w:autoSpaceDE w:val="0"/>
              <w:autoSpaceDN w:val="0"/>
              <w:adjustRightInd w:val="0"/>
              <w:jc w:val="both"/>
              <w:rPr>
                <w:rFonts w:ascii="StobiSerif" w:hAnsi="StobiSerif" w:cs="Arial"/>
                <w:bCs/>
                <w:sz w:val="20"/>
                <w:lang w:val="mk-MK"/>
              </w:rPr>
            </w:pPr>
            <w:r w:rsidRPr="00A61E4F">
              <w:rPr>
                <w:rFonts w:ascii="StobiSerif" w:hAnsi="StobiSerif" w:cs="Arial"/>
                <w:bCs/>
                <w:sz w:val="20"/>
                <w:lang w:val="mk-MK"/>
              </w:rPr>
              <w:t>Датум на објавување:</w:t>
            </w:r>
          </w:p>
          <w:p w:rsidR="00911DB1" w:rsidRPr="00A61E4F" w:rsidRDefault="00911DB1" w:rsidP="00146E43">
            <w:pPr>
              <w:autoSpaceDE w:val="0"/>
              <w:autoSpaceDN w:val="0"/>
              <w:adjustRightInd w:val="0"/>
              <w:jc w:val="both"/>
              <w:rPr>
                <w:rFonts w:ascii="StobiSerif" w:hAnsi="StobiSerif" w:cs="Arial"/>
                <w:bCs/>
                <w:sz w:val="20"/>
                <w:lang w:val="mk-MK"/>
              </w:rPr>
            </w:pPr>
            <w:r w:rsidRPr="00A61E4F">
              <w:rPr>
                <w:rFonts w:ascii="StobiSerif" w:hAnsi="StobiSerif" w:cs="Arial"/>
                <w:bCs/>
                <w:sz w:val="20"/>
                <w:lang w:val="mk-MK"/>
              </w:rPr>
              <w:t>Вклучени организации и претставници:</w:t>
            </w:r>
          </w:p>
          <w:p w:rsidR="00911DB1" w:rsidRPr="00A61E4F" w:rsidRDefault="00911DB1" w:rsidP="00146E43">
            <w:pPr>
              <w:autoSpaceDE w:val="0"/>
              <w:autoSpaceDN w:val="0"/>
              <w:adjustRightInd w:val="0"/>
              <w:jc w:val="both"/>
              <w:rPr>
                <w:rFonts w:ascii="StobiSerif" w:hAnsi="StobiSerif" w:cs="Arial"/>
                <w:bCs/>
                <w:sz w:val="20"/>
                <w:lang w:val="mk-MK"/>
              </w:rPr>
            </w:pPr>
            <w:r w:rsidRPr="00A61E4F">
              <w:rPr>
                <w:rFonts w:ascii="StobiSerif" w:hAnsi="StobiSerif" w:cs="Arial"/>
                <w:bCs/>
                <w:sz w:val="20"/>
                <w:lang w:val="mk-MK"/>
              </w:rPr>
              <w:t>Свое мислење дадоа следниве организации:</w:t>
            </w:r>
          </w:p>
        </w:tc>
        <w:tc>
          <w:tcPr>
            <w:tcW w:w="1104"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right="-470"/>
              <w:jc w:val="both"/>
              <w:rPr>
                <w:rFonts w:ascii="StobiSerif" w:hAnsi="StobiSerif" w:cs="Arial"/>
                <w:bCs/>
                <w:sz w:val="20"/>
                <w:lang w:val="mk-MK"/>
              </w:rPr>
            </w:pPr>
            <w:r w:rsidRPr="00A61E4F">
              <w:rPr>
                <w:rFonts w:ascii="StobiSerif" w:hAnsi="StobiSerif" w:cs="Arial"/>
                <w:bCs/>
                <w:sz w:val="20"/>
                <w:lang w:val="mk-MK"/>
              </w:rPr>
              <w:t>ДА</w:t>
            </w:r>
          </w:p>
        </w:tc>
      </w:tr>
      <w:tr w:rsidR="00911DB1" w:rsidRPr="00A61E4F" w:rsidTr="00146E43">
        <w:tc>
          <w:tcPr>
            <w:tcW w:w="437"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left="540" w:hanging="540"/>
              <w:jc w:val="both"/>
              <w:rPr>
                <w:rFonts w:ascii="StobiSerif" w:hAnsi="StobiSerif" w:cs="Arial"/>
                <w:bCs/>
                <w:sz w:val="20"/>
                <w:lang w:val="mk-MK"/>
              </w:rPr>
            </w:pPr>
            <w:r w:rsidRPr="00A61E4F">
              <w:rPr>
                <w:rFonts w:ascii="StobiSerif" w:hAnsi="StobiSerif" w:cs="Arial"/>
                <w:bCs/>
                <w:sz w:val="20"/>
                <w:lang w:val="mk-MK"/>
              </w:rPr>
              <w:t>8.</w:t>
            </w:r>
          </w:p>
        </w:tc>
        <w:tc>
          <w:tcPr>
            <w:tcW w:w="7643"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jc w:val="both"/>
              <w:rPr>
                <w:rFonts w:ascii="StobiSerif" w:hAnsi="StobiSerif" w:cs="Arial"/>
                <w:bCs/>
                <w:sz w:val="20"/>
                <w:lang w:val="mk-MK"/>
              </w:rPr>
            </w:pPr>
            <w:r w:rsidRPr="00A61E4F">
              <w:rPr>
                <w:rFonts w:ascii="StobiSerif" w:hAnsi="StobiSerif" w:cs="Arial"/>
                <w:bCs/>
                <w:sz w:val="20"/>
                <w:lang w:val="mk-MK"/>
              </w:rPr>
              <w:t xml:space="preserve">Сите забелешки и предлози од заинтересираните страни </w:t>
            </w:r>
            <w:r>
              <w:rPr>
                <w:rFonts w:ascii="StobiSerif" w:hAnsi="StobiSerif" w:cs="Arial"/>
                <w:bCs/>
                <w:sz w:val="20"/>
                <w:lang w:val="mk-MK"/>
              </w:rPr>
              <w:t xml:space="preserve">ќе </w:t>
            </w:r>
            <w:r w:rsidRPr="00A61E4F">
              <w:rPr>
                <w:rFonts w:ascii="StobiSerif" w:hAnsi="StobiSerif" w:cs="Arial"/>
                <w:bCs/>
                <w:sz w:val="20"/>
                <w:lang w:val="mk-MK"/>
              </w:rPr>
              <w:t>се зем</w:t>
            </w:r>
            <w:r>
              <w:rPr>
                <w:rFonts w:ascii="StobiSerif" w:hAnsi="StobiSerif" w:cs="Arial"/>
                <w:bCs/>
                <w:sz w:val="20"/>
                <w:lang w:val="mk-MK"/>
              </w:rPr>
              <w:t xml:space="preserve">ат </w:t>
            </w:r>
            <w:r w:rsidRPr="00A61E4F">
              <w:rPr>
                <w:rFonts w:ascii="StobiSerif" w:hAnsi="StobiSerif" w:cs="Arial"/>
                <w:bCs/>
                <w:sz w:val="20"/>
                <w:lang w:val="mk-MK"/>
              </w:rPr>
              <w:t>во предвид.</w:t>
            </w:r>
          </w:p>
        </w:tc>
        <w:tc>
          <w:tcPr>
            <w:tcW w:w="1104"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right="-470"/>
              <w:jc w:val="both"/>
              <w:rPr>
                <w:rFonts w:ascii="StobiSerif" w:hAnsi="StobiSerif" w:cs="Arial"/>
                <w:bCs/>
                <w:sz w:val="20"/>
                <w:lang w:val="mk-MK"/>
              </w:rPr>
            </w:pPr>
            <w:r w:rsidRPr="00A61E4F">
              <w:rPr>
                <w:rFonts w:ascii="StobiSerif" w:hAnsi="StobiSerif" w:cs="Arial"/>
                <w:bCs/>
                <w:sz w:val="20"/>
                <w:lang w:val="mk-MK"/>
              </w:rPr>
              <w:t>ДА</w:t>
            </w:r>
          </w:p>
        </w:tc>
      </w:tr>
      <w:tr w:rsidR="00911DB1" w:rsidRPr="00A61E4F" w:rsidTr="00146E43">
        <w:trPr>
          <w:trHeight w:val="348"/>
        </w:trPr>
        <w:tc>
          <w:tcPr>
            <w:tcW w:w="437"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left="540" w:hanging="540"/>
              <w:jc w:val="both"/>
              <w:rPr>
                <w:rFonts w:ascii="StobiSerif" w:hAnsi="StobiSerif" w:cs="Arial"/>
                <w:bCs/>
                <w:sz w:val="20"/>
                <w:lang w:val="mk-MK"/>
              </w:rPr>
            </w:pPr>
            <w:r w:rsidRPr="00A61E4F">
              <w:rPr>
                <w:rFonts w:ascii="StobiSerif" w:hAnsi="StobiSerif" w:cs="Arial"/>
                <w:bCs/>
                <w:sz w:val="20"/>
                <w:lang w:val="mk-MK"/>
              </w:rPr>
              <w:t>9.</w:t>
            </w:r>
          </w:p>
        </w:tc>
        <w:tc>
          <w:tcPr>
            <w:tcW w:w="7643"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jc w:val="both"/>
              <w:rPr>
                <w:rFonts w:ascii="StobiSerif" w:hAnsi="StobiSerif" w:cs="Arial"/>
                <w:bCs/>
                <w:sz w:val="20"/>
                <w:lang w:val="mk-MK"/>
              </w:rPr>
            </w:pPr>
            <w:r w:rsidRPr="00A61E4F">
              <w:rPr>
                <w:rFonts w:ascii="StobiSerif" w:hAnsi="StobiSerif" w:cs="Arial"/>
                <w:sz w:val="20"/>
                <w:lang w:val="mk-MK"/>
              </w:rPr>
              <w:t>Предлог законот</w:t>
            </w:r>
            <w:r w:rsidRPr="00A61E4F">
              <w:rPr>
                <w:rFonts w:ascii="StobiSerif" w:hAnsi="StobiSerif" w:cs="Arial"/>
                <w:bCs/>
                <w:sz w:val="20"/>
                <w:lang w:val="mk-MK"/>
              </w:rPr>
              <w:t xml:space="preserve"> е лекториран.</w:t>
            </w:r>
          </w:p>
        </w:tc>
        <w:tc>
          <w:tcPr>
            <w:tcW w:w="1104"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right="-470"/>
              <w:jc w:val="both"/>
              <w:rPr>
                <w:rFonts w:ascii="StobiSerif" w:hAnsi="StobiSerif" w:cs="Arial"/>
                <w:bCs/>
                <w:sz w:val="20"/>
                <w:lang w:val="mk-MK"/>
              </w:rPr>
            </w:pPr>
            <w:r w:rsidRPr="00A61E4F">
              <w:rPr>
                <w:rFonts w:ascii="StobiSerif" w:hAnsi="StobiSerif" w:cs="Arial"/>
                <w:bCs/>
                <w:sz w:val="20"/>
                <w:lang w:val="mk-MK"/>
              </w:rPr>
              <w:t>НЕ</w:t>
            </w:r>
          </w:p>
        </w:tc>
      </w:tr>
      <w:tr w:rsidR="00911DB1" w:rsidRPr="00A61E4F" w:rsidTr="00146E43">
        <w:tc>
          <w:tcPr>
            <w:tcW w:w="437"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left="540" w:hanging="540"/>
              <w:jc w:val="both"/>
              <w:rPr>
                <w:rFonts w:ascii="StobiSerif" w:hAnsi="StobiSerif" w:cs="Arial"/>
                <w:bCs/>
                <w:sz w:val="20"/>
                <w:lang w:val="mk-MK"/>
              </w:rPr>
            </w:pPr>
            <w:r w:rsidRPr="00A61E4F">
              <w:rPr>
                <w:rFonts w:ascii="StobiSerif" w:hAnsi="StobiSerif" w:cs="Arial"/>
                <w:bCs/>
                <w:sz w:val="20"/>
                <w:lang w:val="mk-MK"/>
              </w:rPr>
              <w:t>10.</w:t>
            </w:r>
          </w:p>
        </w:tc>
        <w:tc>
          <w:tcPr>
            <w:tcW w:w="7643"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jc w:val="both"/>
              <w:rPr>
                <w:rFonts w:ascii="StobiSerif" w:hAnsi="StobiSerif" w:cs="Arial"/>
                <w:bCs/>
                <w:sz w:val="20"/>
                <w:lang w:val="mk-MK"/>
              </w:rPr>
            </w:pPr>
            <w:r w:rsidRPr="00A61E4F">
              <w:rPr>
                <w:rFonts w:ascii="StobiSerif" w:hAnsi="StobiSerif" w:cs="Arial"/>
                <w:bCs/>
                <w:sz w:val="20"/>
                <w:lang w:val="mk-MK"/>
              </w:rPr>
              <w:t xml:space="preserve">Спроведени се меѓуресорски консултации. </w:t>
            </w:r>
          </w:p>
          <w:p w:rsidR="00911DB1" w:rsidRPr="00A61E4F" w:rsidRDefault="00911DB1" w:rsidP="00146E43">
            <w:pPr>
              <w:autoSpaceDE w:val="0"/>
              <w:autoSpaceDN w:val="0"/>
              <w:adjustRightInd w:val="0"/>
              <w:jc w:val="both"/>
              <w:rPr>
                <w:rFonts w:ascii="StobiSerif" w:hAnsi="StobiSerif" w:cs="Arial"/>
                <w:bCs/>
                <w:sz w:val="20"/>
                <w:lang w:val="mk-MK"/>
              </w:rPr>
            </w:pPr>
            <w:r>
              <w:rPr>
                <w:rFonts w:ascii="StobiSerif" w:hAnsi="StobiSerif" w:cs="Arial"/>
                <w:bCs/>
                <w:sz w:val="20"/>
                <w:lang w:val="mk-MK"/>
              </w:rPr>
              <w:t>(ќе се достави на мислење)</w:t>
            </w:r>
          </w:p>
        </w:tc>
        <w:tc>
          <w:tcPr>
            <w:tcW w:w="1104"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right="-470"/>
              <w:jc w:val="both"/>
              <w:rPr>
                <w:rFonts w:ascii="StobiSerif" w:hAnsi="StobiSerif" w:cs="Arial"/>
                <w:bCs/>
                <w:sz w:val="20"/>
                <w:lang w:val="mk-MK"/>
              </w:rPr>
            </w:pPr>
            <w:r w:rsidRPr="00A61E4F">
              <w:rPr>
                <w:rFonts w:ascii="StobiSerif" w:hAnsi="StobiSerif" w:cs="Arial"/>
                <w:bCs/>
                <w:sz w:val="20"/>
                <w:lang w:val="mk-MK"/>
              </w:rPr>
              <w:t>ДА</w:t>
            </w:r>
          </w:p>
        </w:tc>
      </w:tr>
      <w:tr w:rsidR="00911DB1" w:rsidRPr="00A61E4F" w:rsidTr="00146E43">
        <w:tc>
          <w:tcPr>
            <w:tcW w:w="437"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left="540" w:hanging="540"/>
              <w:jc w:val="both"/>
              <w:rPr>
                <w:rFonts w:ascii="StobiSerif" w:hAnsi="StobiSerif" w:cs="Arial"/>
                <w:bCs/>
                <w:sz w:val="20"/>
                <w:lang w:val="mk-MK"/>
              </w:rPr>
            </w:pPr>
            <w:r w:rsidRPr="00A61E4F">
              <w:rPr>
                <w:rFonts w:ascii="StobiSerif" w:hAnsi="StobiSerif" w:cs="Arial"/>
                <w:bCs/>
                <w:sz w:val="20"/>
                <w:lang w:val="mk-MK"/>
              </w:rPr>
              <w:t>11.</w:t>
            </w:r>
          </w:p>
        </w:tc>
        <w:tc>
          <w:tcPr>
            <w:tcW w:w="7643"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jc w:val="both"/>
              <w:rPr>
                <w:rFonts w:ascii="StobiSerif" w:hAnsi="StobiSerif" w:cs="Arial"/>
                <w:bCs/>
                <w:sz w:val="20"/>
                <w:lang w:val="mk-MK"/>
              </w:rPr>
            </w:pPr>
            <w:r w:rsidRPr="00A61E4F">
              <w:rPr>
                <w:rFonts w:ascii="StobiSerif" w:hAnsi="StobiSerif" w:cs="Arial"/>
                <w:bCs/>
                <w:sz w:val="20"/>
                <w:lang w:val="mk-MK"/>
              </w:rPr>
              <w:t xml:space="preserve">Дали </w:t>
            </w:r>
            <w:r w:rsidRPr="00A61E4F">
              <w:rPr>
                <w:rFonts w:ascii="StobiSerif" w:hAnsi="StobiSerif" w:cs="Arial"/>
                <w:sz w:val="20"/>
                <w:lang w:val="mk-MK"/>
              </w:rPr>
              <w:t>предлог законот</w:t>
            </w:r>
            <w:r w:rsidRPr="00A61E4F">
              <w:rPr>
                <w:rFonts w:ascii="StobiSerif" w:hAnsi="StobiSerif" w:cs="Arial"/>
                <w:i/>
                <w:sz w:val="20"/>
                <w:lang w:val="mk-MK"/>
              </w:rPr>
              <w:t xml:space="preserve"> </w:t>
            </w:r>
            <w:r w:rsidRPr="00A61E4F">
              <w:rPr>
                <w:rFonts w:ascii="StobiSerif" w:hAnsi="StobiSerif" w:cs="Arial"/>
                <w:bCs/>
                <w:sz w:val="20"/>
                <w:lang w:val="mk-MK"/>
              </w:rPr>
              <w:t>предвидува управна постапка?</w:t>
            </w:r>
          </w:p>
        </w:tc>
        <w:tc>
          <w:tcPr>
            <w:tcW w:w="1104"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right="-470"/>
              <w:jc w:val="both"/>
              <w:rPr>
                <w:rFonts w:ascii="StobiSerif" w:hAnsi="StobiSerif" w:cs="Arial"/>
                <w:bCs/>
                <w:sz w:val="20"/>
                <w:lang w:val="mk-MK"/>
              </w:rPr>
            </w:pPr>
            <w:r w:rsidRPr="00A61E4F">
              <w:rPr>
                <w:rFonts w:ascii="StobiSerif" w:hAnsi="StobiSerif" w:cs="Arial"/>
                <w:bCs/>
                <w:sz w:val="20"/>
                <w:lang w:val="mk-MK"/>
              </w:rPr>
              <w:t>ДА</w:t>
            </w:r>
          </w:p>
        </w:tc>
      </w:tr>
      <w:tr w:rsidR="00911DB1" w:rsidRPr="00A61E4F" w:rsidTr="00146E43">
        <w:tc>
          <w:tcPr>
            <w:tcW w:w="437"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left="540" w:hanging="540"/>
              <w:jc w:val="both"/>
              <w:rPr>
                <w:rFonts w:ascii="StobiSerif" w:hAnsi="StobiSerif" w:cs="Arial"/>
                <w:bCs/>
                <w:sz w:val="20"/>
                <w:lang w:val="mk-MK"/>
              </w:rPr>
            </w:pPr>
            <w:r w:rsidRPr="00A61E4F">
              <w:rPr>
                <w:rFonts w:ascii="StobiSerif" w:hAnsi="StobiSerif" w:cs="Arial"/>
                <w:bCs/>
                <w:sz w:val="20"/>
                <w:lang w:val="mk-MK"/>
              </w:rPr>
              <w:t>12.</w:t>
            </w:r>
          </w:p>
        </w:tc>
        <w:tc>
          <w:tcPr>
            <w:tcW w:w="7643"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jc w:val="both"/>
              <w:rPr>
                <w:rFonts w:ascii="StobiSerif" w:hAnsi="StobiSerif" w:cs="Arial"/>
                <w:bCs/>
                <w:sz w:val="20"/>
                <w:lang w:val="mk-MK"/>
              </w:rPr>
            </w:pPr>
            <w:r w:rsidRPr="00A61E4F">
              <w:rPr>
                <w:rFonts w:ascii="StobiSerif" w:hAnsi="StobiSerif" w:cs="Arial"/>
                <w:bCs/>
                <w:sz w:val="20"/>
                <w:lang w:val="mk-MK"/>
              </w:rPr>
              <w:t xml:space="preserve">Доколку </w:t>
            </w:r>
            <w:r w:rsidRPr="00A61E4F">
              <w:rPr>
                <w:rFonts w:ascii="StobiSerif" w:hAnsi="StobiSerif" w:cs="Arial"/>
                <w:sz w:val="20"/>
                <w:lang w:val="mk-MK"/>
              </w:rPr>
              <w:t>предлог законот</w:t>
            </w:r>
            <w:r w:rsidRPr="00A61E4F">
              <w:rPr>
                <w:rFonts w:ascii="StobiSerif" w:hAnsi="StobiSerif" w:cs="Arial"/>
                <w:bCs/>
                <w:sz w:val="20"/>
                <w:lang w:val="mk-MK"/>
              </w:rPr>
              <w:t xml:space="preserve"> предвидува управна постапка, дали може да се вгради начелото “молчењето значи одобрување“?</w:t>
            </w:r>
          </w:p>
        </w:tc>
        <w:tc>
          <w:tcPr>
            <w:tcW w:w="1104" w:type="dxa"/>
            <w:tcBorders>
              <w:top w:val="single" w:sz="4" w:space="0" w:color="auto"/>
              <w:left w:val="single" w:sz="4" w:space="0" w:color="auto"/>
              <w:bottom w:val="single" w:sz="4" w:space="0" w:color="auto"/>
              <w:right w:val="single" w:sz="4" w:space="0" w:color="auto"/>
            </w:tcBorders>
          </w:tcPr>
          <w:p w:rsidR="00911DB1" w:rsidRPr="00A61E4F" w:rsidRDefault="00911DB1" w:rsidP="00146E43">
            <w:pPr>
              <w:autoSpaceDE w:val="0"/>
              <w:autoSpaceDN w:val="0"/>
              <w:adjustRightInd w:val="0"/>
              <w:ind w:right="-470"/>
              <w:jc w:val="both"/>
              <w:rPr>
                <w:rFonts w:ascii="StobiSerif" w:hAnsi="StobiSerif" w:cs="Arial"/>
                <w:bCs/>
                <w:sz w:val="20"/>
                <w:lang w:val="mk-MK"/>
              </w:rPr>
            </w:pPr>
            <w:r w:rsidRPr="00A61E4F">
              <w:rPr>
                <w:rFonts w:ascii="StobiSerif" w:hAnsi="StobiSerif" w:cs="Arial"/>
                <w:bCs/>
                <w:sz w:val="20"/>
                <w:lang w:val="mk-MK"/>
              </w:rPr>
              <w:t>НЕ</w:t>
            </w:r>
          </w:p>
        </w:tc>
      </w:tr>
    </w:tbl>
    <w:p w:rsidR="00911DB1" w:rsidRPr="00A61E4F" w:rsidRDefault="00911DB1" w:rsidP="00911DB1">
      <w:pPr>
        <w:autoSpaceDE w:val="0"/>
        <w:autoSpaceDN w:val="0"/>
        <w:adjustRightInd w:val="0"/>
        <w:ind w:left="540" w:right="-290"/>
        <w:jc w:val="both"/>
        <w:rPr>
          <w:rFonts w:ascii="StobiSerif" w:hAnsi="StobiSerif" w:cs="Arial"/>
          <w:bCs/>
          <w:sz w:val="20"/>
          <w:lang w:val="mk-MK"/>
        </w:rPr>
      </w:pPr>
    </w:p>
    <w:p w:rsidR="00911DB1" w:rsidRPr="00A61E4F" w:rsidRDefault="00911DB1" w:rsidP="00911DB1">
      <w:pPr>
        <w:pBdr>
          <w:top w:val="single" w:sz="12" w:space="1" w:color="auto" w:shadow="1"/>
          <w:left w:val="single" w:sz="12" w:space="4" w:color="auto" w:shadow="1"/>
          <w:bottom w:val="single" w:sz="12" w:space="1" w:color="auto" w:shadow="1"/>
          <w:right w:val="single" w:sz="12" w:space="4" w:color="auto" w:shadow="1"/>
        </w:pBdr>
        <w:ind w:right="-334"/>
        <w:jc w:val="center"/>
        <w:rPr>
          <w:rFonts w:ascii="StobiSerif" w:hAnsi="StobiSerif" w:cs="Arial"/>
          <w:b/>
          <w:sz w:val="20"/>
          <w:lang w:val="mk-MK"/>
        </w:rPr>
      </w:pPr>
      <w:r w:rsidRPr="00A61E4F">
        <w:rPr>
          <w:rFonts w:ascii="StobiSerif" w:hAnsi="StobiSerif" w:cs="Arial"/>
          <w:b/>
          <w:sz w:val="20"/>
          <w:lang w:val="mk-MK"/>
        </w:rPr>
        <w:t>Изјава од министерот</w:t>
      </w:r>
    </w:p>
    <w:p w:rsidR="00911DB1" w:rsidRPr="00A61E4F" w:rsidRDefault="00911DB1" w:rsidP="00911DB1">
      <w:pPr>
        <w:pBdr>
          <w:top w:val="single" w:sz="12" w:space="1" w:color="auto" w:shadow="1"/>
          <w:left w:val="single" w:sz="12" w:space="4" w:color="auto" w:shadow="1"/>
          <w:bottom w:val="single" w:sz="12" w:space="1" w:color="auto" w:shadow="1"/>
          <w:right w:val="single" w:sz="12" w:space="4" w:color="auto" w:shadow="1"/>
        </w:pBdr>
        <w:ind w:right="-334"/>
        <w:jc w:val="both"/>
        <w:rPr>
          <w:rFonts w:ascii="StobiSerif" w:hAnsi="StobiSerif" w:cs="Arial"/>
          <w:sz w:val="20"/>
          <w:lang w:val="mk-MK"/>
        </w:rPr>
      </w:pPr>
      <w:r w:rsidRPr="00A61E4F">
        <w:rPr>
          <w:rFonts w:ascii="StobiSerif" w:hAnsi="StobiSerif" w:cs="Arial"/>
          <w:sz w:val="20"/>
          <w:lang w:val="mk-MK"/>
        </w:rPr>
        <w:t xml:space="preserve">Јас, </w:t>
      </w:r>
      <w:proofErr w:type="spellStart"/>
      <w:r w:rsidRPr="00A61E4F">
        <w:rPr>
          <w:rFonts w:ascii="StobiSerif" w:hAnsi="StobiSerif" w:cs="Arial"/>
          <w:i/>
          <w:sz w:val="20"/>
        </w:rPr>
        <w:t>Valon</w:t>
      </w:r>
      <w:proofErr w:type="spellEnd"/>
      <w:r w:rsidRPr="00A61E4F">
        <w:rPr>
          <w:rFonts w:ascii="StobiSerif" w:hAnsi="StobiSerif" w:cs="Arial"/>
          <w:i/>
          <w:sz w:val="20"/>
          <w:lang w:val="ru-RU"/>
        </w:rPr>
        <w:t xml:space="preserve"> </w:t>
      </w:r>
      <w:proofErr w:type="spellStart"/>
      <w:r w:rsidRPr="00A61E4F">
        <w:rPr>
          <w:rFonts w:ascii="StobiSerif" w:hAnsi="StobiSerif" w:cs="Arial"/>
          <w:i/>
          <w:sz w:val="20"/>
        </w:rPr>
        <w:t>Saraqini</w:t>
      </w:r>
      <w:proofErr w:type="spellEnd"/>
      <w:r w:rsidRPr="00A61E4F">
        <w:rPr>
          <w:rFonts w:ascii="StobiSerif" w:hAnsi="StobiSerif" w:cs="Arial"/>
          <w:i/>
          <w:sz w:val="20"/>
          <w:lang w:val="mk-MK"/>
        </w:rPr>
        <w:t xml:space="preserve">, </w:t>
      </w:r>
      <w:r w:rsidRPr="00A61E4F">
        <w:rPr>
          <w:rFonts w:ascii="StobiSerif" w:hAnsi="StobiSerif" w:cs="Arial"/>
          <w:sz w:val="20"/>
          <w:lang w:val="mk-MK"/>
        </w:rPr>
        <w:t xml:space="preserve">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 </w:t>
      </w:r>
    </w:p>
    <w:p w:rsidR="00911DB1" w:rsidRPr="00A61E4F" w:rsidRDefault="00911DB1" w:rsidP="00911DB1">
      <w:pPr>
        <w:pBdr>
          <w:top w:val="single" w:sz="12" w:space="1" w:color="auto" w:shadow="1"/>
          <w:left w:val="single" w:sz="12" w:space="4" w:color="auto" w:shadow="1"/>
          <w:bottom w:val="single" w:sz="12" w:space="1" w:color="auto" w:shadow="1"/>
          <w:right w:val="single" w:sz="12" w:space="4" w:color="auto" w:shadow="1"/>
        </w:pBdr>
        <w:ind w:right="-334"/>
        <w:rPr>
          <w:rFonts w:ascii="StobiSerif" w:hAnsi="StobiSerif" w:cs="Arial"/>
          <w:sz w:val="20"/>
          <w:lang w:val="mk-MK"/>
        </w:rPr>
      </w:pPr>
    </w:p>
    <w:p w:rsidR="00911DB1" w:rsidRPr="00A61E4F" w:rsidRDefault="00911DB1" w:rsidP="00911DB1">
      <w:pPr>
        <w:pBdr>
          <w:top w:val="single" w:sz="12" w:space="1" w:color="auto" w:shadow="1"/>
          <w:left w:val="single" w:sz="12" w:space="4" w:color="auto" w:shadow="1"/>
          <w:bottom w:val="single" w:sz="12" w:space="1" w:color="auto" w:shadow="1"/>
          <w:right w:val="single" w:sz="12" w:space="4" w:color="auto" w:shadow="1"/>
        </w:pBdr>
        <w:ind w:right="-334"/>
        <w:rPr>
          <w:rFonts w:ascii="StobiSerif" w:hAnsi="StobiSerif" w:cs="Arial"/>
          <w:sz w:val="20"/>
          <w:lang w:val="mk-MK"/>
        </w:rPr>
      </w:pPr>
      <w:r w:rsidRPr="00A61E4F">
        <w:rPr>
          <w:rFonts w:ascii="StobiSerif" w:hAnsi="StobiSerif" w:cs="Arial"/>
          <w:sz w:val="20"/>
          <w:lang w:val="mk-MK"/>
        </w:rPr>
        <w:t>Потпис на министерот:</w:t>
      </w:r>
    </w:p>
    <w:p w:rsidR="00911DB1" w:rsidRPr="00A61E4F" w:rsidRDefault="00911DB1" w:rsidP="00911DB1">
      <w:pPr>
        <w:pBdr>
          <w:top w:val="single" w:sz="12" w:space="1" w:color="auto" w:shadow="1"/>
          <w:left w:val="single" w:sz="12" w:space="4" w:color="auto" w:shadow="1"/>
          <w:bottom w:val="single" w:sz="12" w:space="1" w:color="auto" w:shadow="1"/>
          <w:right w:val="single" w:sz="12" w:space="4" w:color="auto" w:shadow="1"/>
        </w:pBdr>
        <w:ind w:right="-334"/>
        <w:rPr>
          <w:rFonts w:ascii="StobiSerif" w:hAnsi="StobiSerif" w:cs="Arial"/>
          <w:sz w:val="20"/>
          <w:lang w:val="mk-MK"/>
        </w:rPr>
      </w:pPr>
      <w:r w:rsidRPr="00A61E4F">
        <w:rPr>
          <w:rFonts w:ascii="StobiSerif" w:hAnsi="StobiSerif" w:cs="Arial"/>
          <w:sz w:val="20"/>
          <w:lang w:val="mk-MK"/>
        </w:rPr>
        <w:t>................................................................................</w:t>
      </w:r>
      <w:r w:rsidRPr="00A61E4F">
        <w:rPr>
          <w:rFonts w:ascii="StobiSerif" w:hAnsi="StobiSerif" w:cs="Arial"/>
          <w:sz w:val="20"/>
          <w:lang w:val="mk-MK"/>
        </w:rPr>
        <w:tab/>
      </w:r>
      <w:r w:rsidRPr="00A61E4F">
        <w:rPr>
          <w:rFonts w:ascii="StobiSerif" w:hAnsi="StobiSerif" w:cs="Arial"/>
          <w:sz w:val="20"/>
          <w:lang w:val="mk-MK"/>
        </w:rPr>
        <w:tab/>
      </w:r>
      <w:r w:rsidRPr="00A61E4F">
        <w:rPr>
          <w:rFonts w:ascii="StobiSerif" w:hAnsi="StobiSerif" w:cs="Arial"/>
          <w:sz w:val="20"/>
          <w:lang w:val="mk-MK"/>
        </w:rPr>
        <w:tab/>
        <w:t>Датум:</w:t>
      </w:r>
    </w:p>
    <w:p w:rsidR="00911DB1" w:rsidRPr="00A61E4F" w:rsidRDefault="00911DB1" w:rsidP="00911DB1">
      <w:pPr>
        <w:jc w:val="right"/>
        <w:rPr>
          <w:rFonts w:ascii="StobiSerif" w:hAnsi="StobiSerif" w:cs="Arial"/>
          <w:b/>
          <w:sz w:val="20"/>
          <w:highlight w:val="yellow"/>
          <w:u w:val="single"/>
          <w:lang w:val="mk-MK"/>
        </w:rPr>
      </w:pPr>
    </w:p>
    <w:p w:rsidR="00911DB1" w:rsidRPr="00A61E4F" w:rsidRDefault="00911DB1" w:rsidP="00911DB1">
      <w:pPr>
        <w:jc w:val="both"/>
        <w:rPr>
          <w:rFonts w:ascii="StobiSerif" w:hAnsi="StobiSerif" w:cs="Arial"/>
          <w:sz w:val="20"/>
          <w:lang w:val="mk-MK"/>
        </w:rPr>
      </w:pPr>
    </w:p>
    <w:p w:rsidR="00BF786A" w:rsidRDefault="00BF786A"/>
    <w:sectPr w:rsidR="00BF786A" w:rsidSect="00BF78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w:altName w:val="DIN"/>
    <w:panose1 w:val="00000000000000000000"/>
    <w:charset w:val="00"/>
    <w:family w:val="auto"/>
    <w:notTrueType/>
    <w:pitch w:val="default"/>
    <w:sig w:usb0="00000003" w:usb1="00000000" w:usb2="00000000" w:usb3="00000000" w:csb0="00000001" w:csb1="00000000"/>
  </w:font>
  <w:font w:name="StobiSerif">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B83"/>
    <w:multiLevelType w:val="hybridMultilevel"/>
    <w:tmpl w:val="437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36BFB"/>
    <w:multiLevelType w:val="hybridMultilevel"/>
    <w:tmpl w:val="E61A2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113B3D"/>
    <w:multiLevelType w:val="hybridMultilevel"/>
    <w:tmpl w:val="863A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E46DD1"/>
    <w:multiLevelType w:val="hybridMultilevel"/>
    <w:tmpl w:val="0F3CC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391A3B"/>
    <w:multiLevelType w:val="hybridMultilevel"/>
    <w:tmpl w:val="EA16F73E"/>
    <w:lvl w:ilvl="0" w:tplc="3B9E81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DB1"/>
    <w:rsid w:val="00911DB1"/>
    <w:rsid w:val="00B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B1"/>
    <w:pPr>
      <w:spacing w:after="0" w:line="240" w:lineRule="auto"/>
    </w:pPr>
    <w:rPr>
      <w:rFonts w:ascii="Times New Roman" w:eastAsia="Times New Roman" w:hAnsi="Times New Roman" w:cs="Times New Roman"/>
      <w:sz w:val="24"/>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1DB1"/>
    <w:pPr>
      <w:spacing w:after="120"/>
    </w:pPr>
  </w:style>
  <w:style w:type="character" w:customStyle="1" w:styleId="BodyTextChar">
    <w:name w:val="Body Text Char"/>
    <w:basedOn w:val="DefaultParagraphFont"/>
    <w:link w:val="BodyText"/>
    <w:rsid w:val="00911DB1"/>
    <w:rPr>
      <w:rFonts w:ascii="Times New Roman" w:eastAsia="Times New Roman" w:hAnsi="Times New Roman" w:cs="Times New Roman"/>
      <w:sz w:val="24"/>
      <w:szCs w:val="20"/>
      <w:lang w:val="en-GB" w:eastAsia="nl-NL"/>
    </w:rPr>
  </w:style>
  <w:style w:type="paragraph" w:customStyle="1" w:styleId="Default">
    <w:name w:val="Default"/>
    <w:rsid w:val="00911DB1"/>
    <w:pPr>
      <w:autoSpaceDE w:val="0"/>
      <w:autoSpaceDN w:val="0"/>
      <w:adjustRightInd w:val="0"/>
      <w:spacing w:after="0" w:line="240" w:lineRule="auto"/>
    </w:pPr>
    <w:rPr>
      <w:rFonts w:ascii="DIN" w:eastAsia="Times New Roman" w:hAnsi="DIN" w:cs="DI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12221</Characters>
  <Application>Microsoft Office Word</Application>
  <DocSecurity>0</DocSecurity>
  <Lines>101</Lines>
  <Paragraphs>28</Paragraphs>
  <ScaleCrop>false</ScaleCrop>
  <Company>Hewlett-Packard Company</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andon.kirov</dc:creator>
  <cp:lastModifiedBy>andon.kirov</cp:lastModifiedBy>
  <cp:revision>1</cp:revision>
  <dcterms:created xsi:type="dcterms:W3CDTF">2013-07-24T11:56:00Z</dcterms:created>
  <dcterms:modified xsi:type="dcterms:W3CDTF">2013-07-24T11:56:00Z</dcterms:modified>
</cp:coreProperties>
</file>