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5C" w:rsidRDefault="00824A5C" w:rsidP="00824A5C">
      <w:pPr>
        <w:rPr>
          <w:rFonts w:ascii="StobiSerifPro" w:hAnsi="StobiSerifPro"/>
          <w:b/>
          <w:sz w:val="20"/>
          <w:szCs w:val="20"/>
          <w:lang w:val="mk-MK"/>
        </w:rPr>
      </w:pPr>
    </w:p>
    <w:p w:rsidR="007F181B" w:rsidRDefault="007F181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87764B" w:rsidRDefault="0087764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Pr="003E0EF9" w:rsidRDefault="007F181B" w:rsidP="00212EDD">
      <w:pPr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6196"/>
      </w:tblGrid>
      <w:tr w:rsidR="00895715" w:rsidRPr="003E0EF9">
        <w:trPr>
          <w:trHeight w:val="622"/>
        </w:trPr>
        <w:tc>
          <w:tcPr>
            <w:tcW w:w="3105" w:type="dxa"/>
          </w:tcPr>
          <w:p w:rsidR="00895715" w:rsidRPr="003E0EF9" w:rsidRDefault="00895715" w:rsidP="00C771C6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м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:rsidR="00895715" w:rsidRPr="00895715" w:rsidRDefault="00895715" w:rsidP="00AA2A6F">
            <w:pPr>
              <w:jc w:val="both"/>
              <w:rPr>
                <w:rFonts w:ascii="StobiSerif" w:hAnsi="StobiSerif"/>
                <w:sz w:val="18"/>
                <w:szCs w:val="18"/>
                <w:lang w:val="mk-MK"/>
              </w:rPr>
            </w:pPr>
            <w:r w:rsidRPr="00895715">
              <w:rPr>
                <w:rFonts w:ascii="StobiSerif" w:hAnsi="StobiSerif"/>
                <w:sz w:val="18"/>
                <w:szCs w:val="18"/>
                <w:lang w:val="mk-MK"/>
              </w:rPr>
              <w:t>Министерство за економија</w:t>
            </w:r>
          </w:p>
        </w:tc>
      </w:tr>
      <w:tr w:rsidR="00895715" w:rsidRPr="00B413F0">
        <w:trPr>
          <w:trHeight w:val="622"/>
        </w:trPr>
        <w:tc>
          <w:tcPr>
            <w:tcW w:w="3105" w:type="dxa"/>
          </w:tcPr>
          <w:p w:rsidR="00895715" w:rsidRPr="003E0EF9" w:rsidRDefault="00895715" w:rsidP="006F132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закон:</w:t>
            </w:r>
          </w:p>
        </w:tc>
        <w:tc>
          <w:tcPr>
            <w:tcW w:w="6196" w:type="dxa"/>
          </w:tcPr>
          <w:p w:rsidR="00895715" w:rsidRPr="00895715" w:rsidRDefault="00895715" w:rsidP="00AA2A6F">
            <w:pPr>
              <w:jc w:val="both"/>
              <w:rPr>
                <w:rFonts w:ascii="StobiSerif" w:hAnsi="StobiSerif"/>
                <w:sz w:val="18"/>
                <w:szCs w:val="18"/>
                <w:lang w:val="mk-MK"/>
              </w:rPr>
            </w:pPr>
            <w:r w:rsidRPr="00895715">
              <w:rPr>
                <w:rFonts w:ascii="StobiSerif" w:hAnsi="StobiSerif"/>
                <w:sz w:val="18"/>
                <w:szCs w:val="18"/>
                <w:lang w:val="mk-MK"/>
              </w:rPr>
              <w:t xml:space="preserve">Предлог на Закон за </w:t>
            </w:r>
            <w:r w:rsidRPr="00895715">
              <w:rPr>
                <w:rFonts w:ascii="StobiSerif" w:hAnsi="StobiSerif"/>
                <w:sz w:val="18"/>
                <w:szCs w:val="18"/>
                <w:lang w:val="en-US"/>
              </w:rPr>
              <w:t xml:space="preserve"> </w:t>
            </w:r>
            <w:r w:rsidRPr="00895715">
              <w:rPr>
                <w:rFonts w:ascii="StobiSerif" w:hAnsi="StobiSerif"/>
                <w:sz w:val="18"/>
                <w:szCs w:val="18"/>
                <w:lang w:val="mk-MK"/>
              </w:rPr>
              <w:t>трговија на зелени пазари</w:t>
            </w:r>
            <w:r w:rsidRPr="00895715">
              <w:rPr>
                <w:rFonts w:ascii="StobiSerif" w:hAnsi="StobiSerif"/>
                <w:sz w:val="18"/>
                <w:szCs w:val="18"/>
                <w:lang w:val="en-US"/>
              </w:rPr>
              <w:t xml:space="preserve"> </w:t>
            </w:r>
            <w:r w:rsidRPr="00895715">
              <w:rPr>
                <w:rFonts w:ascii="StobiSerif" w:hAnsi="StobiSerif"/>
                <w:sz w:val="18"/>
                <w:szCs w:val="18"/>
                <w:lang w:val="mk-MK"/>
              </w:rPr>
              <w:t xml:space="preserve">  </w:t>
            </w:r>
          </w:p>
        </w:tc>
      </w:tr>
      <w:tr w:rsidR="00895715" w:rsidRPr="003E0EF9">
        <w:trPr>
          <w:trHeight w:val="622"/>
        </w:trPr>
        <w:tc>
          <w:tcPr>
            <w:tcW w:w="3105" w:type="dxa"/>
          </w:tcPr>
          <w:p w:rsidR="00895715" w:rsidRPr="003E0EF9" w:rsidRDefault="00895715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:rsidR="00895715" w:rsidRPr="00895715" w:rsidRDefault="00895715" w:rsidP="00895715">
            <w:pPr>
              <w:jc w:val="both"/>
              <w:rPr>
                <w:rFonts w:ascii="StobiSerif" w:hAnsi="StobiSerif"/>
                <w:sz w:val="18"/>
                <w:szCs w:val="18"/>
                <w:lang w:val="mk-MK"/>
              </w:rPr>
            </w:pPr>
            <w:r w:rsidRPr="00895715">
              <w:rPr>
                <w:rFonts w:ascii="StobiSerif" w:hAnsi="StobiSerif" w:cs="Arial"/>
                <w:sz w:val="18"/>
                <w:szCs w:val="18"/>
                <w:lang w:val="mk-MK"/>
              </w:rPr>
              <w:t>Илир Шабани</w:t>
            </w:r>
            <w:r w:rsidRPr="00895715">
              <w:rPr>
                <w:rFonts w:ascii="StobiSerif" w:hAnsi="StobiSerif"/>
                <w:sz w:val="18"/>
                <w:szCs w:val="18"/>
                <w:lang w:val="mk-MK"/>
              </w:rPr>
              <w:t>, Раководител на сектор за меѓународна трговска  соработка</w:t>
            </w:r>
          </w:p>
          <w:p w:rsidR="00895715" w:rsidRPr="00895715" w:rsidRDefault="00895715" w:rsidP="00895715">
            <w:pPr>
              <w:jc w:val="both"/>
              <w:rPr>
                <w:rFonts w:ascii="StobiSerif" w:hAnsi="StobiSerif"/>
                <w:sz w:val="18"/>
                <w:szCs w:val="18"/>
                <w:lang w:val="mk-MK"/>
              </w:rPr>
            </w:pPr>
            <w:r w:rsidRPr="00895715">
              <w:rPr>
                <w:rFonts w:ascii="StobiSerif" w:hAnsi="StobiSerif"/>
                <w:sz w:val="18"/>
                <w:szCs w:val="18"/>
                <w:lang w:val="mk-MK"/>
              </w:rPr>
              <w:t>т. 3093 506</w:t>
            </w:r>
          </w:p>
          <w:p w:rsidR="00895715" w:rsidRPr="00895715" w:rsidRDefault="00895715" w:rsidP="00895715">
            <w:pPr>
              <w:rPr>
                <w:rFonts w:ascii="StobiSerifPro" w:hAnsi="StobiSerifPro"/>
                <w:sz w:val="18"/>
                <w:szCs w:val="18"/>
                <w:lang w:val="mk-MK"/>
              </w:rPr>
            </w:pPr>
            <w:r w:rsidRPr="00895715">
              <w:rPr>
                <w:rFonts w:ascii="StobiSerif" w:hAnsi="StobiSerif"/>
                <w:sz w:val="18"/>
                <w:szCs w:val="18"/>
                <w:lang w:val="it-IT"/>
              </w:rPr>
              <w:t>e-mail</w:t>
            </w:r>
            <w:r w:rsidRPr="00895715">
              <w:rPr>
                <w:rFonts w:ascii="StobiSerif" w:hAnsi="StobiSerif"/>
                <w:sz w:val="18"/>
                <w:szCs w:val="18"/>
                <w:lang w:val="mk-MK"/>
              </w:rPr>
              <w:t xml:space="preserve"> </w:t>
            </w:r>
            <w:r w:rsidRPr="00895715">
              <w:rPr>
                <w:rFonts w:ascii="StobiSerif" w:hAnsi="StobiSerif"/>
                <w:sz w:val="18"/>
                <w:szCs w:val="18"/>
                <w:lang w:val="en-US"/>
              </w:rPr>
              <w:t>ilir.sabani@economy.gov.mk</w:t>
            </w:r>
          </w:p>
        </w:tc>
      </w:tr>
      <w:tr w:rsidR="00895715" w:rsidRPr="003E0EF9" w:rsidTr="002B52F4">
        <w:trPr>
          <w:trHeight w:val="617"/>
        </w:trPr>
        <w:tc>
          <w:tcPr>
            <w:tcW w:w="3105" w:type="dxa"/>
            <w:shd w:val="clear" w:color="auto" w:fill="auto"/>
          </w:tcPr>
          <w:p w:rsidR="00895715" w:rsidRPr="003E0EF9" w:rsidRDefault="00895715" w:rsidP="007F6CEE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</w:p>
        </w:tc>
        <w:tc>
          <w:tcPr>
            <w:tcW w:w="6196" w:type="dxa"/>
            <w:shd w:val="clear" w:color="auto" w:fill="auto"/>
          </w:tcPr>
          <w:p w:rsidR="00895715" w:rsidRPr="003E0EF9" w:rsidRDefault="00D854C5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="00895715" w:rsidRPr="003E0EF9">
              <w:rPr>
                <w:rFonts w:ascii="StobiSerifPro" w:hAnsi="StobiSerifPro"/>
                <w:sz w:val="20"/>
                <w:szCs w:val="20"/>
              </w:rPr>
              <w:t>Нацрт</w:t>
            </w:r>
          </w:p>
          <w:p w:rsidR="00895715" w:rsidRPr="003E0EF9" w:rsidRDefault="00ED4ACD" w:rsidP="002B52F4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bdr w:val="single" w:sz="4" w:space="0" w:color="auto"/>
              </w:rPr>
              <w:t xml:space="preserve"> </w:t>
            </w:r>
            <w:r w:rsidR="00D854C5" w:rsidRPr="00ED4ACD">
              <w:rPr>
                <w:rFonts w:ascii="StobiSerifPro" w:hAnsi="StobiSerifPro"/>
                <w:sz w:val="20"/>
                <w:szCs w:val="20"/>
                <w:bdr w:val="single" w:sz="4" w:space="0" w:color="auto"/>
              </w:rPr>
              <w:t>Х</w:t>
            </w:r>
            <w:r>
              <w:rPr>
                <w:rFonts w:ascii="StobiSerifPro" w:hAnsi="StobiSerifPro"/>
                <w:sz w:val="20"/>
                <w:szCs w:val="20"/>
                <w:bdr w:val="single" w:sz="4" w:space="0" w:color="auto"/>
              </w:rPr>
              <w:t xml:space="preserve"> </w:t>
            </w:r>
            <w:r w:rsidR="00895715">
              <w:rPr>
                <w:rFonts w:ascii="StobiSerifPro" w:hAnsi="StobiSerifPro"/>
                <w:sz w:val="20"/>
                <w:szCs w:val="20"/>
              </w:rPr>
              <w:t xml:space="preserve">Предлог </w:t>
            </w:r>
          </w:p>
        </w:tc>
      </w:tr>
      <w:tr w:rsidR="00895715" w:rsidRPr="003E0EF9">
        <w:trPr>
          <w:trHeight w:val="1243"/>
        </w:trPr>
        <w:tc>
          <w:tcPr>
            <w:tcW w:w="3105" w:type="dxa"/>
          </w:tcPr>
          <w:p w:rsidR="00895715" w:rsidRPr="003E0EF9" w:rsidRDefault="00895715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Обврската за подготовка на предлог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закон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:rsidR="00895715" w:rsidRDefault="00895715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0"/>
            <w:r w:rsidRPr="003E0EF9">
              <w:rPr>
                <w:rFonts w:ascii="StobiSerifPro" w:hAnsi="StobiSerifPro"/>
                <w:sz w:val="20"/>
                <w:szCs w:val="20"/>
              </w:rPr>
              <w:t>Годишната програма за работа на Владата</w:t>
            </w:r>
            <w:r>
              <w:rPr>
                <w:rFonts w:ascii="StobiSerifPro" w:hAnsi="StobiSerifPro"/>
                <w:sz w:val="20"/>
                <w:szCs w:val="20"/>
              </w:rPr>
              <w:t xml:space="preserve"> на Република</w:t>
            </w:r>
          </w:p>
          <w:p w:rsidR="00895715" w:rsidRPr="003E0EF9" w:rsidRDefault="00895715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      Македонија</w:t>
            </w:r>
          </w:p>
          <w:p w:rsidR="00895715" w:rsidRPr="003E0EF9" w:rsidRDefault="00895715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1"/>
            <w:r w:rsidRPr="003E0EF9">
              <w:rPr>
                <w:rFonts w:ascii="StobiSerifPro" w:hAnsi="StobiSerifPro"/>
                <w:sz w:val="20"/>
                <w:szCs w:val="20"/>
              </w:rPr>
              <w:t>НПАА</w:t>
            </w:r>
          </w:p>
          <w:p w:rsidR="00895715" w:rsidRPr="00ED4ACD" w:rsidRDefault="00ED4ACD" w:rsidP="00ED4ACD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  <w:bdr w:val="single" w:sz="4" w:space="0" w:color="auto"/>
              </w:rPr>
            </w:pPr>
            <w:r>
              <w:rPr>
                <w:rFonts w:ascii="StobiSerifPro" w:hAnsi="StobiSerifPro"/>
                <w:sz w:val="20"/>
                <w:szCs w:val="20"/>
                <w:bdr w:val="single" w:sz="4" w:space="0" w:color="auto"/>
              </w:rPr>
              <w:t xml:space="preserve"> </w:t>
            </w:r>
            <w:r w:rsidRPr="00ED4ACD">
              <w:rPr>
                <w:rFonts w:ascii="StobiSerifPro" w:hAnsi="StobiSerifPro"/>
                <w:sz w:val="20"/>
                <w:szCs w:val="20"/>
                <w:bdr w:val="single" w:sz="4" w:space="0" w:color="auto"/>
              </w:rPr>
              <w:t>Х</w:t>
            </w:r>
            <w:r>
              <w:rPr>
                <w:rFonts w:ascii="StobiSerifPro" w:hAnsi="StobiSerifPro"/>
                <w:sz w:val="20"/>
                <w:szCs w:val="20"/>
                <w:bdr w:val="single" w:sz="4" w:space="0" w:color="auto"/>
              </w:rPr>
              <w:t xml:space="preserve"> </w:t>
            </w:r>
            <w:r w:rsidR="00895715" w:rsidRPr="003E0EF9">
              <w:rPr>
                <w:rFonts w:ascii="StobiSerifPro" w:hAnsi="StobiSerifPro"/>
                <w:sz w:val="20"/>
                <w:szCs w:val="20"/>
              </w:rPr>
              <w:t>Заклучок на Владата</w:t>
            </w:r>
            <w:r w:rsidR="00895715">
              <w:rPr>
                <w:rFonts w:ascii="StobiSerifPro" w:hAnsi="StobiSerifPro"/>
                <w:sz w:val="20"/>
                <w:szCs w:val="20"/>
              </w:rPr>
              <w:t xml:space="preserve"> на Република Македонија</w:t>
            </w:r>
          </w:p>
          <w:p w:rsidR="00895715" w:rsidRPr="003E0EF9" w:rsidRDefault="00895715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2"/>
            <w:r w:rsidRPr="003E0EF9">
              <w:rPr>
                <w:rFonts w:ascii="StobiSerifPro" w:hAnsi="StobiSerifPro"/>
                <w:sz w:val="20"/>
                <w:szCs w:val="20"/>
              </w:rPr>
              <w:t>Друго _____________________________________</w:t>
            </w:r>
          </w:p>
        </w:tc>
      </w:tr>
      <w:tr w:rsidR="00895715" w:rsidRPr="003E0EF9">
        <w:trPr>
          <w:trHeight w:val="634"/>
        </w:trPr>
        <w:tc>
          <w:tcPr>
            <w:tcW w:w="3105" w:type="dxa"/>
          </w:tcPr>
          <w:p w:rsidR="00895715" w:rsidRPr="003E0EF9" w:rsidRDefault="00895715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</w:tcPr>
          <w:p w:rsidR="00895715" w:rsidRPr="003E0EF9" w:rsidRDefault="00824A5C" w:rsidP="00824A5C">
            <w:pPr>
              <w:pStyle w:val="ListParagraph"/>
              <w:ind w:left="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       Нема</w:t>
            </w:r>
          </w:p>
        </w:tc>
      </w:tr>
      <w:tr w:rsidR="00895715" w:rsidRPr="003E0EF9" w:rsidTr="002B52F4">
        <w:trPr>
          <w:trHeight w:val="1347"/>
        </w:trPr>
        <w:tc>
          <w:tcPr>
            <w:tcW w:w="3105" w:type="dxa"/>
          </w:tcPr>
          <w:p w:rsidR="00895715" w:rsidRPr="003E0EF9" w:rsidRDefault="00895715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согласно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прописите кои се однесуваат на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класифицирани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те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информации </w:t>
            </w:r>
          </w:p>
        </w:tc>
        <w:tc>
          <w:tcPr>
            <w:tcW w:w="6196" w:type="dxa"/>
          </w:tcPr>
          <w:p w:rsidR="00895715" w:rsidRPr="003E0EF9" w:rsidRDefault="00895715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7"/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3"/>
            <w:r w:rsidRPr="003E0EF9">
              <w:rPr>
                <w:rFonts w:ascii="StobiSerifPro" w:hAnsi="StobiSerifPro"/>
                <w:sz w:val="20"/>
                <w:szCs w:val="20"/>
              </w:rPr>
              <w:t>Да</w:t>
            </w:r>
          </w:p>
          <w:p w:rsidR="00895715" w:rsidRPr="003E0EF9" w:rsidRDefault="00ED4ACD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bdr w:val="single" w:sz="4" w:space="0" w:color="auto"/>
              </w:rPr>
              <w:t xml:space="preserve"> </w:t>
            </w:r>
            <w:r w:rsidRPr="00ED4ACD">
              <w:rPr>
                <w:rFonts w:ascii="StobiSerifPro" w:hAnsi="StobiSerifPro"/>
                <w:sz w:val="20"/>
                <w:szCs w:val="20"/>
                <w:bdr w:val="single" w:sz="4" w:space="0" w:color="auto"/>
              </w:rPr>
              <w:t>Х</w:t>
            </w:r>
            <w:r>
              <w:rPr>
                <w:rFonts w:ascii="StobiSerifPro" w:hAnsi="StobiSerifPro"/>
                <w:sz w:val="20"/>
                <w:szCs w:val="20"/>
                <w:bdr w:val="single" w:sz="4" w:space="0" w:color="auto"/>
              </w:rPr>
              <w:t xml:space="preserve"> </w:t>
            </w:r>
            <w:r w:rsidR="00895715" w:rsidRPr="003E0EF9"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895715" w:rsidRPr="003E0EF9">
        <w:trPr>
          <w:trHeight w:val="939"/>
        </w:trPr>
        <w:tc>
          <w:tcPr>
            <w:tcW w:w="3105" w:type="dxa"/>
          </w:tcPr>
          <w:p w:rsidR="00895715" w:rsidRPr="003E0EF9" w:rsidRDefault="00895715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:rsidR="00895715" w:rsidRPr="003E0EF9" w:rsidRDefault="00D461C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26.11.2013 година</w:t>
            </w:r>
          </w:p>
        </w:tc>
      </w:tr>
      <w:tr w:rsidR="00895715" w:rsidRPr="003E0EF9">
        <w:trPr>
          <w:trHeight w:val="691"/>
        </w:trPr>
        <w:tc>
          <w:tcPr>
            <w:tcW w:w="3105" w:type="dxa"/>
          </w:tcPr>
          <w:p w:rsidR="00895715" w:rsidRPr="003E0EF9" w:rsidRDefault="00895715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доставување на нацрт Извештајот до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895715" w:rsidRPr="00D461CC" w:rsidRDefault="00D461C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 xml:space="preserve">26.11.2013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година</w:t>
            </w:r>
          </w:p>
        </w:tc>
      </w:tr>
      <w:tr w:rsidR="00895715" w:rsidRPr="003E0EF9">
        <w:trPr>
          <w:trHeight w:val="622"/>
        </w:trPr>
        <w:tc>
          <w:tcPr>
            <w:tcW w:w="3105" w:type="dxa"/>
          </w:tcPr>
          <w:p w:rsidR="00895715" w:rsidRPr="003E0EF9" w:rsidRDefault="00895715" w:rsidP="00C53BBF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добивање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мислењето од </w:t>
            </w:r>
            <w:r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895715" w:rsidRPr="003E0EF9" w:rsidRDefault="00895715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895715" w:rsidRPr="003E0EF9">
        <w:trPr>
          <w:trHeight w:val="951"/>
        </w:trPr>
        <w:tc>
          <w:tcPr>
            <w:tcW w:w="3105" w:type="dxa"/>
          </w:tcPr>
          <w:p w:rsidR="00895715" w:rsidRPr="003E0EF9" w:rsidRDefault="00895715" w:rsidP="00F66307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Рок за доставување на предлог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до Генералниот секретаријат  </w:t>
            </w:r>
          </w:p>
        </w:tc>
        <w:tc>
          <w:tcPr>
            <w:tcW w:w="6196" w:type="dxa"/>
          </w:tcPr>
          <w:p w:rsidR="00895715" w:rsidRPr="003E0EF9" w:rsidRDefault="00D461C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Декември 2013 година</w:t>
            </w:r>
          </w:p>
        </w:tc>
      </w:tr>
    </w:tbl>
    <w:p w:rsidR="00895715" w:rsidRPr="002B52F4" w:rsidRDefault="00895715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</w:p>
    <w:p w:rsidR="00895715" w:rsidRDefault="00895715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en-US"/>
        </w:rPr>
      </w:pPr>
    </w:p>
    <w:p w:rsidR="00E62DC4" w:rsidRDefault="00E62DC4" w:rsidP="00924E2A">
      <w:pPr>
        <w:numPr>
          <w:ilvl w:val="0"/>
          <w:numId w:val="8"/>
        </w:num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Опис на состојбите во областа и дефинирање на проблемот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44148F" w:rsidRDefault="00E62DC4" w:rsidP="0044148F">
      <w:pPr>
        <w:numPr>
          <w:ilvl w:val="1"/>
          <w:numId w:val="7"/>
        </w:numPr>
        <w:spacing w:line="276" w:lineRule="auto"/>
        <w:jc w:val="both"/>
        <w:rPr>
          <w:rFonts w:ascii="StobiSerifPro" w:eastAsia="Calibri" w:hAnsi="StobiSerifPro" w:cs="Calibri"/>
          <w:i/>
          <w:sz w:val="20"/>
          <w:szCs w:val="20"/>
          <w:lang w:val="mk-MK"/>
        </w:rPr>
      </w:pP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>Опи</w:t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>с на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состојбите</w:t>
      </w:r>
    </w:p>
    <w:p w:rsidR="00E62DC4" w:rsidRPr="0044148F" w:rsidRDefault="00E62DC4" w:rsidP="0044148F">
      <w:pPr>
        <w:spacing w:line="276" w:lineRule="auto"/>
        <w:ind w:left="1440"/>
        <w:jc w:val="both"/>
        <w:rPr>
          <w:rFonts w:ascii="StobiSerifPro" w:eastAsia="Calibri" w:hAnsi="StobiSerifPro" w:cs="Calibri"/>
          <w:i/>
          <w:sz w:val="20"/>
          <w:szCs w:val="20"/>
          <w:lang w:val="mk-MK"/>
        </w:rPr>
      </w:pPr>
      <w:r w:rsidRPr="0044148F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</w:t>
      </w:r>
    </w:p>
    <w:p w:rsidR="0044148F" w:rsidRPr="00FF04A0" w:rsidRDefault="0044148F" w:rsidP="0044148F">
      <w:pPr>
        <w:jc w:val="both"/>
        <w:rPr>
          <w:rFonts w:ascii="StobiSerif" w:hAnsi="StobiSerif"/>
          <w:sz w:val="20"/>
          <w:lang w:val="mk-MK"/>
        </w:rPr>
      </w:pPr>
      <w:r>
        <w:rPr>
          <w:rFonts w:ascii="StobiSerif" w:hAnsi="StobiSerif"/>
          <w:sz w:val="20"/>
          <w:lang w:val="mk-MK"/>
        </w:rPr>
        <w:t xml:space="preserve">Причина </w:t>
      </w:r>
      <w:r w:rsidR="00D461CC">
        <w:rPr>
          <w:rFonts w:ascii="StobiSerif" w:hAnsi="StobiSerif"/>
          <w:sz w:val="20"/>
          <w:lang w:val="mk-MK"/>
        </w:rPr>
        <w:t xml:space="preserve">за </w:t>
      </w:r>
      <w:r>
        <w:rPr>
          <w:rFonts w:ascii="StobiSerif" w:hAnsi="StobiSerif"/>
          <w:sz w:val="20"/>
          <w:lang w:val="mk-MK"/>
        </w:rPr>
        <w:t>донесување на</w:t>
      </w:r>
      <w:r w:rsidR="00D461CC" w:rsidRPr="00FF04A0">
        <w:rPr>
          <w:rFonts w:ascii="StobiSerif" w:hAnsi="StobiSerif"/>
          <w:sz w:val="20"/>
          <w:lang w:val="mk-MK"/>
        </w:rPr>
        <w:t xml:space="preserve"> предложениот Закон за трговија на зелените пазари е </w:t>
      </w:r>
      <w:r>
        <w:rPr>
          <w:rFonts w:ascii="StobiSerif" w:hAnsi="StobiSerif"/>
          <w:sz w:val="20"/>
          <w:lang w:val="mk-MK"/>
        </w:rPr>
        <w:t xml:space="preserve">потребата  да се регулира </w:t>
      </w:r>
      <w:r w:rsidRPr="00FF04A0">
        <w:rPr>
          <w:rFonts w:ascii="StobiSerif" w:hAnsi="StobiSerif"/>
          <w:sz w:val="20"/>
          <w:lang w:val="mk-MK"/>
        </w:rPr>
        <w:t>статусот на лицата кои вршат трговија на зелените пазари</w:t>
      </w:r>
      <w:r>
        <w:rPr>
          <w:rFonts w:ascii="StobiSerif" w:hAnsi="StobiSerif"/>
          <w:sz w:val="20"/>
          <w:lang w:val="mk-MK"/>
        </w:rPr>
        <w:t xml:space="preserve">, да се дефинираат условите, начинот и постапката за вршење на </w:t>
      </w:r>
      <w:r w:rsidRPr="00FF04A0">
        <w:rPr>
          <w:rFonts w:ascii="StobiSerif" w:hAnsi="StobiSerif"/>
          <w:sz w:val="20"/>
          <w:lang w:val="mk-MK"/>
        </w:rPr>
        <w:t>трговија на зелените пазари,</w:t>
      </w:r>
      <w:r w:rsidR="00DD01FE">
        <w:rPr>
          <w:rFonts w:ascii="StobiSerif" w:hAnsi="StobiSerif"/>
          <w:sz w:val="20"/>
          <w:lang w:val="mk-MK"/>
        </w:rPr>
        <w:t xml:space="preserve"> </w:t>
      </w:r>
      <w:r>
        <w:rPr>
          <w:rFonts w:ascii="StobiSerif" w:hAnsi="StobiSerif"/>
          <w:sz w:val="20"/>
          <w:lang w:val="mk-MK"/>
        </w:rPr>
        <w:t xml:space="preserve">т.е. потребата за </w:t>
      </w:r>
      <w:r w:rsidRPr="00FF04A0">
        <w:rPr>
          <w:rFonts w:ascii="StobiSerif" w:hAnsi="StobiSerif"/>
          <w:sz w:val="20"/>
          <w:lang w:val="mk-MK"/>
        </w:rPr>
        <w:t>воспоставување на правна законска рамка одделни активности  кои досега се вршеа на зелените пазари од страна на пазарџиите и беа дел од сивата економија, нелегалната  трговија и нелојалната  конкуренција  да се стават во правна рамка  и законски да се уреди предметната  област.</w:t>
      </w:r>
    </w:p>
    <w:p w:rsidR="00D461CC" w:rsidRPr="00FF04A0" w:rsidRDefault="00D461CC" w:rsidP="00D461CC">
      <w:pPr>
        <w:jc w:val="both"/>
        <w:rPr>
          <w:rFonts w:ascii="StobiSerif" w:hAnsi="StobiSerif"/>
          <w:color w:val="000000"/>
          <w:sz w:val="20"/>
          <w:lang w:val="mk-MK"/>
        </w:rPr>
      </w:pPr>
      <w:r w:rsidRPr="00FF04A0">
        <w:rPr>
          <w:rFonts w:ascii="StobiSerif" w:hAnsi="StobiSerif"/>
          <w:color w:val="000000"/>
          <w:sz w:val="20"/>
          <w:lang w:val="mk-MK"/>
        </w:rPr>
        <w:lastRenderedPageBreak/>
        <w:t>Основните решенија на предлог законот содржат решенија  кои се однесуваат на уреду</w:t>
      </w:r>
      <w:r w:rsidR="0044148F">
        <w:rPr>
          <w:rFonts w:ascii="StobiSerif" w:hAnsi="StobiSerif"/>
          <w:color w:val="000000"/>
          <w:sz w:val="20"/>
          <w:lang w:val="mk-MK"/>
        </w:rPr>
        <w:t>вање на условите</w:t>
      </w:r>
      <w:r w:rsidRPr="00FF04A0">
        <w:rPr>
          <w:rFonts w:ascii="StobiSerif" w:hAnsi="StobiSerif"/>
          <w:color w:val="000000"/>
          <w:sz w:val="20"/>
          <w:lang w:val="mk-MK"/>
        </w:rPr>
        <w:t>, начинот и постапката  на вршење трговија на зелените пазари,воспоставување поедноставена постапка на регистрација, прецизирање на обврската за плаќање согласно прописите за даноци .</w:t>
      </w:r>
    </w:p>
    <w:p w:rsidR="00E62DC4" w:rsidRPr="00ED4ACD" w:rsidRDefault="00D461CC" w:rsidP="0044148F">
      <w:pPr>
        <w:jc w:val="both"/>
        <w:rPr>
          <w:rFonts w:ascii="StobiSerif" w:hAnsi="StobiSerif"/>
          <w:color w:val="000000"/>
          <w:sz w:val="20"/>
          <w:lang w:val="mk-MK"/>
        </w:rPr>
      </w:pPr>
      <w:r w:rsidRPr="00FF04A0">
        <w:rPr>
          <w:rFonts w:ascii="StobiSerif" w:hAnsi="StobiSerif"/>
          <w:color w:val="000000"/>
          <w:sz w:val="20"/>
          <w:lang w:val="mk-MK"/>
        </w:rPr>
        <w:t xml:space="preserve"> </w:t>
      </w: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1.2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>П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ричини за проблемите кои се предмет на разгледување </w:t>
      </w:r>
    </w:p>
    <w:p w:rsidR="00E62DC4" w:rsidRDefault="00E62DC4" w:rsidP="00591C8C">
      <w:pPr>
        <w:tabs>
          <w:tab w:val="left" w:pos="675"/>
        </w:tabs>
        <w:rPr>
          <w:rFonts w:ascii="StobiSerifPro" w:hAnsi="StobiSerifPro" w:cs="Calibri"/>
          <w:sz w:val="20"/>
          <w:szCs w:val="20"/>
          <w:lang w:val="mk-MK"/>
        </w:rPr>
      </w:pPr>
    </w:p>
    <w:p w:rsidR="00DD01FE" w:rsidRDefault="00DD01FE" w:rsidP="00DD01FE">
      <w:pPr>
        <w:jc w:val="both"/>
        <w:rPr>
          <w:rFonts w:ascii="StobiSerif" w:hAnsi="StobiSerif"/>
          <w:sz w:val="20"/>
          <w:lang w:val="mk-MK"/>
        </w:rPr>
      </w:pPr>
      <w:r>
        <w:rPr>
          <w:rFonts w:ascii="StobiSerif" w:hAnsi="StobiSerif"/>
          <w:sz w:val="20"/>
          <w:lang w:val="mk-MK"/>
        </w:rPr>
        <w:t xml:space="preserve">Проблемот се појавува поради фактот што голем дел од субјектите кои се присутни на зелените пазари не се регистрирани и се дел од сивата економија.  </w:t>
      </w:r>
    </w:p>
    <w:p w:rsidR="00924E2A" w:rsidRPr="00FF04A0" w:rsidRDefault="00924E2A" w:rsidP="00DD01FE">
      <w:pPr>
        <w:jc w:val="both"/>
        <w:rPr>
          <w:rFonts w:ascii="StobiSerif" w:hAnsi="StobiSerif"/>
          <w:sz w:val="20"/>
          <w:lang w:val="mk-MK"/>
        </w:rPr>
      </w:pPr>
    </w:p>
    <w:p w:rsidR="001A7B14" w:rsidRPr="003E0EF9" w:rsidRDefault="001A7B14" w:rsidP="00591C8C">
      <w:pPr>
        <w:tabs>
          <w:tab w:val="left" w:pos="675"/>
        </w:tabs>
        <w:rPr>
          <w:rFonts w:ascii="StobiSerifPro" w:hAnsi="StobiSerifPro" w:cs="Calibri"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 w:cs="Calibri"/>
          <w:b/>
          <w:i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2.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Цели на предлог регулативата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</w:p>
    <w:p w:rsidR="00DD01FE" w:rsidRPr="00FF04A0" w:rsidRDefault="00DD01FE" w:rsidP="00DD01FE">
      <w:pPr>
        <w:jc w:val="both"/>
        <w:rPr>
          <w:rFonts w:ascii="StobiSerif" w:hAnsi="StobiSerif"/>
          <w:color w:val="000000"/>
          <w:sz w:val="20"/>
          <w:lang w:val="mk-MK"/>
        </w:rPr>
      </w:pPr>
      <w:r w:rsidRPr="00FF04A0">
        <w:rPr>
          <w:rFonts w:ascii="StobiSerif" w:hAnsi="StobiSerif"/>
          <w:color w:val="000000"/>
          <w:sz w:val="20"/>
          <w:lang w:val="mk-MK"/>
        </w:rPr>
        <w:t>Основни цел на овој закон</w:t>
      </w:r>
      <w:r>
        <w:rPr>
          <w:rFonts w:ascii="StobiSerif" w:hAnsi="StobiSerif"/>
          <w:color w:val="000000"/>
          <w:sz w:val="20"/>
          <w:lang w:val="mk-MK"/>
        </w:rPr>
        <w:t xml:space="preserve"> е</w:t>
      </w:r>
      <w:r w:rsidRPr="00FF04A0">
        <w:rPr>
          <w:rFonts w:ascii="StobiSerif" w:hAnsi="StobiSerif"/>
          <w:color w:val="000000"/>
          <w:sz w:val="20"/>
          <w:lang w:val="mk-MK"/>
        </w:rPr>
        <w:t xml:space="preserve"> да се овозможи преку воспоставување на правна  законска рамка </w:t>
      </w:r>
      <w:r>
        <w:rPr>
          <w:rFonts w:ascii="StobiSerif" w:hAnsi="StobiSerif"/>
          <w:color w:val="000000"/>
          <w:sz w:val="20"/>
          <w:lang w:val="mk-MK"/>
        </w:rPr>
        <w:t xml:space="preserve">да се </w:t>
      </w:r>
      <w:r w:rsidRPr="00FF04A0">
        <w:rPr>
          <w:rFonts w:ascii="StobiSerif" w:hAnsi="StobiSerif"/>
          <w:color w:val="000000"/>
          <w:sz w:val="20"/>
          <w:lang w:val="mk-MK"/>
        </w:rPr>
        <w:t>подобр</w:t>
      </w:r>
      <w:r>
        <w:rPr>
          <w:rFonts w:ascii="StobiSerif" w:hAnsi="StobiSerif"/>
          <w:color w:val="000000"/>
          <w:sz w:val="20"/>
          <w:lang w:val="mk-MK"/>
        </w:rPr>
        <w:t>и</w:t>
      </w:r>
      <w:r w:rsidRPr="00FF04A0">
        <w:rPr>
          <w:rFonts w:ascii="StobiSerif" w:hAnsi="StobiSerif"/>
          <w:color w:val="000000"/>
          <w:sz w:val="20"/>
          <w:lang w:val="mk-MK"/>
        </w:rPr>
        <w:t xml:space="preserve"> статусот на оваа категорија</w:t>
      </w:r>
      <w:r>
        <w:rPr>
          <w:rFonts w:ascii="StobiSerif" w:hAnsi="StobiSerif"/>
          <w:color w:val="000000"/>
          <w:sz w:val="20"/>
          <w:lang w:val="mk-MK"/>
        </w:rPr>
        <w:t xml:space="preserve"> на  трговци на зелените пазари и да се постигне </w:t>
      </w:r>
      <w:r w:rsidRPr="00FF04A0">
        <w:rPr>
          <w:rFonts w:ascii="StobiSerif" w:hAnsi="StobiSerif"/>
          <w:color w:val="000000"/>
          <w:sz w:val="20"/>
          <w:lang w:val="mk-MK"/>
        </w:rPr>
        <w:t xml:space="preserve">одреден напредок во сузбивање на сивата  економија, нелојалната   конкуренција и нелегалната  трговија  како и </w:t>
      </w:r>
      <w:r>
        <w:rPr>
          <w:rFonts w:ascii="StobiSerif" w:hAnsi="StobiSerif"/>
          <w:color w:val="000000"/>
          <w:sz w:val="20"/>
          <w:lang w:val="mk-MK"/>
        </w:rPr>
        <w:t xml:space="preserve">да се </w:t>
      </w:r>
      <w:r w:rsidRPr="00FF04A0">
        <w:rPr>
          <w:rFonts w:ascii="StobiSerif" w:hAnsi="StobiSerif"/>
          <w:color w:val="000000"/>
          <w:sz w:val="20"/>
          <w:lang w:val="mk-MK"/>
        </w:rPr>
        <w:t>регулира работниот статус на оваа категорија трговци на зелените пазари, согласно постоечкото законодавство во областа на работнте односи.</w:t>
      </w:r>
    </w:p>
    <w:p w:rsidR="00DD01FE" w:rsidRPr="00FF04A0" w:rsidRDefault="00DD01FE" w:rsidP="00DD01FE">
      <w:pPr>
        <w:pStyle w:val="Default"/>
        <w:jc w:val="both"/>
        <w:rPr>
          <w:rFonts w:ascii="StobiSerif" w:hAnsi="StobiSerif" w:cs="Times New Roman"/>
          <w:bCs/>
          <w:color w:val="auto"/>
          <w:sz w:val="20"/>
          <w:szCs w:val="20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3.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Можни решенија (опции)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hAnsi="StobiSerifPro" w:cs="Calibri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Опис на решението </w:t>
      </w:r>
      <w:r w:rsidRPr="003E0EF9">
        <w:rPr>
          <w:rFonts w:ascii="StobiSerifPro" w:hAnsi="StobiSerifPro" w:cs="Calibri"/>
          <w:i/>
          <w:sz w:val="20"/>
          <w:szCs w:val="20"/>
          <w:lang w:val="mk-MK"/>
        </w:rPr>
        <w:t>„не прави ништо“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 </w:t>
      </w:r>
    </w:p>
    <w:p w:rsidR="00EE602E" w:rsidRPr="00FF04A0" w:rsidRDefault="00EE602E" w:rsidP="00DA1244">
      <w:pPr>
        <w:pStyle w:val="Default"/>
        <w:jc w:val="both"/>
        <w:rPr>
          <w:rFonts w:ascii="StobiSerif" w:hAnsi="StobiSerif" w:cs="Times New Roman"/>
          <w:bCs/>
          <w:color w:val="auto"/>
          <w:sz w:val="20"/>
          <w:szCs w:val="20"/>
        </w:rPr>
      </w:pPr>
      <w:r>
        <w:rPr>
          <w:rFonts w:ascii="StobiSerif" w:hAnsi="StobiSerif"/>
          <w:sz w:val="20"/>
        </w:rPr>
        <w:t>Опција 1. Доколку не прави ништо останува и понатаму</w:t>
      </w:r>
      <w:r w:rsidRPr="00EE602E">
        <w:rPr>
          <w:rFonts w:ascii="StobiSerif" w:hAnsi="StobiSerif"/>
          <w:bCs/>
          <w:sz w:val="20"/>
          <w:szCs w:val="20"/>
        </w:rPr>
        <w:t xml:space="preserve"> </w:t>
      </w:r>
      <w:r>
        <w:rPr>
          <w:rFonts w:ascii="StobiSerif" w:hAnsi="StobiSerif"/>
          <w:sz w:val="20"/>
        </w:rPr>
        <w:t xml:space="preserve">присатен проблемот </w:t>
      </w:r>
      <w:r w:rsidR="00DA1244">
        <w:rPr>
          <w:rFonts w:ascii="StobiSerif" w:hAnsi="StobiSerif" w:cs="Times New Roman"/>
          <w:bCs/>
          <w:color w:val="auto"/>
          <w:sz w:val="20"/>
          <w:szCs w:val="20"/>
        </w:rPr>
        <w:t>н</w:t>
      </w:r>
      <w:r w:rsidRPr="00FF04A0">
        <w:rPr>
          <w:rFonts w:ascii="StobiSerif" w:hAnsi="StobiSerif" w:cs="Times New Roman"/>
          <w:bCs/>
          <w:color w:val="auto"/>
          <w:sz w:val="20"/>
          <w:szCs w:val="20"/>
        </w:rPr>
        <w:t>а  нерегулирана работата на оваа категорија трговци на зелени пазари, со нерешен статус,</w:t>
      </w:r>
      <w:r w:rsidR="00DA1244">
        <w:rPr>
          <w:rFonts w:ascii="StobiSerif" w:hAnsi="StobiSerif" w:cs="Times New Roman"/>
          <w:bCs/>
          <w:color w:val="auto"/>
          <w:sz w:val="20"/>
          <w:szCs w:val="20"/>
        </w:rPr>
        <w:t xml:space="preserve"> </w:t>
      </w:r>
      <w:r w:rsidRPr="00FF04A0">
        <w:rPr>
          <w:rFonts w:ascii="StobiSerif" w:hAnsi="StobiSerif" w:cs="Times New Roman"/>
          <w:bCs/>
          <w:color w:val="auto"/>
          <w:sz w:val="20"/>
          <w:szCs w:val="20"/>
        </w:rPr>
        <w:t>нерегистрирани, што оди во прилог на сива економија, нелегална трговија и нелојална конкуренција во однос на другите трговци.</w:t>
      </w:r>
    </w:p>
    <w:p w:rsidR="00E62DC4" w:rsidRPr="00ED4ACD" w:rsidRDefault="00EE602E" w:rsidP="00ED4ACD">
      <w:pPr>
        <w:pStyle w:val="ListParagraph"/>
        <w:ind w:left="0"/>
        <w:jc w:val="both"/>
        <w:rPr>
          <w:rFonts w:ascii="StobiSerif" w:hAnsi="StobiSerif"/>
          <w:sz w:val="20"/>
        </w:rPr>
      </w:pPr>
      <w:r>
        <w:rPr>
          <w:rFonts w:ascii="StobiSerif" w:hAnsi="StobiSerif"/>
          <w:sz w:val="20"/>
        </w:rPr>
        <w:t xml:space="preserve">Поради социјалниот проблем решавањето на истиот  преку санкционирање е отежнато. </w:t>
      </w: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Опис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можните решенија (опции) за решавање на </w:t>
      </w:r>
      <w:r>
        <w:rPr>
          <w:rFonts w:ascii="StobiSerifPro" w:hAnsi="StobiSerifPro"/>
          <w:i/>
          <w:sz w:val="20"/>
          <w:szCs w:val="20"/>
          <w:lang w:val="mk-MK"/>
        </w:rPr>
        <w:t>проблемот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E602E" w:rsidRPr="006D7C16" w:rsidRDefault="00EE602E" w:rsidP="00EE602E">
      <w:pPr>
        <w:pStyle w:val="ListParagraph"/>
        <w:ind w:left="0"/>
        <w:jc w:val="both"/>
        <w:rPr>
          <w:rFonts w:ascii="StobiSerif" w:hAnsi="StobiSerif"/>
          <w:sz w:val="20"/>
        </w:rPr>
      </w:pPr>
      <w:r>
        <w:rPr>
          <w:rFonts w:ascii="StobiSerif" w:hAnsi="StobiSerif"/>
          <w:sz w:val="20"/>
        </w:rPr>
        <w:t xml:space="preserve">Опција 2. </w:t>
      </w:r>
      <w:r w:rsidR="00DA1244">
        <w:rPr>
          <w:rFonts w:ascii="StobiSerif" w:hAnsi="StobiSerif"/>
          <w:sz w:val="20"/>
        </w:rPr>
        <w:t xml:space="preserve">  </w:t>
      </w:r>
      <w:r w:rsidRPr="006D7C16">
        <w:rPr>
          <w:rFonts w:ascii="StobiSerif" w:hAnsi="StobiSerif"/>
          <w:sz w:val="20"/>
        </w:rPr>
        <w:t>Да се изготви Предлогот на закон, кој приоритетно би го  регулирал  статусот на оваа категорија лица кои вршат тргови</w:t>
      </w:r>
      <w:r>
        <w:rPr>
          <w:rFonts w:ascii="StobiSerif" w:hAnsi="StobiSerif"/>
          <w:sz w:val="20"/>
        </w:rPr>
        <w:t>ја на зелените пазари</w:t>
      </w:r>
      <w:r w:rsidRPr="006D7C16">
        <w:rPr>
          <w:rFonts w:ascii="StobiSerif" w:hAnsi="StobiSerif"/>
          <w:sz w:val="20"/>
        </w:rPr>
        <w:t xml:space="preserve">, начинот на нивното функционирање како и условите кои теба да се исполнат за истото. </w:t>
      </w:r>
    </w:p>
    <w:p w:rsidR="00924E2A" w:rsidRPr="00EE602E" w:rsidRDefault="00924E2A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Default="00E62DC4" w:rsidP="00072558">
      <w:pPr>
        <w:numPr>
          <w:ilvl w:val="0"/>
          <w:numId w:val="6"/>
        </w:num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en-US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Проценка на влијанијата на регулативата</w:t>
      </w:r>
    </w:p>
    <w:p w:rsidR="006A5FBC" w:rsidRPr="006A5FBC" w:rsidRDefault="006A5FBC" w:rsidP="006A5FBC">
      <w:pPr>
        <w:tabs>
          <w:tab w:val="left" w:pos="675"/>
        </w:tabs>
        <w:ind w:left="360"/>
        <w:rPr>
          <w:rFonts w:ascii="StobiSerifPro" w:hAnsi="StobiSerifPro"/>
          <w:b/>
          <w:sz w:val="20"/>
          <w:szCs w:val="20"/>
          <w:lang w:val="en-US"/>
        </w:rPr>
      </w:pPr>
    </w:p>
    <w:p w:rsidR="00E62DC4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Можни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позитивни и негативни влијанија од секоја од опциите</w:t>
      </w:r>
      <w:r>
        <w:rPr>
          <w:rFonts w:ascii="StobiSerifPro" w:hAnsi="StobiSerifPro"/>
          <w:i/>
          <w:sz w:val="20"/>
          <w:szCs w:val="20"/>
          <w:lang w:val="mk-MK"/>
        </w:rPr>
        <w:t>:</w:t>
      </w:r>
    </w:p>
    <w:p w:rsidR="00924E2A" w:rsidRPr="003E0EF9" w:rsidRDefault="00924E2A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Економски влијанија </w:t>
      </w:r>
    </w:p>
    <w:p w:rsidR="00DA1244" w:rsidRPr="00FF04A0" w:rsidRDefault="00DA1244" w:rsidP="00DA1244">
      <w:pPr>
        <w:pStyle w:val="Default"/>
        <w:jc w:val="both"/>
        <w:rPr>
          <w:rFonts w:ascii="StobiSerif" w:hAnsi="StobiSerif" w:cs="Times New Roman"/>
          <w:bCs/>
          <w:color w:val="auto"/>
          <w:sz w:val="20"/>
          <w:szCs w:val="20"/>
        </w:rPr>
      </w:pPr>
      <w:r>
        <w:rPr>
          <w:rFonts w:ascii="StobiSerif" w:hAnsi="StobiSerif"/>
          <w:sz w:val="20"/>
        </w:rPr>
        <w:t>Опција 1</w:t>
      </w:r>
      <w:r w:rsidRPr="00FF04A0">
        <w:rPr>
          <w:rFonts w:ascii="StobiSerif" w:hAnsi="StobiSerif" w:cs="Times New Roman"/>
          <w:bCs/>
          <w:color w:val="auto"/>
          <w:sz w:val="20"/>
          <w:szCs w:val="20"/>
        </w:rPr>
        <w:t xml:space="preserve"> оди во прилог на сива економија, нелегална трговија и нелојална конкуренција во однос на другите трговци.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Фискални влијанија </w:t>
      </w:r>
    </w:p>
    <w:p w:rsidR="00DA1244" w:rsidRDefault="00DA1244" w:rsidP="00DA1244">
      <w:pPr>
        <w:pStyle w:val="Default"/>
        <w:jc w:val="both"/>
        <w:rPr>
          <w:rFonts w:ascii="StobiSerif" w:hAnsi="StobiSerif"/>
          <w:sz w:val="20"/>
        </w:rPr>
      </w:pPr>
    </w:p>
    <w:p w:rsidR="00DA1244" w:rsidRPr="00FF04A0" w:rsidRDefault="00DA1244" w:rsidP="00DA1244">
      <w:pPr>
        <w:jc w:val="both"/>
        <w:rPr>
          <w:rFonts w:ascii="StobiSerif" w:hAnsi="StobiSerif"/>
          <w:sz w:val="20"/>
          <w:lang w:val="mk-MK"/>
        </w:rPr>
      </w:pPr>
      <w:r w:rsidRPr="00FF04A0">
        <w:rPr>
          <w:rFonts w:ascii="StobiSerif" w:hAnsi="StobiSerif"/>
          <w:sz w:val="20"/>
          <w:lang w:val="ru-RU"/>
        </w:rPr>
        <w:t>Со  предложениот закон преку воспоставување на  законска правна рамка за оваа категорија на  трговци на зелените пазари, се очекува да се  зголеми самовработувањето  и</w:t>
      </w:r>
      <w:r w:rsidRPr="00FF04A0">
        <w:rPr>
          <w:rFonts w:ascii="StobiSerif" w:hAnsi="StobiSerif"/>
          <w:sz w:val="20"/>
          <w:lang w:val="mk-MK"/>
        </w:rPr>
        <w:t xml:space="preserve"> прилив на средства со плаќање на паушалот за остварен приход од вр</w:t>
      </w:r>
      <w:r>
        <w:rPr>
          <w:rFonts w:ascii="StobiSerif" w:hAnsi="StobiSerif"/>
          <w:sz w:val="20"/>
          <w:lang w:val="mk-MK"/>
        </w:rPr>
        <w:t>шење трговија на зелени пазари</w:t>
      </w:r>
      <w:r w:rsidR="00DF0968">
        <w:rPr>
          <w:rFonts w:ascii="StobiSerif" w:hAnsi="StobiSerif"/>
          <w:sz w:val="20"/>
          <w:lang w:val="mk-MK"/>
        </w:rPr>
        <w:t xml:space="preserve"> и придонеси од доход</w:t>
      </w:r>
      <w:r>
        <w:rPr>
          <w:rFonts w:ascii="StobiSerif" w:hAnsi="StobiSerif"/>
          <w:sz w:val="20"/>
          <w:lang w:val="mk-MK"/>
        </w:rPr>
        <w:t xml:space="preserve"> </w:t>
      </w:r>
      <w:r w:rsidRPr="00FF04A0">
        <w:rPr>
          <w:rFonts w:ascii="StobiSerif" w:hAnsi="StobiSerif"/>
          <w:sz w:val="20"/>
          <w:lang w:val="mk-MK"/>
        </w:rPr>
        <w:t>.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DA1244">
      <w:pPr>
        <w:numPr>
          <w:ilvl w:val="1"/>
          <w:numId w:val="6"/>
        </w:num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Социјални влијанија </w:t>
      </w:r>
    </w:p>
    <w:p w:rsidR="00DA1244" w:rsidRPr="003E0EF9" w:rsidRDefault="00DA1244" w:rsidP="00DA1244">
      <w:pPr>
        <w:ind w:left="144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DA1244" w:rsidRPr="00FF04A0" w:rsidRDefault="00DF0968" w:rsidP="00DA1244">
      <w:pPr>
        <w:jc w:val="both"/>
        <w:rPr>
          <w:rFonts w:ascii="StobiSerif" w:hAnsi="StobiSerif"/>
          <w:sz w:val="20"/>
          <w:lang w:val="mk-MK"/>
        </w:rPr>
      </w:pPr>
      <w:r>
        <w:rPr>
          <w:rFonts w:ascii="StobiSerif" w:hAnsi="StobiSerif"/>
          <w:sz w:val="20"/>
          <w:lang w:val="ru-RU"/>
        </w:rPr>
        <w:t>Нема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DF0968" w:rsidRPr="00FF04A0" w:rsidRDefault="00DF0968" w:rsidP="00DF0968">
      <w:pPr>
        <w:jc w:val="both"/>
        <w:rPr>
          <w:rFonts w:ascii="StobiSerif" w:hAnsi="StobiSerif"/>
          <w:sz w:val="20"/>
          <w:lang w:val="mk-MK"/>
        </w:rPr>
      </w:pPr>
      <w:r>
        <w:rPr>
          <w:rFonts w:ascii="StobiSerif" w:hAnsi="StobiSerif"/>
          <w:sz w:val="20"/>
          <w:lang w:val="ru-RU"/>
        </w:rPr>
        <w:t>Нема</w:t>
      </w:r>
    </w:p>
    <w:p w:rsidR="00E62DC4" w:rsidRPr="00DF0968" w:rsidRDefault="00E62DC4" w:rsidP="00591C8C">
      <w:pPr>
        <w:jc w:val="both"/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4.5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lastRenderedPageBreak/>
        <w:t xml:space="preserve">а) трошоци за спроведување </w:t>
      </w:r>
    </w:p>
    <w:p w:rsidR="00DF0968" w:rsidRPr="00FF04A0" w:rsidRDefault="00E62DC4" w:rsidP="00DF0968">
      <w:pPr>
        <w:jc w:val="both"/>
        <w:rPr>
          <w:rFonts w:ascii="StobiSerif" w:hAnsi="StobiSerif"/>
          <w:sz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="00DF0968">
        <w:rPr>
          <w:rFonts w:ascii="StobiSerif" w:hAnsi="StobiSerif"/>
          <w:sz w:val="20"/>
          <w:lang w:val="ru-RU"/>
        </w:rPr>
        <w:t>Нема</w:t>
      </w:r>
    </w:p>
    <w:p w:rsidR="00E62DC4" w:rsidRPr="00DF0968" w:rsidRDefault="00E62DC4" w:rsidP="00591C8C">
      <w:pPr>
        <w:jc w:val="both"/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ind w:left="720" w:firstLine="720"/>
        <w:jc w:val="both"/>
        <w:rPr>
          <w:rFonts w:ascii="StobiSerifPro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б)трошоци за почитување на регулативата </w:t>
      </w:r>
    </w:p>
    <w:p w:rsidR="00DF0968" w:rsidRPr="00FF04A0" w:rsidRDefault="00DF0968" w:rsidP="00DF0968">
      <w:pPr>
        <w:jc w:val="both"/>
        <w:rPr>
          <w:rFonts w:ascii="StobiSerif" w:hAnsi="StobiSerif"/>
          <w:sz w:val="20"/>
          <w:lang w:val="mk-MK"/>
        </w:rPr>
      </w:pPr>
      <w:r>
        <w:rPr>
          <w:rFonts w:ascii="StobiSerif" w:hAnsi="StobiSerif"/>
          <w:sz w:val="20"/>
          <w:lang w:val="ru-RU"/>
        </w:rPr>
        <w:t>Нема</w:t>
      </w:r>
    </w:p>
    <w:p w:rsidR="00E62DC4" w:rsidRDefault="00E62DC4" w:rsidP="00591C8C">
      <w:pPr>
        <w:tabs>
          <w:tab w:val="left" w:pos="675"/>
        </w:tabs>
        <w:rPr>
          <w:rFonts w:ascii="StobiSerifPro" w:hAnsi="StobiSerifPro" w:cs="Calibri"/>
          <w:iCs/>
          <w:sz w:val="20"/>
          <w:szCs w:val="20"/>
          <w:lang w:val="mk-MK"/>
        </w:rPr>
      </w:pPr>
    </w:p>
    <w:p w:rsidR="00924E2A" w:rsidRPr="00DF0968" w:rsidRDefault="00924E2A" w:rsidP="00591C8C">
      <w:pPr>
        <w:tabs>
          <w:tab w:val="left" w:pos="675"/>
        </w:tabs>
        <w:rPr>
          <w:rFonts w:ascii="StobiSerifPro" w:hAnsi="StobiSerifPro" w:cs="Calibri"/>
          <w:iCs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5.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Консултации</w:t>
      </w:r>
    </w:p>
    <w:p w:rsidR="00E62DC4" w:rsidRPr="002661AB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З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асегнати страни </w:t>
      </w:r>
      <w:r>
        <w:rPr>
          <w:rFonts w:ascii="StobiSerifPro" w:hAnsi="StobiSerifPro"/>
          <w:i/>
          <w:sz w:val="20"/>
          <w:szCs w:val="20"/>
          <w:lang w:val="mk-MK"/>
        </w:rPr>
        <w:t>и начин на вклучување</w:t>
      </w:r>
    </w:p>
    <w:p w:rsidR="00DF0968" w:rsidRDefault="00DF0968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DF0968" w:rsidRPr="006D7C16" w:rsidRDefault="00DF0968" w:rsidP="00DF0968">
      <w:pPr>
        <w:pStyle w:val="ListParagraph"/>
        <w:ind w:left="0"/>
        <w:jc w:val="both"/>
        <w:rPr>
          <w:rFonts w:ascii="StobiSerif" w:hAnsi="StobiSerif"/>
          <w:sz w:val="20"/>
        </w:rPr>
      </w:pPr>
      <w:r>
        <w:rPr>
          <w:rFonts w:ascii="StobiSerif" w:hAnsi="StobiSerif"/>
          <w:sz w:val="20"/>
        </w:rPr>
        <w:t>Засегнати страни се с</w:t>
      </w:r>
      <w:r w:rsidRPr="006D7C16">
        <w:rPr>
          <w:rFonts w:ascii="StobiSerif" w:hAnsi="StobiSerif"/>
          <w:sz w:val="20"/>
        </w:rPr>
        <w:t>убјектите кои продаваат на зелените пазари, односно пазарџиите, организаторите на пазари,</w:t>
      </w:r>
      <w:r>
        <w:rPr>
          <w:rFonts w:ascii="StobiSerif" w:hAnsi="StobiSerif"/>
          <w:sz w:val="20"/>
        </w:rPr>
        <w:t xml:space="preserve"> </w:t>
      </w:r>
      <w:r w:rsidRPr="006D7C16">
        <w:rPr>
          <w:rFonts w:ascii="StobiSerif" w:hAnsi="StobiSerif"/>
          <w:sz w:val="20"/>
        </w:rPr>
        <w:t>Управата за јавни приходи, јавниот и приватниот партнер, односно локалната самоуправа и трговците на зелен пазар.</w:t>
      </w:r>
    </w:p>
    <w:p w:rsidR="00E62DC4" w:rsidRPr="00DF0968" w:rsidRDefault="00E62DC4" w:rsidP="00DC1A79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реглед на добиените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и вградените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мислења </w:t>
      </w:r>
    </w:p>
    <w:p w:rsidR="00DF0968" w:rsidRDefault="00DF0968" w:rsidP="00DF0968">
      <w:pPr>
        <w:pStyle w:val="ListParagraph"/>
        <w:ind w:left="0"/>
        <w:jc w:val="both"/>
        <w:rPr>
          <w:rFonts w:ascii="StobiSerif" w:hAnsi="StobiSerif"/>
          <w:sz w:val="20"/>
        </w:rPr>
      </w:pPr>
    </w:p>
    <w:p w:rsidR="00E62DC4" w:rsidRPr="002B52F4" w:rsidRDefault="00DF0968" w:rsidP="002B52F4">
      <w:pPr>
        <w:pStyle w:val="ListParagraph"/>
        <w:ind w:left="0"/>
        <w:jc w:val="both"/>
        <w:rPr>
          <w:rFonts w:ascii="StobiSerif" w:hAnsi="StobiSerif"/>
          <w:sz w:val="20"/>
        </w:rPr>
      </w:pPr>
      <w:r>
        <w:rPr>
          <w:rFonts w:ascii="StobiSerif" w:hAnsi="StobiSerif"/>
          <w:sz w:val="20"/>
        </w:rPr>
        <w:t xml:space="preserve">Мислењата на </w:t>
      </w:r>
      <w:r w:rsidRPr="006D7C16">
        <w:rPr>
          <w:rFonts w:ascii="StobiSerif" w:hAnsi="StobiSerif"/>
          <w:sz w:val="20"/>
        </w:rPr>
        <w:t xml:space="preserve"> пазарџиите</w:t>
      </w:r>
      <w:r>
        <w:rPr>
          <w:rFonts w:ascii="StobiSerif" w:hAnsi="StobiSerif"/>
          <w:sz w:val="20"/>
        </w:rPr>
        <w:t xml:space="preserve"> и </w:t>
      </w:r>
      <w:r w:rsidRPr="006D7C16">
        <w:rPr>
          <w:rFonts w:ascii="StobiSerif" w:hAnsi="StobiSerif"/>
          <w:sz w:val="20"/>
        </w:rPr>
        <w:t xml:space="preserve"> организаторите на пазари</w:t>
      </w:r>
      <w:r>
        <w:rPr>
          <w:rFonts w:ascii="StobiSerif" w:hAnsi="StobiSerif"/>
          <w:sz w:val="20"/>
        </w:rPr>
        <w:t xml:space="preserve"> се вградени во Предлог законот. Се очекуваат </w:t>
      </w:r>
      <w:r w:rsidR="00E503B9">
        <w:rPr>
          <w:rFonts w:ascii="StobiSerif" w:hAnsi="StobiSerif"/>
          <w:sz w:val="20"/>
        </w:rPr>
        <w:t xml:space="preserve">и други </w:t>
      </w:r>
      <w:r>
        <w:rPr>
          <w:rFonts w:ascii="StobiSerif" w:hAnsi="StobiSerif"/>
          <w:sz w:val="20"/>
        </w:rPr>
        <w:t>мислења</w:t>
      </w:r>
      <w:r w:rsidR="00E503B9">
        <w:rPr>
          <w:rFonts w:ascii="StobiSerif" w:hAnsi="StobiSerif"/>
          <w:sz w:val="20"/>
        </w:rPr>
        <w:t xml:space="preserve">. </w:t>
      </w: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ислења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та кои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не биле земени предвид и зошто</w:t>
      </w:r>
    </w:p>
    <w:p w:rsidR="00E503B9" w:rsidRDefault="00E503B9" w:rsidP="00E503B9">
      <w:pPr>
        <w:pStyle w:val="ListParagraph"/>
        <w:ind w:left="0"/>
        <w:jc w:val="both"/>
        <w:rPr>
          <w:rFonts w:ascii="StobiSerif" w:hAnsi="StobiSerif"/>
          <w:sz w:val="20"/>
        </w:rPr>
      </w:pPr>
    </w:p>
    <w:p w:rsidR="00E62DC4" w:rsidRPr="00E503B9" w:rsidRDefault="00E503B9" w:rsidP="00E503B9">
      <w:pPr>
        <w:pStyle w:val="ListParagraph"/>
        <w:ind w:left="0"/>
        <w:jc w:val="both"/>
        <w:rPr>
          <w:rFonts w:ascii="StobiSerifPro" w:hAnsi="StobiSerifPro"/>
          <w:sz w:val="20"/>
          <w:szCs w:val="20"/>
        </w:rPr>
      </w:pPr>
      <w:r>
        <w:rPr>
          <w:rFonts w:ascii="StobiSerif" w:hAnsi="StobiSerif"/>
          <w:sz w:val="20"/>
        </w:rPr>
        <w:t xml:space="preserve">Нема </w:t>
      </w: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6.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Заклучоци и препорачано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С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поред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бен преглед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позитивните и негативните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влијанија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на можните решенија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(опции)</w:t>
      </w:r>
    </w:p>
    <w:p w:rsidR="00E503B9" w:rsidRPr="00E503B9" w:rsidRDefault="00E503B9" w:rsidP="00E503B9">
      <w:pPr>
        <w:pStyle w:val="ListParagraph"/>
        <w:ind w:left="0"/>
        <w:jc w:val="both"/>
        <w:rPr>
          <w:rFonts w:ascii="StobiSerifPro" w:hAnsi="StobiSerifPro"/>
          <w:sz w:val="20"/>
          <w:szCs w:val="20"/>
        </w:rPr>
      </w:pPr>
      <w:r>
        <w:rPr>
          <w:rFonts w:ascii="StobiSerif" w:hAnsi="StobiSerif"/>
          <w:sz w:val="20"/>
        </w:rPr>
        <w:t xml:space="preserve">Нема </w:t>
      </w:r>
    </w:p>
    <w:p w:rsidR="00E62DC4" w:rsidRPr="003E0EF9" w:rsidRDefault="00E62DC4" w:rsidP="002B52F4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Р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изици во спроведувањето и примената на секое од можните решенија (опции)</w:t>
      </w:r>
    </w:p>
    <w:p w:rsidR="00E503B9" w:rsidRPr="003E0EF9" w:rsidRDefault="00E503B9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503B9" w:rsidRDefault="00E503B9" w:rsidP="00E503B9">
      <w:pPr>
        <w:pStyle w:val="Default"/>
        <w:jc w:val="both"/>
        <w:rPr>
          <w:rFonts w:ascii="StobiSerif" w:hAnsi="StobiSerif"/>
          <w:sz w:val="20"/>
          <w:szCs w:val="20"/>
        </w:rPr>
      </w:pPr>
      <w:r w:rsidRPr="00FF04A0">
        <w:rPr>
          <w:rFonts w:ascii="StobiSerif" w:hAnsi="StobiSerif" w:cs="Times New Roman"/>
          <w:bCs/>
          <w:color w:val="auto"/>
          <w:sz w:val="20"/>
          <w:szCs w:val="20"/>
        </w:rPr>
        <w:t xml:space="preserve">Главна придобивка за донесување на Предлог Законот за  трговија на зелените пазари  е воспоставување на </w:t>
      </w:r>
      <w:r w:rsidRPr="00FF04A0">
        <w:rPr>
          <w:rFonts w:ascii="StobiSerif" w:hAnsi="StobiSerif"/>
          <w:sz w:val="20"/>
          <w:szCs w:val="20"/>
          <w:lang w:val="ru-RU"/>
        </w:rPr>
        <w:t>законска правна рамка и</w:t>
      </w:r>
      <w:r w:rsidRPr="00FF04A0">
        <w:rPr>
          <w:rFonts w:ascii="StobiSerif" w:hAnsi="StobiSerif"/>
          <w:sz w:val="20"/>
          <w:szCs w:val="20"/>
        </w:rPr>
        <w:t xml:space="preserve"> подобрување на статусот на оваа категорија на  трговци на зелените пазари.</w:t>
      </w:r>
    </w:p>
    <w:p w:rsidR="00E503B9" w:rsidRPr="00FF04A0" w:rsidRDefault="00E503B9" w:rsidP="00E503B9">
      <w:pPr>
        <w:pStyle w:val="Default"/>
        <w:jc w:val="both"/>
        <w:rPr>
          <w:rFonts w:ascii="StobiSerif" w:hAnsi="StobiSerif" w:cs="Times New Roman"/>
          <w:bCs/>
          <w:color w:val="auto"/>
          <w:sz w:val="20"/>
          <w:szCs w:val="20"/>
        </w:rPr>
      </w:pPr>
    </w:p>
    <w:p w:rsidR="00E503B9" w:rsidRPr="00FF04A0" w:rsidRDefault="00E503B9" w:rsidP="00E503B9">
      <w:pPr>
        <w:pStyle w:val="Default"/>
        <w:jc w:val="both"/>
        <w:rPr>
          <w:rFonts w:ascii="StobiSerif" w:hAnsi="StobiSerif" w:cs="Times New Roman"/>
          <w:bCs/>
          <w:color w:val="auto"/>
          <w:sz w:val="20"/>
          <w:szCs w:val="20"/>
        </w:rPr>
      </w:pPr>
      <w:r>
        <w:rPr>
          <w:rFonts w:ascii="StobiSerif" w:hAnsi="StobiSerif" w:cs="Times New Roman"/>
          <w:bCs/>
          <w:color w:val="auto"/>
          <w:sz w:val="20"/>
          <w:szCs w:val="20"/>
        </w:rPr>
        <w:t>Не донесувањето на Предлог Законот ќе значи да</w:t>
      </w:r>
      <w:r w:rsidRPr="00FF04A0">
        <w:rPr>
          <w:rFonts w:ascii="StobiSerif" w:hAnsi="StobiSerif" w:cs="Times New Roman"/>
          <w:bCs/>
          <w:color w:val="auto"/>
          <w:sz w:val="20"/>
          <w:szCs w:val="20"/>
        </w:rPr>
        <w:t xml:space="preserve">  остане нерегулирана работата на оваа категорија трговци на зелени пазари, </w:t>
      </w:r>
      <w:r>
        <w:rPr>
          <w:rFonts w:ascii="StobiSerif" w:hAnsi="StobiSerif" w:cs="Times New Roman"/>
          <w:bCs/>
          <w:color w:val="auto"/>
          <w:sz w:val="20"/>
          <w:szCs w:val="20"/>
        </w:rPr>
        <w:t>т.е</w:t>
      </w:r>
      <w:r w:rsidRPr="00FF04A0">
        <w:rPr>
          <w:rFonts w:ascii="StobiSerif" w:hAnsi="StobiSerif" w:cs="Times New Roman"/>
          <w:bCs/>
          <w:color w:val="auto"/>
          <w:sz w:val="20"/>
          <w:szCs w:val="20"/>
        </w:rPr>
        <w:t xml:space="preserve"> нерешен статус,</w:t>
      </w:r>
      <w:r>
        <w:rPr>
          <w:rFonts w:ascii="StobiSerif" w:hAnsi="StobiSerif" w:cs="Times New Roman"/>
          <w:bCs/>
          <w:color w:val="auto"/>
          <w:sz w:val="20"/>
          <w:szCs w:val="20"/>
        </w:rPr>
        <w:t xml:space="preserve"> </w:t>
      </w:r>
      <w:r w:rsidRPr="00FF04A0">
        <w:rPr>
          <w:rFonts w:ascii="StobiSerif" w:hAnsi="StobiSerif" w:cs="Times New Roman"/>
          <w:bCs/>
          <w:color w:val="auto"/>
          <w:sz w:val="20"/>
          <w:szCs w:val="20"/>
        </w:rPr>
        <w:t>нерегистрирани, што оди во прилог на сива економија, нелегална трговија и нелојална конкуренција во однос на другите трговци.</w:t>
      </w:r>
    </w:p>
    <w:p w:rsidR="00A972EB" w:rsidRPr="002B52F4" w:rsidRDefault="00E503B9" w:rsidP="002B52F4">
      <w:pPr>
        <w:pStyle w:val="Default"/>
        <w:jc w:val="both"/>
        <w:rPr>
          <w:rFonts w:ascii="StobiSerif" w:hAnsi="StobiSerif" w:cs="Times New Roman"/>
          <w:b/>
          <w:bCs/>
          <w:color w:val="auto"/>
          <w:sz w:val="20"/>
          <w:szCs w:val="20"/>
        </w:rPr>
      </w:pPr>
      <w:r w:rsidRPr="00FF04A0">
        <w:rPr>
          <w:rFonts w:ascii="StobiSerif" w:hAnsi="StobiSerif" w:cs="Times New Roman"/>
          <w:b/>
          <w:bCs/>
          <w:color w:val="auto"/>
          <w:sz w:val="20"/>
          <w:szCs w:val="20"/>
        </w:rPr>
        <w:t xml:space="preserve">                    </w:t>
      </w: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репорачано решение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со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образложение</w:t>
      </w:r>
    </w:p>
    <w:p w:rsidR="00E503B9" w:rsidRDefault="00E503B9" w:rsidP="00E503B9">
      <w:pPr>
        <w:pStyle w:val="Default"/>
        <w:jc w:val="both"/>
        <w:rPr>
          <w:rFonts w:ascii="StobiSerif" w:hAnsi="StobiSerif" w:cs="Times New Roman"/>
          <w:bCs/>
          <w:color w:val="auto"/>
          <w:sz w:val="20"/>
          <w:szCs w:val="20"/>
        </w:rPr>
      </w:pPr>
    </w:p>
    <w:p w:rsidR="00E503B9" w:rsidRDefault="00E503B9" w:rsidP="001953AE">
      <w:pPr>
        <w:jc w:val="both"/>
        <w:rPr>
          <w:rFonts w:ascii="StobiSerif" w:hAnsi="StobiSerif"/>
          <w:sz w:val="20"/>
          <w:lang w:val="mk-MK"/>
        </w:rPr>
      </w:pPr>
      <w:r>
        <w:rPr>
          <w:rFonts w:ascii="StobiSerif" w:hAnsi="StobiSerif"/>
          <w:bCs/>
          <w:sz w:val="20"/>
          <w:szCs w:val="20"/>
        </w:rPr>
        <w:t xml:space="preserve">Владата на Република Македонија да ја разгледа и усвои Опцијата 2 со тоа што ќе го усвои Предлогот </w:t>
      </w:r>
      <w:r w:rsidRPr="00FF04A0">
        <w:rPr>
          <w:rFonts w:ascii="StobiSerif" w:hAnsi="StobiSerif"/>
          <w:bCs/>
          <w:sz w:val="20"/>
          <w:szCs w:val="20"/>
          <w:lang w:val="mk-MK"/>
        </w:rPr>
        <w:t xml:space="preserve">за донесување на Законот </w:t>
      </w:r>
      <w:proofErr w:type="gramStart"/>
      <w:r w:rsidRPr="00FF04A0">
        <w:rPr>
          <w:rFonts w:ascii="StobiSerif" w:hAnsi="StobiSerif"/>
          <w:bCs/>
          <w:sz w:val="20"/>
          <w:szCs w:val="20"/>
          <w:lang w:val="mk-MK"/>
        </w:rPr>
        <w:t>за  трговија</w:t>
      </w:r>
      <w:proofErr w:type="gramEnd"/>
      <w:r w:rsidRPr="00FF04A0">
        <w:rPr>
          <w:rFonts w:ascii="StobiSerif" w:hAnsi="StobiSerif"/>
          <w:bCs/>
          <w:sz w:val="20"/>
          <w:szCs w:val="20"/>
          <w:lang w:val="mk-MK"/>
        </w:rPr>
        <w:t xml:space="preserve"> на зелените пазари </w:t>
      </w:r>
      <w:r>
        <w:rPr>
          <w:rFonts w:ascii="StobiSerif" w:hAnsi="StobiSerif"/>
          <w:bCs/>
          <w:sz w:val="20"/>
          <w:szCs w:val="20"/>
        </w:rPr>
        <w:t xml:space="preserve"> </w:t>
      </w:r>
      <w:r>
        <w:rPr>
          <w:rFonts w:ascii="StobiSerif" w:hAnsi="StobiSerif"/>
          <w:bCs/>
          <w:sz w:val="20"/>
          <w:szCs w:val="20"/>
          <w:lang w:val="mk-MK"/>
        </w:rPr>
        <w:t xml:space="preserve">кој </w:t>
      </w:r>
      <w:r w:rsidR="001953AE">
        <w:rPr>
          <w:rFonts w:ascii="StobiSerif" w:hAnsi="StobiSerif"/>
          <w:bCs/>
          <w:sz w:val="20"/>
          <w:szCs w:val="20"/>
          <w:lang w:val="mk-MK"/>
        </w:rPr>
        <w:t xml:space="preserve">ќе го </w:t>
      </w:r>
      <w:r>
        <w:rPr>
          <w:rFonts w:ascii="StobiSerif" w:hAnsi="StobiSerif"/>
          <w:sz w:val="20"/>
          <w:lang w:val="mk-MK"/>
        </w:rPr>
        <w:t xml:space="preserve">регулира </w:t>
      </w:r>
      <w:r w:rsidRPr="00FF04A0">
        <w:rPr>
          <w:rFonts w:ascii="StobiSerif" w:hAnsi="StobiSerif"/>
          <w:sz w:val="20"/>
          <w:lang w:val="mk-MK"/>
        </w:rPr>
        <w:t>статусот на лицата кои вршат трговија на зелените пазари</w:t>
      </w:r>
      <w:r>
        <w:rPr>
          <w:rFonts w:ascii="StobiSerif" w:hAnsi="StobiSerif"/>
          <w:sz w:val="20"/>
          <w:lang w:val="mk-MK"/>
        </w:rPr>
        <w:t xml:space="preserve">, </w:t>
      </w:r>
      <w:r w:rsidR="001953AE">
        <w:rPr>
          <w:rFonts w:ascii="StobiSerif" w:hAnsi="StobiSerif"/>
          <w:sz w:val="20"/>
          <w:lang w:val="mk-MK"/>
        </w:rPr>
        <w:t>ќе ги</w:t>
      </w:r>
      <w:r>
        <w:rPr>
          <w:rFonts w:ascii="StobiSerif" w:hAnsi="StobiSerif"/>
          <w:sz w:val="20"/>
          <w:lang w:val="mk-MK"/>
        </w:rPr>
        <w:t xml:space="preserve"> дефинира</w:t>
      </w:r>
      <w:r w:rsidR="001953AE">
        <w:rPr>
          <w:rFonts w:ascii="StobiSerif" w:hAnsi="StobiSerif"/>
          <w:sz w:val="20"/>
          <w:lang w:val="mk-MK"/>
        </w:rPr>
        <w:t xml:space="preserve"> </w:t>
      </w:r>
      <w:r>
        <w:rPr>
          <w:rFonts w:ascii="StobiSerif" w:hAnsi="StobiSerif"/>
          <w:sz w:val="20"/>
          <w:lang w:val="mk-MK"/>
        </w:rPr>
        <w:t xml:space="preserve">условите, начинот и постапката за вршење на </w:t>
      </w:r>
      <w:r w:rsidRPr="00FF04A0">
        <w:rPr>
          <w:rFonts w:ascii="StobiSerif" w:hAnsi="StobiSerif"/>
          <w:sz w:val="20"/>
          <w:lang w:val="mk-MK"/>
        </w:rPr>
        <w:t>трговија на зелените пазари,</w:t>
      </w:r>
      <w:r>
        <w:rPr>
          <w:rFonts w:ascii="StobiSerif" w:hAnsi="StobiSerif"/>
          <w:sz w:val="20"/>
          <w:lang w:val="mk-MK"/>
        </w:rPr>
        <w:t xml:space="preserve"> </w:t>
      </w:r>
      <w:r w:rsidR="001953AE">
        <w:rPr>
          <w:rFonts w:ascii="StobiSerif" w:hAnsi="StobiSerif"/>
          <w:sz w:val="20"/>
          <w:lang w:val="mk-MK"/>
        </w:rPr>
        <w:t>павата и обврските на организаторите и трговците на зелените пазари.</w:t>
      </w:r>
    </w:p>
    <w:p w:rsidR="00ED4ACD" w:rsidRDefault="00ED4ACD" w:rsidP="001953AE">
      <w:pPr>
        <w:jc w:val="both"/>
        <w:rPr>
          <w:rFonts w:ascii="StobiSerif" w:hAnsi="StobiSerif"/>
          <w:sz w:val="20"/>
          <w:szCs w:val="20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7.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Потреба од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менување на закони и подзаконска регулатива во областа или други сродни области</w:t>
      </w:r>
    </w:p>
    <w:p w:rsidR="001953AE" w:rsidRPr="003E0EF9" w:rsidRDefault="001953AE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1953AE" w:rsidP="001953AE">
      <w:pPr>
        <w:rPr>
          <w:rFonts w:ascii="StobiSerif" w:hAnsi="StobiSerif"/>
          <w:bCs/>
          <w:sz w:val="20"/>
          <w:szCs w:val="20"/>
          <w:lang w:val="mk-MK"/>
        </w:rPr>
      </w:pPr>
      <w:r>
        <w:rPr>
          <w:rFonts w:ascii="StobiSerif" w:hAnsi="StobiSerif"/>
          <w:bCs/>
          <w:sz w:val="20"/>
          <w:szCs w:val="20"/>
          <w:lang w:val="mk-MK"/>
        </w:rPr>
        <w:t>Нема потреба оод менување на закони и подзаконска регулатива во областа.</w:t>
      </w:r>
      <w:r w:rsidRPr="00FF04A0">
        <w:rPr>
          <w:rFonts w:ascii="StobiSerif" w:hAnsi="StobiSerif"/>
          <w:bCs/>
          <w:sz w:val="20"/>
          <w:szCs w:val="20"/>
          <w:lang w:val="mk-MK"/>
        </w:rPr>
        <w:t xml:space="preserve">  </w:t>
      </w:r>
    </w:p>
    <w:p w:rsidR="001953AE" w:rsidRPr="001953AE" w:rsidRDefault="001953AE" w:rsidP="001953AE">
      <w:pPr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Потребни 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одзаконски акти и рок за нивно </w:t>
      </w:r>
      <w:r>
        <w:rPr>
          <w:rFonts w:ascii="StobiSerifPro" w:hAnsi="StobiSerifPro"/>
          <w:i/>
          <w:sz w:val="20"/>
          <w:szCs w:val="20"/>
          <w:lang w:val="mk-MK"/>
        </w:rPr>
        <w:t>донесување</w:t>
      </w:r>
    </w:p>
    <w:p w:rsidR="001953AE" w:rsidRDefault="001953AE" w:rsidP="001953AE">
      <w:pPr>
        <w:rPr>
          <w:rFonts w:ascii="StobiSerif" w:hAnsi="StobiSerif"/>
          <w:bCs/>
          <w:sz w:val="20"/>
          <w:szCs w:val="20"/>
          <w:lang w:val="mk-MK"/>
        </w:rPr>
      </w:pPr>
      <w:r>
        <w:rPr>
          <w:rFonts w:ascii="StobiSerif" w:hAnsi="StobiSerif"/>
          <w:bCs/>
          <w:sz w:val="20"/>
          <w:szCs w:val="20"/>
          <w:lang w:val="mk-MK"/>
        </w:rPr>
        <w:lastRenderedPageBreak/>
        <w:t xml:space="preserve">Со овој Предлог закон е предвидено да се донесе Правилник за минималните здравствено-санитарни и технички услови и критериуми  за зелените пазари.  </w:t>
      </w:r>
    </w:p>
    <w:p w:rsidR="00E62DC4" w:rsidRPr="001953AE" w:rsidRDefault="00E62DC4" w:rsidP="001953AE">
      <w:pPr>
        <w:rPr>
          <w:rFonts w:ascii="StobiSerifPro" w:hAnsi="StobiSerifPro"/>
          <w:sz w:val="20"/>
          <w:szCs w:val="20"/>
          <w:lang w:val="mk-MK"/>
        </w:rPr>
      </w:pPr>
    </w:p>
    <w:p w:rsidR="00E62DC4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О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ргани на државната управа, државни органи и други органи надлежни за спроведување</w:t>
      </w:r>
    </w:p>
    <w:p w:rsidR="001953AE" w:rsidRPr="003E0EF9" w:rsidRDefault="001953AE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4E1D70" w:rsidP="00591C8C">
      <w:pPr>
        <w:tabs>
          <w:tab w:val="left" w:pos="675"/>
        </w:tabs>
        <w:rPr>
          <w:rFonts w:ascii="StobiSerif" w:hAnsi="StobiSerif"/>
          <w:bCs/>
          <w:sz w:val="20"/>
          <w:szCs w:val="20"/>
          <w:lang w:val="mk-MK"/>
        </w:rPr>
      </w:pPr>
      <w:r>
        <w:rPr>
          <w:rFonts w:ascii="StobiSerif" w:hAnsi="StobiSerif"/>
          <w:bCs/>
          <w:sz w:val="20"/>
          <w:szCs w:val="20"/>
          <w:lang w:val="mk-MK"/>
        </w:rPr>
        <w:t>Министерството за економија,  Министерство за транспорт и врски, Министерство за здравство, Министерство за земјоделство, шумарство и водостопанство</w:t>
      </w:r>
    </w:p>
    <w:p w:rsidR="004E1D70" w:rsidRPr="001953AE" w:rsidRDefault="004E1D70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ктивности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обезбед</w:t>
      </w:r>
      <w:r>
        <w:rPr>
          <w:rFonts w:ascii="StobiSerifPro" w:hAnsi="StobiSerifPro"/>
          <w:i/>
          <w:sz w:val="20"/>
          <w:szCs w:val="20"/>
          <w:lang w:val="mk-MK"/>
        </w:rPr>
        <w:t>ување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ефикасно спроведување на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 на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закон</w:t>
      </w:r>
    </w:p>
    <w:p w:rsidR="00E62DC4" w:rsidRDefault="004E1D70" w:rsidP="00591C8C">
      <w:pPr>
        <w:tabs>
          <w:tab w:val="left" w:pos="675"/>
        </w:tabs>
        <w:rPr>
          <w:rFonts w:ascii="StobiSerif" w:hAnsi="StobiSerif"/>
          <w:bCs/>
          <w:sz w:val="20"/>
          <w:szCs w:val="20"/>
          <w:lang w:val="mk-MK"/>
        </w:rPr>
      </w:pPr>
      <w:r>
        <w:rPr>
          <w:rFonts w:ascii="StobiSerif" w:hAnsi="StobiSerif"/>
          <w:bCs/>
          <w:sz w:val="20"/>
          <w:szCs w:val="20"/>
          <w:lang w:val="mk-MK"/>
        </w:rPr>
        <w:t>Нема</w:t>
      </w:r>
    </w:p>
    <w:p w:rsidR="004E1D70" w:rsidRPr="003E0EF9" w:rsidRDefault="004E1D70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8.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Следење и евалуација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8.1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Начин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след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ење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спроведувањето </w:t>
      </w:r>
    </w:p>
    <w:p w:rsidR="004E1D70" w:rsidRPr="003E0EF9" w:rsidRDefault="004E1D70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4E1D70" w:rsidRDefault="004E1D70" w:rsidP="004E1D70">
      <w:pPr>
        <w:tabs>
          <w:tab w:val="left" w:pos="675"/>
        </w:tabs>
        <w:rPr>
          <w:rFonts w:ascii="StobiSerif" w:hAnsi="StobiSerif"/>
          <w:bCs/>
          <w:sz w:val="20"/>
          <w:szCs w:val="20"/>
          <w:lang w:val="mk-MK"/>
        </w:rPr>
      </w:pPr>
      <w:r>
        <w:rPr>
          <w:rFonts w:ascii="StobiSerif" w:hAnsi="StobiSerif"/>
          <w:bCs/>
          <w:sz w:val="20"/>
          <w:szCs w:val="20"/>
          <w:lang w:val="mk-MK"/>
        </w:rPr>
        <w:t xml:space="preserve">Надзор над спроведувањето на одредбите од страна Министерството за економија,  а инспекциски надзор од страна на Државниот пазарен инспекторат, Државниот инспекторат за земјоделство и Агенцијата за храна и ветеринарство. </w:t>
      </w:r>
    </w:p>
    <w:p w:rsidR="00A972EB" w:rsidRDefault="00A972EB" w:rsidP="004E1D70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4E1D70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8.2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Евалуација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ефектите од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на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закон и рокови </w:t>
      </w:r>
    </w:p>
    <w:p w:rsidR="003B3CC1" w:rsidRPr="003E0EF9" w:rsidRDefault="003B3CC1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31474" w:rsidRDefault="004E1D70" w:rsidP="007F181B">
      <w:pPr>
        <w:rPr>
          <w:rFonts w:ascii="StobiSerif" w:hAnsi="StobiSerif"/>
          <w:bCs/>
          <w:sz w:val="20"/>
          <w:szCs w:val="20"/>
          <w:lang w:val="mk-MK"/>
        </w:rPr>
      </w:pPr>
      <w:r>
        <w:rPr>
          <w:rFonts w:ascii="StobiSerif" w:hAnsi="StobiSerif"/>
          <w:bCs/>
          <w:sz w:val="20"/>
          <w:szCs w:val="20"/>
          <w:lang w:val="mk-MK"/>
        </w:rPr>
        <w:t>Оценка за спроведувањето на регулативата по 3</w:t>
      </w:r>
      <w:r w:rsidR="00ED4ACD">
        <w:rPr>
          <w:rFonts w:ascii="StobiSerif" w:hAnsi="StobiSerif"/>
          <w:bCs/>
          <w:sz w:val="20"/>
          <w:szCs w:val="20"/>
          <w:lang w:val="mk-MK"/>
        </w:rPr>
        <w:t xml:space="preserve"> </w:t>
      </w:r>
      <w:r>
        <w:rPr>
          <w:rFonts w:ascii="StobiSerif" w:hAnsi="StobiSerif"/>
          <w:bCs/>
          <w:sz w:val="20"/>
          <w:szCs w:val="20"/>
          <w:lang w:val="mk-MK"/>
        </w:rPr>
        <w:t>години.</w:t>
      </w:r>
    </w:p>
    <w:p w:rsidR="004E1D70" w:rsidRDefault="004E1D70" w:rsidP="007F181B">
      <w:pPr>
        <w:rPr>
          <w:rFonts w:ascii="StobiSerif" w:hAnsi="StobiSerif"/>
          <w:bCs/>
          <w:sz w:val="20"/>
          <w:szCs w:val="20"/>
          <w:lang w:val="mk-MK"/>
        </w:rPr>
      </w:pPr>
    </w:p>
    <w:p w:rsidR="00AF6305" w:rsidRPr="003E0EF9" w:rsidRDefault="00AF6305" w:rsidP="007F181B">
      <w:pPr>
        <w:rPr>
          <w:rFonts w:ascii="StobiSerifPro" w:hAnsi="StobiSerifPro"/>
          <w:sz w:val="20"/>
          <w:szCs w:val="20"/>
          <w:lang w:val="mk-MK"/>
        </w:rPr>
      </w:pPr>
    </w:p>
    <w:p w:rsidR="00511C97" w:rsidRPr="00D742F3" w:rsidRDefault="00511C97" w:rsidP="0051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center"/>
        <w:rPr>
          <w:rFonts w:ascii="StobiSerifPro" w:hAnsi="StobiSerifPro"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>Изјава од министерот</w:t>
      </w:r>
    </w:p>
    <w:p w:rsidR="00511C97" w:rsidRPr="00AF6305" w:rsidRDefault="00511C97" w:rsidP="0051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Pro" w:hAnsi="StobiSerifPro"/>
          <w:b/>
          <w:sz w:val="10"/>
          <w:szCs w:val="10"/>
          <w:lang w:val="ru-RU"/>
        </w:rPr>
      </w:pPr>
    </w:p>
    <w:p w:rsidR="00511C97" w:rsidRPr="00B413F0" w:rsidRDefault="00511C97" w:rsidP="0051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Pro" w:hAnsi="StobiSerifPro"/>
          <w:b/>
          <w:sz w:val="18"/>
          <w:szCs w:val="18"/>
          <w:lang w:val="ru-RU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 xml:space="preserve">Врз основа на резултатите од анализите прикажани во Извештајот за проценка на влијанието на регулативата сметам дека препорачаното решение (опција) претставува најдобар начин за решавање на проблемот и постигнување на очекуваните ефекти на најекономичен начин. </w:t>
      </w:r>
    </w:p>
    <w:p w:rsidR="00A34D48" w:rsidRDefault="00A34D48" w:rsidP="0051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</w:p>
    <w:p w:rsidR="00511C97" w:rsidRPr="00B413F0" w:rsidRDefault="00511C97" w:rsidP="0051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Pro" w:hAnsi="StobiSerifPro"/>
          <w:b/>
          <w:sz w:val="18"/>
          <w:szCs w:val="18"/>
          <w:lang w:val="ru-RU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>Датум:</w:t>
      </w:r>
      <w:r w:rsidR="002B52F4">
        <w:rPr>
          <w:rFonts w:ascii="StobiSerifPro" w:hAnsi="StobiSerifPro"/>
          <w:b/>
          <w:sz w:val="18"/>
          <w:szCs w:val="18"/>
          <w:lang w:val="mk-MK"/>
        </w:rPr>
        <w:t>26.11.2013 година</w:t>
      </w:r>
      <w:r w:rsidRPr="00D742F3">
        <w:rPr>
          <w:rFonts w:ascii="StobiSerifPro" w:hAnsi="StobiSerifPro"/>
          <w:b/>
          <w:sz w:val="18"/>
          <w:szCs w:val="18"/>
          <w:lang w:val="mk-MK"/>
        </w:rPr>
        <w:t xml:space="preserve">                                                                                                  ......................</w:t>
      </w:r>
      <w:r w:rsidRPr="00B413F0">
        <w:rPr>
          <w:rFonts w:ascii="StobiSerifPro" w:hAnsi="StobiSerifPro"/>
          <w:b/>
          <w:sz w:val="18"/>
          <w:szCs w:val="18"/>
          <w:lang w:val="ru-RU"/>
        </w:rPr>
        <w:t>................</w:t>
      </w:r>
    </w:p>
    <w:p w:rsidR="00511C97" w:rsidRPr="00B413F0" w:rsidRDefault="00511C97" w:rsidP="00511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Pro" w:hAnsi="StobiSerifPro"/>
          <w:b/>
          <w:sz w:val="18"/>
          <w:szCs w:val="18"/>
          <w:lang w:val="ru-RU"/>
        </w:rPr>
      </w:pPr>
    </w:p>
    <w:p w:rsidR="00A34D48" w:rsidRPr="00A34D48" w:rsidRDefault="00511C97" w:rsidP="00A34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right"/>
        <w:rPr>
          <w:rFonts w:ascii="StobiSerifPro" w:hAnsi="StobiSerifPro"/>
          <w:sz w:val="18"/>
          <w:szCs w:val="18"/>
          <w:lang w:val="ru-RU"/>
        </w:rPr>
      </w:pPr>
      <w:r>
        <w:rPr>
          <w:rFonts w:ascii="StobiSerifPro" w:hAnsi="StobiSerifPro"/>
          <w:b/>
          <w:sz w:val="18"/>
          <w:szCs w:val="18"/>
          <w:lang w:val="mk-MK"/>
        </w:rPr>
        <w:t>п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отпис на министерот</w:t>
      </w: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 </w:t>
      </w:r>
    </w:p>
    <w:sectPr w:rsidR="00A34D48" w:rsidRPr="00A34D48" w:rsidSect="006528B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E6" w:rsidRDefault="00C927E6" w:rsidP="005D078B">
      <w:r>
        <w:separator/>
      </w:r>
    </w:p>
  </w:endnote>
  <w:endnote w:type="continuationSeparator" w:id="0">
    <w:p w:rsidR="00C927E6" w:rsidRDefault="00C927E6" w:rsidP="005D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EC" w:rsidRDefault="001B51EC">
    <w:pPr>
      <w:pStyle w:val="Footer"/>
      <w:jc w:val="right"/>
    </w:pPr>
    <w:fldSimple w:instr=" PAGE   \* MERGEFORMAT ">
      <w:r w:rsidR="008C77EE">
        <w:rPr>
          <w:noProof/>
        </w:rPr>
        <w:t>1</w:t>
      </w:r>
    </w:fldSimple>
  </w:p>
  <w:p w:rsidR="001B51EC" w:rsidRDefault="001B5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E6" w:rsidRDefault="00C927E6" w:rsidP="005D078B">
      <w:r>
        <w:separator/>
      </w:r>
    </w:p>
  </w:footnote>
  <w:footnote w:type="continuationSeparator" w:id="0">
    <w:p w:rsidR="00C927E6" w:rsidRDefault="00C927E6" w:rsidP="005D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A9A"/>
    <w:multiLevelType w:val="hybridMultilevel"/>
    <w:tmpl w:val="1736C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232A"/>
    <w:multiLevelType w:val="hybridMultilevel"/>
    <w:tmpl w:val="7B529E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4BF3"/>
    <w:multiLevelType w:val="hybridMultilevel"/>
    <w:tmpl w:val="2C587FC4"/>
    <w:lvl w:ilvl="0" w:tplc="526694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A641E"/>
    <w:multiLevelType w:val="multilevel"/>
    <w:tmpl w:val="1736C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50C98"/>
    <w:multiLevelType w:val="hybridMultilevel"/>
    <w:tmpl w:val="C7F47B30"/>
    <w:lvl w:ilvl="0" w:tplc="FBE88C7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5025"/>
    <w:multiLevelType w:val="multilevel"/>
    <w:tmpl w:val="464E84EE"/>
    <w:lvl w:ilvl="0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6">
    <w:nsid w:val="783D0F5C"/>
    <w:multiLevelType w:val="multilevel"/>
    <w:tmpl w:val="CEAAF304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F303438"/>
    <w:multiLevelType w:val="hybridMultilevel"/>
    <w:tmpl w:val="166EDA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116"/>
    <w:rsid w:val="00015512"/>
    <w:rsid w:val="000352F4"/>
    <w:rsid w:val="000439E4"/>
    <w:rsid w:val="0005368C"/>
    <w:rsid w:val="00061B9B"/>
    <w:rsid w:val="000633D7"/>
    <w:rsid w:val="00067008"/>
    <w:rsid w:val="00072558"/>
    <w:rsid w:val="0007343E"/>
    <w:rsid w:val="00085B49"/>
    <w:rsid w:val="00090934"/>
    <w:rsid w:val="000A51D9"/>
    <w:rsid w:val="000B198F"/>
    <w:rsid w:val="000D0C68"/>
    <w:rsid w:val="000D58B0"/>
    <w:rsid w:val="000E0336"/>
    <w:rsid w:val="00107852"/>
    <w:rsid w:val="00130A68"/>
    <w:rsid w:val="001476F9"/>
    <w:rsid w:val="00156B47"/>
    <w:rsid w:val="00161DCF"/>
    <w:rsid w:val="00162DAA"/>
    <w:rsid w:val="0016466A"/>
    <w:rsid w:val="00170F32"/>
    <w:rsid w:val="00175B40"/>
    <w:rsid w:val="00175F64"/>
    <w:rsid w:val="001836AA"/>
    <w:rsid w:val="001852B4"/>
    <w:rsid w:val="00187194"/>
    <w:rsid w:val="001953AE"/>
    <w:rsid w:val="001A2D55"/>
    <w:rsid w:val="001A4C39"/>
    <w:rsid w:val="001A7B14"/>
    <w:rsid w:val="001B0E2D"/>
    <w:rsid w:val="001B51EC"/>
    <w:rsid w:val="001D3748"/>
    <w:rsid w:val="001D3EC3"/>
    <w:rsid w:val="001E2700"/>
    <w:rsid w:val="001E7452"/>
    <w:rsid w:val="002027AA"/>
    <w:rsid w:val="00207476"/>
    <w:rsid w:val="00212EDD"/>
    <w:rsid w:val="00221332"/>
    <w:rsid w:val="00234966"/>
    <w:rsid w:val="00235145"/>
    <w:rsid w:val="00237A30"/>
    <w:rsid w:val="002419C8"/>
    <w:rsid w:val="00256462"/>
    <w:rsid w:val="00265FE8"/>
    <w:rsid w:val="002661AB"/>
    <w:rsid w:val="00280DA2"/>
    <w:rsid w:val="00297CE3"/>
    <w:rsid w:val="002A7CB6"/>
    <w:rsid w:val="002A7ED0"/>
    <w:rsid w:val="002B52F4"/>
    <w:rsid w:val="002F32BE"/>
    <w:rsid w:val="0032408F"/>
    <w:rsid w:val="00331E38"/>
    <w:rsid w:val="003361B3"/>
    <w:rsid w:val="00337932"/>
    <w:rsid w:val="00360BAA"/>
    <w:rsid w:val="003702F3"/>
    <w:rsid w:val="003B3CC1"/>
    <w:rsid w:val="003B53E6"/>
    <w:rsid w:val="003C0C5D"/>
    <w:rsid w:val="003D5A8E"/>
    <w:rsid w:val="003E0EF9"/>
    <w:rsid w:val="003E1B7F"/>
    <w:rsid w:val="00417E88"/>
    <w:rsid w:val="0042602D"/>
    <w:rsid w:val="0044148F"/>
    <w:rsid w:val="004461D8"/>
    <w:rsid w:val="00446535"/>
    <w:rsid w:val="004550B7"/>
    <w:rsid w:val="00455DB3"/>
    <w:rsid w:val="004628D6"/>
    <w:rsid w:val="0046334E"/>
    <w:rsid w:val="00465D8D"/>
    <w:rsid w:val="00482CD6"/>
    <w:rsid w:val="00484181"/>
    <w:rsid w:val="0049117A"/>
    <w:rsid w:val="0049749E"/>
    <w:rsid w:val="004A4C8B"/>
    <w:rsid w:val="004B09FF"/>
    <w:rsid w:val="004B79FB"/>
    <w:rsid w:val="004D2B8B"/>
    <w:rsid w:val="004E063F"/>
    <w:rsid w:val="004E1D70"/>
    <w:rsid w:val="004E25C6"/>
    <w:rsid w:val="004F384F"/>
    <w:rsid w:val="00501DD6"/>
    <w:rsid w:val="00507ADB"/>
    <w:rsid w:val="00511C97"/>
    <w:rsid w:val="00512FB8"/>
    <w:rsid w:val="00531474"/>
    <w:rsid w:val="00533977"/>
    <w:rsid w:val="005359CD"/>
    <w:rsid w:val="00553A01"/>
    <w:rsid w:val="00566B4B"/>
    <w:rsid w:val="005918AE"/>
    <w:rsid w:val="00591C8C"/>
    <w:rsid w:val="005A2F24"/>
    <w:rsid w:val="005A7F54"/>
    <w:rsid w:val="005C0380"/>
    <w:rsid w:val="005D078B"/>
    <w:rsid w:val="005D0CB8"/>
    <w:rsid w:val="005F40B5"/>
    <w:rsid w:val="00602363"/>
    <w:rsid w:val="00605AC4"/>
    <w:rsid w:val="0062524F"/>
    <w:rsid w:val="00631C96"/>
    <w:rsid w:val="0063477A"/>
    <w:rsid w:val="00645F3E"/>
    <w:rsid w:val="006528BA"/>
    <w:rsid w:val="0066032B"/>
    <w:rsid w:val="00670EE1"/>
    <w:rsid w:val="0067554A"/>
    <w:rsid w:val="00692E09"/>
    <w:rsid w:val="006A1297"/>
    <w:rsid w:val="006A2250"/>
    <w:rsid w:val="006A5FBC"/>
    <w:rsid w:val="006C3F95"/>
    <w:rsid w:val="006E7399"/>
    <w:rsid w:val="006F1327"/>
    <w:rsid w:val="006F3A1E"/>
    <w:rsid w:val="006F3F28"/>
    <w:rsid w:val="006F6A5D"/>
    <w:rsid w:val="00753914"/>
    <w:rsid w:val="00767BDE"/>
    <w:rsid w:val="00781C95"/>
    <w:rsid w:val="007B47AF"/>
    <w:rsid w:val="007D072F"/>
    <w:rsid w:val="007E1A92"/>
    <w:rsid w:val="007E6A7A"/>
    <w:rsid w:val="007F181B"/>
    <w:rsid w:val="007F6CEE"/>
    <w:rsid w:val="008063DE"/>
    <w:rsid w:val="0081643D"/>
    <w:rsid w:val="00824A5C"/>
    <w:rsid w:val="00836C90"/>
    <w:rsid w:val="00855CE5"/>
    <w:rsid w:val="0087764B"/>
    <w:rsid w:val="008808D7"/>
    <w:rsid w:val="00893725"/>
    <w:rsid w:val="00895372"/>
    <w:rsid w:val="00895715"/>
    <w:rsid w:val="008B0EC9"/>
    <w:rsid w:val="008C3EB0"/>
    <w:rsid w:val="008C77EE"/>
    <w:rsid w:val="008D4415"/>
    <w:rsid w:val="008E0654"/>
    <w:rsid w:val="008E1840"/>
    <w:rsid w:val="00902B99"/>
    <w:rsid w:val="009234AE"/>
    <w:rsid w:val="00924E2A"/>
    <w:rsid w:val="009318F9"/>
    <w:rsid w:val="009340C9"/>
    <w:rsid w:val="009369BE"/>
    <w:rsid w:val="00946798"/>
    <w:rsid w:val="00951B30"/>
    <w:rsid w:val="0097159F"/>
    <w:rsid w:val="00973CBD"/>
    <w:rsid w:val="009828BF"/>
    <w:rsid w:val="00983FD7"/>
    <w:rsid w:val="00991E21"/>
    <w:rsid w:val="009C2EE5"/>
    <w:rsid w:val="009C3116"/>
    <w:rsid w:val="009C5DF0"/>
    <w:rsid w:val="009E0C3F"/>
    <w:rsid w:val="009E6967"/>
    <w:rsid w:val="009F562C"/>
    <w:rsid w:val="009F5772"/>
    <w:rsid w:val="00A07197"/>
    <w:rsid w:val="00A106B3"/>
    <w:rsid w:val="00A22142"/>
    <w:rsid w:val="00A34D48"/>
    <w:rsid w:val="00A4639C"/>
    <w:rsid w:val="00A5132C"/>
    <w:rsid w:val="00A972EB"/>
    <w:rsid w:val="00AA2A6F"/>
    <w:rsid w:val="00AD3D6A"/>
    <w:rsid w:val="00AF02DD"/>
    <w:rsid w:val="00AF6305"/>
    <w:rsid w:val="00B020B6"/>
    <w:rsid w:val="00B03D61"/>
    <w:rsid w:val="00B22971"/>
    <w:rsid w:val="00B25FB1"/>
    <w:rsid w:val="00B262AC"/>
    <w:rsid w:val="00B413F0"/>
    <w:rsid w:val="00B53720"/>
    <w:rsid w:val="00B62F42"/>
    <w:rsid w:val="00B73551"/>
    <w:rsid w:val="00B763E7"/>
    <w:rsid w:val="00B86F35"/>
    <w:rsid w:val="00BA0DB9"/>
    <w:rsid w:val="00BB13A3"/>
    <w:rsid w:val="00BB4C59"/>
    <w:rsid w:val="00BB78A8"/>
    <w:rsid w:val="00BE38D9"/>
    <w:rsid w:val="00BF15BB"/>
    <w:rsid w:val="00C1070B"/>
    <w:rsid w:val="00C11672"/>
    <w:rsid w:val="00C356B7"/>
    <w:rsid w:val="00C53BBF"/>
    <w:rsid w:val="00C53E27"/>
    <w:rsid w:val="00C54C8F"/>
    <w:rsid w:val="00C60F2E"/>
    <w:rsid w:val="00C748FF"/>
    <w:rsid w:val="00C771C6"/>
    <w:rsid w:val="00C81A9A"/>
    <w:rsid w:val="00C927E6"/>
    <w:rsid w:val="00C95479"/>
    <w:rsid w:val="00C966BD"/>
    <w:rsid w:val="00CA0DB7"/>
    <w:rsid w:val="00CB1448"/>
    <w:rsid w:val="00CB16F6"/>
    <w:rsid w:val="00CC2D48"/>
    <w:rsid w:val="00CC42E3"/>
    <w:rsid w:val="00CF785A"/>
    <w:rsid w:val="00D03074"/>
    <w:rsid w:val="00D100CE"/>
    <w:rsid w:val="00D11A0B"/>
    <w:rsid w:val="00D22484"/>
    <w:rsid w:val="00D445B8"/>
    <w:rsid w:val="00D461CC"/>
    <w:rsid w:val="00D50A39"/>
    <w:rsid w:val="00D56D75"/>
    <w:rsid w:val="00D742F3"/>
    <w:rsid w:val="00D854C5"/>
    <w:rsid w:val="00D8668E"/>
    <w:rsid w:val="00D94BB8"/>
    <w:rsid w:val="00D960D8"/>
    <w:rsid w:val="00DA1244"/>
    <w:rsid w:val="00DA6A84"/>
    <w:rsid w:val="00DB18FF"/>
    <w:rsid w:val="00DB50A6"/>
    <w:rsid w:val="00DC1A79"/>
    <w:rsid w:val="00DC2CEF"/>
    <w:rsid w:val="00DC4158"/>
    <w:rsid w:val="00DD01FE"/>
    <w:rsid w:val="00DE49F3"/>
    <w:rsid w:val="00DF0968"/>
    <w:rsid w:val="00DF0B26"/>
    <w:rsid w:val="00DF57FE"/>
    <w:rsid w:val="00E04154"/>
    <w:rsid w:val="00E057E1"/>
    <w:rsid w:val="00E15938"/>
    <w:rsid w:val="00E17C31"/>
    <w:rsid w:val="00E45EAB"/>
    <w:rsid w:val="00E503B9"/>
    <w:rsid w:val="00E515F2"/>
    <w:rsid w:val="00E57F21"/>
    <w:rsid w:val="00E62DC4"/>
    <w:rsid w:val="00E75594"/>
    <w:rsid w:val="00E82D9E"/>
    <w:rsid w:val="00EA347C"/>
    <w:rsid w:val="00EB2768"/>
    <w:rsid w:val="00EB7E86"/>
    <w:rsid w:val="00ED4ACD"/>
    <w:rsid w:val="00EE12C3"/>
    <w:rsid w:val="00EE602E"/>
    <w:rsid w:val="00EF0488"/>
    <w:rsid w:val="00EF0734"/>
    <w:rsid w:val="00F008E3"/>
    <w:rsid w:val="00F06AA8"/>
    <w:rsid w:val="00F17080"/>
    <w:rsid w:val="00F17A07"/>
    <w:rsid w:val="00F26D0B"/>
    <w:rsid w:val="00F36119"/>
    <w:rsid w:val="00F57166"/>
    <w:rsid w:val="00F66307"/>
    <w:rsid w:val="00F71094"/>
    <w:rsid w:val="00F72070"/>
    <w:rsid w:val="00F77C4F"/>
    <w:rsid w:val="00FB156D"/>
    <w:rsid w:val="00FC1B7E"/>
    <w:rsid w:val="00FE6594"/>
    <w:rsid w:val="00FF030B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1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C3116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basedOn w:val="DefaultParagraphFont"/>
    <w:link w:val="BodyText3"/>
    <w:rsid w:val="009C311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F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F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Default">
    <w:name w:val="Default"/>
    <w:rsid w:val="007F6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BB7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8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A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semiHidden/>
    <w:rsid w:val="0049749E"/>
    <w:pPr>
      <w:spacing w:before="100" w:beforeAutospacing="1" w:after="100" w:afterAutospacing="1"/>
    </w:pPr>
    <w:rPr>
      <w:lang w:val="mk-MK" w:eastAsia="mk-M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01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01FE"/>
    <w:rPr>
      <w:rFonts w:ascii="Times New Roman" w:eastAsia="Times New Roman" w:hAnsi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01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DDBC-91FF-4E0F-A828-CFA35191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РАБОТНА ВЕРЗИЈА</vt:lpstr>
    </vt:vector>
  </TitlesOfParts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РАБОТНА ВЕРЗИЈА</dc:title>
  <dc:subject/>
  <dc:creator>Megi</dc:creator>
  <cp:keywords/>
  <cp:lastModifiedBy>Samir</cp:lastModifiedBy>
  <cp:revision>2</cp:revision>
  <cp:lastPrinted>2013-06-28T10:24:00Z</cp:lastPrinted>
  <dcterms:created xsi:type="dcterms:W3CDTF">2013-11-26T20:51:00Z</dcterms:created>
  <dcterms:modified xsi:type="dcterms:W3CDTF">2013-11-26T20:51:00Z</dcterms:modified>
</cp:coreProperties>
</file>