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18" w:rsidRDefault="00844218" w:rsidP="00844218">
      <w:pPr>
        <w:rPr>
          <w:rFonts w:ascii="Arial" w:hAnsi="Arial" w:cs="Arial"/>
          <w:b/>
          <w:u w:val="single"/>
          <w:lang w:val="mk-MK"/>
        </w:rPr>
      </w:pPr>
    </w:p>
    <w:p w:rsidR="00844218" w:rsidRDefault="00844218" w:rsidP="00844218">
      <w:pPr>
        <w:jc w:val="right"/>
        <w:rPr>
          <w:rFonts w:ascii="Arial" w:hAnsi="Arial" w:cs="Arial"/>
          <w:b/>
          <w:u w:val="single"/>
          <w:lang w:val="mk-MK"/>
        </w:rPr>
      </w:pPr>
      <w:r>
        <w:rPr>
          <w:rFonts w:ascii="Arial" w:hAnsi="Arial" w:cs="Arial"/>
          <w:b/>
          <w:u w:val="single"/>
          <w:lang w:val="mk-MK"/>
        </w:rPr>
        <w:t>Образец бр. 2</w:t>
      </w:r>
    </w:p>
    <w:p w:rsidR="00844218" w:rsidRDefault="00844218" w:rsidP="00844218">
      <w:pPr>
        <w:rPr>
          <w:rFonts w:ascii="Arial" w:hAnsi="Arial" w:cs="Arial"/>
          <w:lang w:val="mk-MK"/>
        </w:rPr>
      </w:pPr>
    </w:p>
    <w:p w:rsidR="00844218" w:rsidRDefault="00844218" w:rsidP="00844218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Иницијална проценка на влијание на регулативата</w:t>
      </w:r>
    </w:p>
    <w:p w:rsidR="00844218" w:rsidRDefault="00844218" w:rsidP="00844218">
      <w:pPr>
        <w:jc w:val="center"/>
        <w:rPr>
          <w:rFonts w:ascii="Arial" w:hAnsi="Arial" w:cs="Arial"/>
          <w:lang w:val="mk-MK"/>
        </w:rPr>
      </w:pPr>
    </w:p>
    <w:p w:rsidR="00844218" w:rsidRDefault="00844218" w:rsidP="00844218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lang w:val="mk-MK"/>
        </w:rPr>
      </w:pPr>
    </w:p>
    <w:p w:rsidR="00844218" w:rsidRDefault="00844218" w:rsidP="00844218">
      <w:p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Чекор 1: Опис на проблемите, целите што ќе се остварат со нивно решавање и можните опции за решавање на проблемите</w:t>
      </w:r>
    </w:p>
    <w:p w:rsidR="00844218" w:rsidRDefault="00844218" w:rsidP="00844218">
      <w:pPr>
        <w:pStyle w:val="Default"/>
        <w:ind w:left="360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844218" w:rsidRDefault="00844218" w:rsidP="00844218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Опис на проблемите</w:t>
      </w:r>
    </w:p>
    <w:p w:rsidR="00844218" w:rsidRDefault="00844218" w:rsidP="00844218">
      <w:pPr>
        <w:pStyle w:val="Default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844218" w:rsidRPr="002D7307" w:rsidRDefault="00844218" w:rsidP="00844218">
      <w:pPr>
        <w:ind w:firstLine="720"/>
        <w:jc w:val="both"/>
        <w:rPr>
          <w:lang w:val="mk-MK"/>
        </w:rPr>
      </w:pPr>
      <w:r w:rsidRPr="002D7307">
        <w:rPr>
          <w:rFonts w:ascii="Arial" w:hAnsi="Arial" w:cs="Arial"/>
          <w:lang w:val="mk-MK"/>
        </w:rPr>
        <w:t>Со одредбите од постојниот закон воопшто не е регулирано прашањето за тоа на кој начин се одзема лиценца на управител,</w:t>
      </w:r>
      <w:r w:rsidRPr="002D7307">
        <w:rPr>
          <w:rFonts w:ascii="Arial" w:hAnsi="Arial" w:cs="Arial"/>
          <w:color w:val="000000"/>
          <w:lang w:val="ru-RU"/>
        </w:rPr>
        <w:t xml:space="preserve"> обврските на сопстве</w:t>
      </w:r>
      <w:r w:rsidR="00B31D67">
        <w:rPr>
          <w:rFonts w:ascii="Arial" w:hAnsi="Arial" w:cs="Arial"/>
          <w:color w:val="000000"/>
          <w:lang w:val="ru-RU"/>
        </w:rPr>
        <w:t>ниците во станбените згради при</w:t>
      </w:r>
      <w:r w:rsidRPr="002D7307">
        <w:rPr>
          <w:rFonts w:ascii="Arial" w:hAnsi="Arial" w:cs="Arial"/>
          <w:color w:val="000000"/>
          <w:lang w:val="ru-RU"/>
        </w:rPr>
        <w:t xml:space="preserve"> склучувањето на договори за управување со управител или со заедницата на сопствениц</w:t>
      </w:r>
      <w:r w:rsidR="00B31D67">
        <w:rPr>
          <w:rFonts w:ascii="Arial" w:hAnsi="Arial" w:cs="Arial"/>
          <w:color w:val="000000"/>
          <w:lang w:val="ru-RU"/>
        </w:rPr>
        <w:t>и</w:t>
      </w:r>
      <w:r w:rsidRPr="002D7307">
        <w:rPr>
          <w:rFonts w:ascii="Arial" w:hAnsi="Arial" w:cs="Arial"/>
          <w:color w:val="000000"/>
          <w:lang w:val="ru-RU"/>
        </w:rPr>
        <w:t>, во поглед на случаите на престанување на функцијата претседател на заедница на сопственици, обврските на инспекторите за вршењ</w:t>
      </w:r>
      <w:r>
        <w:rPr>
          <w:rFonts w:ascii="Arial" w:hAnsi="Arial" w:cs="Arial"/>
          <w:color w:val="000000"/>
          <w:lang w:val="ru-RU"/>
        </w:rPr>
        <w:t>ето инспекциски надзор и</w:t>
      </w:r>
      <w:r w:rsidRPr="002D7307">
        <w:rPr>
          <w:rFonts w:ascii="Arial" w:hAnsi="Arial" w:cs="Arial"/>
          <w:color w:val="000000"/>
          <w:lang w:val="ru-RU"/>
        </w:rPr>
        <w:t xml:space="preserve"> решенија за правото на откуп на станови во државна сопственост</w:t>
      </w:r>
      <w:r>
        <w:rPr>
          <w:rFonts w:ascii="Arial" w:hAnsi="Arial" w:cs="Arial"/>
          <w:color w:val="000000"/>
          <w:lang w:val="ru-RU"/>
        </w:rPr>
        <w:t xml:space="preserve"> за лицата кои имаат поднесено барање за пренос на правото на стан и откуп на стан</w:t>
      </w:r>
      <w:r w:rsidRPr="002D7307">
        <w:rPr>
          <w:color w:val="000000"/>
          <w:lang w:val="ru-RU"/>
        </w:rPr>
        <w:t xml:space="preserve">.  </w:t>
      </w:r>
    </w:p>
    <w:p w:rsidR="00844218" w:rsidRDefault="00844218" w:rsidP="00844218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</w:t>
      </w:r>
    </w:p>
    <w:p w:rsidR="00844218" w:rsidRDefault="00844218" w:rsidP="00844218">
      <w:pPr>
        <w:pStyle w:val="Default"/>
        <w:ind w:left="360"/>
        <w:jc w:val="both"/>
        <w:rPr>
          <w:rFonts w:ascii="Arial" w:hAnsi="Arial" w:cs="Arial"/>
          <w:bCs/>
          <w:color w:val="auto"/>
          <w:lang w:val="mk-MK"/>
        </w:rPr>
      </w:pPr>
    </w:p>
    <w:p w:rsidR="00844218" w:rsidRDefault="00844218" w:rsidP="00844218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Опис на целите што се планираат да се постигнат со решавање на проблемите</w:t>
      </w:r>
    </w:p>
    <w:p w:rsidR="00844218" w:rsidRDefault="00844218" w:rsidP="00844218">
      <w:pPr>
        <w:pStyle w:val="Default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844218" w:rsidRDefault="00844218" w:rsidP="00844218">
      <w:pPr>
        <w:pStyle w:val="Default"/>
        <w:ind w:firstLine="36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Со предложените решенија во Предлогот на законот ќе се отстранат воочените недоречености и ќе се доу</w:t>
      </w:r>
      <w:r w:rsidR="00B31D67">
        <w:rPr>
          <w:rFonts w:ascii="Arial" w:hAnsi="Arial" w:cs="Arial"/>
          <w:bCs/>
          <w:color w:val="auto"/>
          <w:lang w:val="mk-MK"/>
        </w:rPr>
        <w:t>р</w:t>
      </w:r>
      <w:r>
        <w:rPr>
          <w:rFonts w:ascii="Arial" w:hAnsi="Arial" w:cs="Arial"/>
          <w:bCs/>
          <w:color w:val="auto"/>
          <w:lang w:val="mk-MK"/>
        </w:rPr>
        <w:t xml:space="preserve">едат прашања кои не се регулирани со законот. </w:t>
      </w:r>
    </w:p>
    <w:p w:rsidR="00844218" w:rsidRDefault="00844218" w:rsidP="00844218">
      <w:pPr>
        <w:pStyle w:val="Default"/>
        <w:ind w:left="360"/>
        <w:jc w:val="both"/>
        <w:rPr>
          <w:rFonts w:ascii="Arial" w:hAnsi="Arial" w:cs="Arial"/>
          <w:bCs/>
          <w:color w:val="auto"/>
          <w:lang w:val="mk-MK"/>
        </w:rPr>
      </w:pPr>
    </w:p>
    <w:p w:rsidR="00844218" w:rsidRDefault="00844218" w:rsidP="00844218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Идентификација на можни решенија (опции)</w:t>
      </w:r>
    </w:p>
    <w:p w:rsidR="00844218" w:rsidRDefault="00844218" w:rsidP="00844218">
      <w:pPr>
        <w:pStyle w:val="Default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844218" w:rsidRDefault="00844218" w:rsidP="00844218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 xml:space="preserve">Опција 1: </w:t>
      </w:r>
    </w:p>
    <w:p w:rsidR="00844218" w:rsidRDefault="00844218" w:rsidP="00844218">
      <w:pPr>
        <w:pStyle w:val="Default"/>
        <w:ind w:left="36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lang w:val="mk-MK"/>
        </w:rPr>
        <w:t xml:space="preserve"> </w:t>
      </w:r>
    </w:p>
    <w:p w:rsidR="00844218" w:rsidRDefault="00844218" w:rsidP="00844218">
      <w:pPr>
        <w:autoSpaceDE w:val="0"/>
        <w:autoSpaceDN w:val="0"/>
        <w:adjustRightInd w:val="0"/>
        <w:spacing w:line="240" w:lineRule="atLeast"/>
        <w:ind w:left="540" w:hanging="54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Чекор 2: Идентификација на трошоци, придобивки и влијанија </w:t>
      </w:r>
    </w:p>
    <w:p w:rsidR="00844218" w:rsidRDefault="00844218" w:rsidP="00844218">
      <w:pPr>
        <w:pStyle w:val="Default"/>
        <w:ind w:left="1080"/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Предложено решение (опција):</w:t>
      </w:r>
    </w:p>
    <w:p w:rsidR="00844218" w:rsidRDefault="00844218" w:rsidP="00844218">
      <w:pPr>
        <w:pStyle w:val="Default"/>
        <w:ind w:left="1080"/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Опис:</w:t>
      </w:r>
    </w:p>
    <w:p w:rsidR="00844218" w:rsidRDefault="00844218" w:rsidP="00844218">
      <w:pPr>
        <w:pStyle w:val="Default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844218" w:rsidRDefault="00844218" w:rsidP="00844218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Со Предлогот на законот не се идентификувани трошоци.</w:t>
      </w:r>
    </w:p>
    <w:p w:rsidR="00844218" w:rsidRDefault="00844218" w:rsidP="00844218">
      <w:pPr>
        <w:pStyle w:val="Default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844218" w:rsidRDefault="00844218" w:rsidP="00844218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 xml:space="preserve">Трошоци </w:t>
      </w:r>
    </w:p>
    <w:p w:rsidR="00844218" w:rsidRDefault="00844218" w:rsidP="00844218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</w:p>
    <w:p w:rsidR="00844218" w:rsidRDefault="00844218" w:rsidP="00844218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Дали опцијата предвидува воведување на нови формалности во смисла на обврска за правните или физичките лица да обезбедат уверенија, пријави, решенија, одобренија, овластувања, согласности, сертификати, дозволи, барања, изјави и други обрасци? Ако да, наведи ги формалностите.</w:t>
      </w:r>
    </w:p>
    <w:p w:rsidR="00844218" w:rsidRDefault="00844218" w:rsidP="00844218">
      <w:pPr>
        <w:pStyle w:val="Default"/>
        <w:ind w:left="72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ДА</w:t>
      </w:r>
    </w:p>
    <w:p w:rsidR="00844218" w:rsidRDefault="00844218" w:rsidP="00844218">
      <w:pPr>
        <w:pStyle w:val="Default"/>
        <w:ind w:left="720"/>
        <w:jc w:val="both"/>
        <w:rPr>
          <w:rFonts w:ascii="Arial" w:hAnsi="Arial" w:cs="Arial"/>
          <w:bCs/>
          <w:color w:val="auto"/>
          <w:lang w:val="mk-MK"/>
        </w:rPr>
      </w:pPr>
    </w:p>
    <w:p w:rsidR="00844218" w:rsidRDefault="00844218" w:rsidP="00844218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Дали опцијата ќе предизвика иницијални трошоци за министерствата, другите органи на државната управа? Ако да, образложи ги трошоците.</w:t>
      </w:r>
    </w:p>
    <w:p w:rsidR="00844218" w:rsidRDefault="00844218" w:rsidP="00844218">
      <w:pPr>
        <w:pStyle w:val="Default"/>
        <w:ind w:left="72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НЕ</w:t>
      </w:r>
    </w:p>
    <w:p w:rsidR="00844218" w:rsidRDefault="00844218" w:rsidP="00844218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</w:p>
    <w:p w:rsidR="00844218" w:rsidRDefault="00844218" w:rsidP="00844218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Дали опцијата ќе предизвика континуирани трошоци за министерствата и другите органи на државната управа. Ако да, образложи ги трошоците.</w:t>
      </w:r>
    </w:p>
    <w:p w:rsidR="00844218" w:rsidRDefault="00844218" w:rsidP="00844218">
      <w:pPr>
        <w:pStyle w:val="Default"/>
        <w:ind w:left="72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НЕ</w:t>
      </w:r>
    </w:p>
    <w:p w:rsidR="00844218" w:rsidRDefault="00844218" w:rsidP="00844218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</w:p>
    <w:p w:rsidR="00844218" w:rsidRDefault="00844218" w:rsidP="00844218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lastRenderedPageBreak/>
        <w:t>Дали опцијата ќе предизвика иницијални трошоци за правните или физичките лица? Ако да, образложи ги трошоците.</w:t>
      </w:r>
    </w:p>
    <w:p w:rsidR="00844218" w:rsidRDefault="00844218" w:rsidP="00844218">
      <w:pPr>
        <w:pStyle w:val="Default"/>
        <w:ind w:left="72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НЕ</w:t>
      </w:r>
    </w:p>
    <w:p w:rsidR="00844218" w:rsidRDefault="00844218" w:rsidP="00844218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</w:p>
    <w:p w:rsidR="00844218" w:rsidRDefault="00844218" w:rsidP="00844218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Дали опцијата ќе предизвика оперативни трошоци за правните или физичките лица. Ако да, образложи ги трошоците.</w:t>
      </w:r>
    </w:p>
    <w:p w:rsidR="00844218" w:rsidRDefault="00844218" w:rsidP="00844218">
      <w:pPr>
        <w:pStyle w:val="Default"/>
        <w:ind w:left="72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НЕ</w:t>
      </w:r>
    </w:p>
    <w:p w:rsidR="00844218" w:rsidRDefault="00844218" w:rsidP="00844218">
      <w:pPr>
        <w:pStyle w:val="Default"/>
        <w:ind w:left="1080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844218" w:rsidRDefault="00844218" w:rsidP="00844218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Придобивки</w:t>
      </w:r>
    </w:p>
    <w:p w:rsidR="00844218" w:rsidRDefault="00844218" w:rsidP="00844218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</w:p>
    <w:p w:rsidR="00844218" w:rsidRDefault="00844218" w:rsidP="00844218">
      <w:pPr>
        <w:pStyle w:val="Default"/>
        <w:ind w:left="360"/>
        <w:jc w:val="both"/>
        <w:rPr>
          <w:rFonts w:ascii="Arial" w:hAnsi="Arial" w:cs="Arial"/>
          <w:bCs/>
          <w:color w:val="auto"/>
          <w:lang w:val="ru-RU"/>
        </w:rPr>
      </w:pPr>
      <w:r>
        <w:rPr>
          <w:rFonts w:ascii="Arial" w:hAnsi="Arial" w:cs="Arial"/>
          <w:bCs/>
          <w:color w:val="auto"/>
          <w:lang w:val="mk-MK"/>
        </w:rPr>
        <w:t>- Опис и опсег на финансиските придобивки за засегнати страни</w:t>
      </w:r>
    </w:p>
    <w:p w:rsidR="00844218" w:rsidRDefault="00844218" w:rsidP="00844218">
      <w:pPr>
        <w:pStyle w:val="Default"/>
        <w:ind w:left="360"/>
        <w:jc w:val="both"/>
        <w:rPr>
          <w:rFonts w:ascii="Arial" w:hAnsi="Arial" w:cs="Arial"/>
          <w:bCs/>
          <w:color w:val="auto"/>
          <w:lang w:val="ru-RU"/>
        </w:rPr>
      </w:pPr>
      <w:r>
        <w:rPr>
          <w:rFonts w:ascii="Arial" w:hAnsi="Arial" w:cs="Arial"/>
          <w:bCs/>
          <w:color w:val="auto"/>
          <w:lang w:val="mk-MK"/>
        </w:rPr>
        <w:t>- Други нефинансиски придобивки за засегнати страни</w:t>
      </w:r>
    </w:p>
    <w:p w:rsidR="00844218" w:rsidRDefault="00844218" w:rsidP="00844218">
      <w:pPr>
        <w:rPr>
          <w:rFonts w:ascii="Arial" w:hAnsi="Arial" w:cs="Arial"/>
          <w:u w:val="single"/>
          <w:lang w:val="mk-MK"/>
        </w:rPr>
      </w:pPr>
    </w:p>
    <w:p w:rsidR="00844218" w:rsidRDefault="00844218" w:rsidP="00844218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Ризици и претпоставки</w:t>
      </w:r>
    </w:p>
    <w:p w:rsidR="00844218" w:rsidRDefault="00844218" w:rsidP="00844218">
      <w:pPr>
        <w:pStyle w:val="Default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844218" w:rsidRDefault="00844218" w:rsidP="00844218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Останати влијанија</w:t>
      </w:r>
    </w:p>
    <w:p w:rsidR="00844218" w:rsidRDefault="00844218" w:rsidP="00844218">
      <w:pPr>
        <w:pStyle w:val="Default"/>
        <w:ind w:left="360"/>
        <w:jc w:val="both"/>
        <w:rPr>
          <w:rFonts w:ascii="Arial" w:hAnsi="Arial" w:cs="Arial"/>
          <w:b/>
          <w:bCs/>
          <w:color w:val="auto"/>
          <w:lang w:val="mk-M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25"/>
        <w:gridCol w:w="2212"/>
        <w:gridCol w:w="2305"/>
      </w:tblGrid>
      <w:tr w:rsidR="00844218" w:rsidTr="000615B4">
        <w:trPr>
          <w:cantSplit/>
          <w:tblHeader/>
        </w:trPr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pStyle w:val="Default"/>
              <w:jc w:val="both"/>
              <w:rPr>
                <w:rFonts w:ascii="Arial" w:hAnsi="Arial" w:cs="Arial"/>
                <w:b/>
                <w:color w:val="auto"/>
                <w:lang w:val="mk-MK"/>
              </w:rPr>
            </w:pPr>
            <w:r>
              <w:rPr>
                <w:rFonts w:ascii="Arial" w:hAnsi="Arial" w:cs="Arial"/>
                <w:b/>
                <w:color w:val="auto"/>
                <w:lang w:val="mk-MK"/>
              </w:rPr>
              <w:t>Тип на влијание проценето во проценка на влијание на регулативата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pStyle w:val="Default"/>
              <w:rPr>
                <w:rFonts w:ascii="Arial" w:hAnsi="Arial" w:cs="Arial"/>
                <w:b/>
                <w:color w:val="auto"/>
                <w:lang w:val="mk-MK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pStyle w:val="Default"/>
              <w:rPr>
                <w:rFonts w:ascii="Arial" w:hAnsi="Arial" w:cs="Arial"/>
                <w:b/>
                <w:color w:val="auto"/>
                <w:lang w:val="mk-MK"/>
              </w:rPr>
            </w:pPr>
            <w:r>
              <w:rPr>
                <w:rFonts w:ascii="Arial" w:hAnsi="Arial" w:cs="Arial"/>
                <w:b/>
                <w:color w:val="auto"/>
                <w:lang w:val="mk-MK"/>
              </w:rPr>
              <w:t>Анализи приложени во прилог</w:t>
            </w:r>
          </w:p>
        </w:tc>
      </w:tr>
      <w:tr w:rsidR="00844218" w:rsidTr="000615B4">
        <w:trPr>
          <w:cantSplit/>
        </w:trPr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pStyle w:val="Default"/>
              <w:rPr>
                <w:rFonts w:ascii="Arial" w:hAnsi="Arial" w:cs="Arial"/>
                <w:color w:val="auto"/>
                <w:lang w:val="mk-MK"/>
              </w:rPr>
            </w:pPr>
            <w:r>
              <w:rPr>
                <w:rFonts w:ascii="Arial" w:hAnsi="Arial" w:cs="Arial"/>
                <w:color w:val="auto"/>
                <w:lang w:val="mk-MK"/>
              </w:rPr>
              <w:t>Влијание врз националната конкурентност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  <w:tr w:rsidR="00844218" w:rsidTr="000615B4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pStyle w:val="Default"/>
              <w:rPr>
                <w:rFonts w:ascii="Arial" w:hAnsi="Arial" w:cs="Arial"/>
                <w:color w:val="auto"/>
                <w:lang w:val="mk-MK"/>
              </w:rPr>
            </w:pPr>
            <w:r>
              <w:rPr>
                <w:rFonts w:ascii="Arial" w:hAnsi="Arial" w:cs="Arial"/>
                <w:color w:val="auto"/>
                <w:lang w:val="mk-MK"/>
              </w:rPr>
              <w:t>Влијание врз социјално исклучените и ранливи групи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  <w:tr w:rsidR="00844218" w:rsidTr="000615B4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pStyle w:val="Default"/>
              <w:rPr>
                <w:rFonts w:ascii="Arial" w:hAnsi="Arial" w:cs="Arial"/>
                <w:color w:val="auto"/>
                <w:lang w:val="mk-MK"/>
              </w:rPr>
            </w:pPr>
            <w:r>
              <w:rPr>
                <w:rFonts w:ascii="Arial" w:hAnsi="Arial" w:cs="Arial"/>
                <w:color w:val="auto"/>
                <w:lang w:val="mk-MK"/>
              </w:rPr>
              <w:t>Влијание и ефекти на регулативата врз родовите аспекти и еднаквоста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  <w:tr w:rsidR="00844218" w:rsidTr="000615B4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pStyle w:val="Default"/>
              <w:rPr>
                <w:rFonts w:ascii="Arial" w:hAnsi="Arial" w:cs="Arial"/>
                <w:color w:val="auto"/>
                <w:lang w:val="mk-MK"/>
              </w:rPr>
            </w:pPr>
            <w:r>
              <w:rPr>
                <w:rFonts w:ascii="Arial" w:hAnsi="Arial" w:cs="Arial"/>
                <w:color w:val="auto"/>
                <w:lang w:val="mk-MK"/>
              </w:rPr>
              <w:t>Влијание врз животната средина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  <w:tr w:rsidR="00844218" w:rsidTr="000615B4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pStyle w:val="Default"/>
              <w:rPr>
                <w:rFonts w:ascii="Arial" w:hAnsi="Arial" w:cs="Arial"/>
                <w:color w:val="auto"/>
                <w:lang w:val="mk-MK"/>
              </w:rPr>
            </w:pPr>
            <w:r>
              <w:rPr>
                <w:rFonts w:ascii="Arial" w:hAnsi="Arial" w:cs="Arial"/>
                <w:bCs/>
                <w:color w:val="auto"/>
                <w:lang w:val="mk-MK"/>
              </w:rPr>
              <w:t>Влијание/значителна политичка промена на пазарната економија вклучувајќи испитување на влијанието врз потрошувачите и конкурентноста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  <w:tr w:rsidR="00844218" w:rsidTr="000615B4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pStyle w:val="BodyText"/>
              <w:ind w:left="252" w:hanging="252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bCs w:val="0"/>
                <w:lang w:val="mk-MK"/>
              </w:rPr>
              <w:t xml:space="preserve">Влијание врз правата на граѓаните 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 xml:space="preserve"> 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  <w:tr w:rsidR="00844218" w:rsidTr="000615B4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pStyle w:val="Default"/>
              <w:rPr>
                <w:rFonts w:ascii="Arial" w:hAnsi="Arial" w:cs="Arial"/>
                <w:color w:val="auto"/>
                <w:lang w:val="mk-MK"/>
              </w:rPr>
            </w:pPr>
            <w:r>
              <w:rPr>
                <w:rFonts w:ascii="Arial" w:hAnsi="Arial" w:cs="Arial"/>
                <w:bCs/>
                <w:color w:val="auto"/>
                <w:lang w:val="mk-MK"/>
              </w:rPr>
              <w:t>Дали предложените решенија вклучуваат значителни тешкотии за усогласување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</w:tbl>
    <w:p w:rsidR="00844218" w:rsidRDefault="00844218" w:rsidP="00844218">
      <w:pPr>
        <w:rPr>
          <w:rFonts w:ascii="Arial" w:hAnsi="Arial" w:cs="Arial"/>
          <w:szCs w:val="20"/>
          <w:lang w:val="mk-MK" w:eastAsia="nl-NL"/>
        </w:rPr>
      </w:pPr>
    </w:p>
    <w:p w:rsidR="00844218" w:rsidRDefault="00844218" w:rsidP="00844218">
      <w:pPr>
        <w:rPr>
          <w:rFonts w:ascii="Arial" w:hAnsi="Arial" w:cs="Arial"/>
          <w:lang w:val="mk-MK"/>
        </w:rPr>
      </w:pPr>
    </w:p>
    <w:p w:rsidR="00844218" w:rsidRDefault="00844218" w:rsidP="00844218">
      <w:pPr>
        <w:rPr>
          <w:rFonts w:ascii="Arial" w:hAnsi="Arial" w:cs="Arial"/>
          <w:lang w:val="mk-MK"/>
        </w:rPr>
      </w:pPr>
    </w:p>
    <w:p w:rsidR="00844218" w:rsidRDefault="00844218" w:rsidP="00844218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Чекор 3: Консултации</w:t>
      </w:r>
    </w:p>
    <w:p w:rsidR="00844218" w:rsidRDefault="00844218" w:rsidP="00844218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Законот ќе биде даден на мислење на Регулаторната комисија за домување, Секретаријат за законодавство, Министерството за правда, Министерството за финансии, Министерство за труд и социјална политика. </w:t>
      </w:r>
    </w:p>
    <w:p w:rsidR="00844218" w:rsidRDefault="00844218" w:rsidP="00844218">
      <w:pPr>
        <w:jc w:val="both"/>
        <w:rPr>
          <w:rFonts w:ascii="Arial" w:hAnsi="Arial" w:cs="Arial"/>
          <w:lang w:val="mk-MK"/>
        </w:rPr>
      </w:pPr>
    </w:p>
    <w:p w:rsidR="00844218" w:rsidRDefault="00844218" w:rsidP="00844218">
      <w:pPr>
        <w:jc w:val="both"/>
        <w:rPr>
          <w:rFonts w:ascii="Arial" w:hAnsi="Arial" w:cs="Arial"/>
          <w:u w:val="single"/>
          <w:lang w:val="mk-MK"/>
        </w:rPr>
      </w:pPr>
    </w:p>
    <w:p w:rsidR="00844218" w:rsidRDefault="00844218" w:rsidP="00844218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</w:p>
    <w:p w:rsidR="00844218" w:rsidRDefault="00844218" w:rsidP="00844218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</w:p>
    <w:p w:rsidR="00844218" w:rsidRDefault="00844218" w:rsidP="00844218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lastRenderedPageBreak/>
        <w:t>Резиме на иницијалната</w:t>
      </w:r>
    </w:p>
    <w:p w:rsidR="00844218" w:rsidRDefault="00844218" w:rsidP="00844218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проценка на влијание на регулативата</w:t>
      </w:r>
    </w:p>
    <w:p w:rsidR="00844218" w:rsidRDefault="00844218" w:rsidP="00844218">
      <w:pPr>
        <w:rPr>
          <w:rFonts w:ascii="Arial" w:hAnsi="Arial" w:cs="Arial"/>
          <w:lang w:val="mk-MK"/>
        </w:rPr>
      </w:pPr>
    </w:p>
    <w:p w:rsidR="00844218" w:rsidRDefault="00844218" w:rsidP="00844218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 xml:space="preserve">Краток осврт на преферираното решение/опција: </w:t>
      </w:r>
    </w:p>
    <w:p w:rsidR="00844218" w:rsidRDefault="00844218" w:rsidP="00844218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 xml:space="preserve">Имиња и презимиња на лицата одговорни за подготовка на иницијалната проценка на влијанието на регулативата и </w:t>
      </w:r>
      <w:r>
        <w:rPr>
          <w:rFonts w:ascii="Arial" w:hAnsi="Arial" w:cs="Arial"/>
          <w:b/>
          <w:lang w:val="mk-MK"/>
        </w:rPr>
        <w:t>предлог законот</w:t>
      </w:r>
      <w:r>
        <w:rPr>
          <w:rFonts w:ascii="Arial" w:hAnsi="Arial" w:cs="Arial"/>
          <w:b/>
          <w:bCs/>
          <w:lang w:val="mk-MK"/>
        </w:rPr>
        <w:t>:</w:t>
      </w:r>
    </w:p>
    <w:p w:rsidR="00844218" w:rsidRDefault="00844218" w:rsidP="00844218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 xml:space="preserve">Повереници на Владата на Република Македонија кои ќе се вклучат во презентирање на </w:t>
      </w:r>
      <w:r>
        <w:rPr>
          <w:rFonts w:ascii="Arial" w:hAnsi="Arial" w:cs="Arial"/>
          <w:b/>
          <w:lang w:val="mk-MK"/>
        </w:rPr>
        <w:t xml:space="preserve">предлог законот </w:t>
      </w:r>
      <w:r>
        <w:rPr>
          <w:rFonts w:ascii="Arial" w:hAnsi="Arial" w:cs="Arial"/>
          <w:b/>
          <w:bCs/>
          <w:lang w:val="mk-MK"/>
        </w:rPr>
        <w:t>во Собранието на Република Македонија:</w:t>
      </w:r>
    </w:p>
    <w:p w:rsidR="00844218" w:rsidRDefault="00844218" w:rsidP="00844218">
      <w:pPr>
        <w:autoSpaceDE w:val="0"/>
        <w:autoSpaceDN w:val="0"/>
        <w:adjustRightInd w:val="0"/>
        <w:spacing w:line="240" w:lineRule="atLeast"/>
        <w:ind w:left="1260" w:hanging="540"/>
        <w:jc w:val="center"/>
        <w:rPr>
          <w:rFonts w:ascii="Arial" w:hAnsi="Arial" w:cs="Arial"/>
          <w:iCs/>
          <w:lang w:val="mk-MK"/>
        </w:rPr>
      </w:pPr>
      <w:r>
        <w:rPr>
          <w:rFonts w:ascii="Arial" w:hAnsi="Arial" w:cs="Arial"/>
          <w:b/>
          <w:lang w:val="mk-MK"/>
        </w:rPr>
        <w:t>Изјава од министерот</w:t>
      </w:r>
    </w:p>
    <w:p w:rsidR="00844218" w:rsidRDefault="00844218" w:rsidP="00844218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за иницијалната проценка на влијание на регулативата</w:t>
      </w:r>
    </w:p>
    <w:p w:rsidR="00844218" w:rsidRDefault="00844218" w:rsidP="00844218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bCs/>
          <w:lang w:val="mk-MK"/>
        </w:rPr>
      </w:pPr>
    </w:p>
    <w:p w:rsidR="00844218" w:rsidRDefault="00844218" w:rsidP="00844218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Изјавувам дека предложениот материјал за иницијална проценка на влијанието на регулативата/</w:t>
      </w:r>
      <w:r>
        <w:rPr>
          <w:rFonts w:ascii="Arial" w:hAnsi="Arial" w:cs="Arial"/>
          <w:lang w:val="mk-MK"/>
        </w:rPr>
        <w:t xml:space="preserve"> предлог закон</w:t>
      </w:r>
    </w:p>
    <w:p w:rsidR="00844218" w:rsidRDefault="00844218" w:rsidP="00844218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bCs/>
          <w:lang w:val="mk-MK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1"/>
        <w:gridCol w:w="7088"/>
      </w:tblGrid>
      <w:tr w:rsidR="00844218" w:rsidTr="000615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врз Буџетот на Република Македонија </w:t>
            </w:r>
          </w:p>
        </w:tc>
      </w:tr>
      <w:tr w:rsidR="00844218" w:rsidTr="000615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 Има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врз усогласеноста со законодавството на Европска Унија.</w:t>
            </w:r>
          </w:p>
        </w:tc>
      </w:tr>
      <w:tr w:rsidR="00844218" w:rsidTr="000615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врз постапките или работењето на јавната администрација / врз судството при работа со странки (правни и физички лица) или задолжување на странките од јавната администрација со дополнителен административен товар.</w:t>
            </w:r>
          </w:p>
        </w:tc>
      </w:tr>
      <w:tr w:rsidR="00844218" w:rsidTr="000615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врз економијата и врз обемот на државна помош.</w:t>
            </w:r>
          </w:p>
        </w:tc>
      </w:tr>
      <w:tr w:rsidR="00844218" w:rsidTr="000615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i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врз животната средина.</w:t>
            </w:r>
          </w:p>
        </w:tc>
      </w:tr>
      <w:tr w:rsidR="00844218" w:rsidTr="000615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6.)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i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врз социјалната положба на граѓаните.</w:t>
            </w:r>
          </w:p>
        </w:tc>
      </w:tr>
    </w:tbl>
    <w:p w:rsidR="00844218" w:rsidRDefault="00844218" w:rsidP="00844218">
      <w:pPr>
        <w:autoSpaceDE w:val="0"/>
        <w:autoSpaceDN w:val="0"/>
        <w:adjustRightInd w:val="0"/>
        <w:ind w:right="-470"/>
        <w:jc w:val="both"/>
        <w:rPr>
          <w:rFonts w:ascii="Arial" w:hAnsi="Arial" w:cs="Arial"/>
          <w:bCs/>
          <w:lang w:val="mk-MK" w:eastAsia="nl-NL"/>
        </w:rPr>
      </w:pPr>
    </w:p>
    <w:tbl>
      <w:tblPr>
        <w:tblW w:w="91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7539"/>
        <w:gridCol w:w="1095"/>
      </w:tblGrid>
      <w:tr w:rsidR="00844218" w:rsidTr="000615B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7.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Направено е претходно објавување на текстот на </w:t>
            </w:r>
            <w:r>
              <w:rPr>
                <w:rFonts w:ascii="Arial" w:hAnsi="Arial" w:cs="Arial"/>
                <w:lang w:val="mk-MK"/>
              </w:rPr>
              <w:t>предлогот за донесување на закон</w:t>
            </w:r>
            <w:r>
              <w:rPr>
                <w:rFonts w:ascii="Arial" w:hAnsi="Arial" w:cs="Arial"/>
                <w:i/>
                <w:lang w:val="mk-MK"/>
              </w:rPr>
              <w:t xml:space="preserve"> </w:t>
            </w:r>
            <w:r>
              <w:rPr>
                <w:rFonts w:ascii="Arial" w:hAnsi="Arial" w:cs="Arial"/>
                <w:bCs/>
                <w:lang w:val="mk-MK"/>
              </w:rPr>
              <w:t xml:space="preserve">во Единствениот електронски регистар на прописи и јавно се спроведени консултации со заинтересирани страни. </w:t>
            </w:r>
          </w:p>
          <w:p w:rsidR="00844218" w:rsidRDefault="00844218" w:rsidP="000615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/>
              </w:rPr>
            </w:pPr>
          </w:p>
          <w:p w:rsidR="00844218" w:rsidRDefault="00844218" w:rsidP="000615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Датум на објавување:</w:t>
            </w:r>
          </w:p>
          <w:p w:rsidR="00844218" w:rsidRDefault="00844218" w:rsidP="000615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Вклучени организации и претставници:</w:t>
            </w:r>
          </w:p>
          <w:p w:rsidR="00844218" w:rsidRDefault="00844218" w:rsidP="000615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Свое мислење дадоа следниве организации: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ind w:right="-47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ДА</w:t>
            </w:r>
          </w:p>
        </w:tc>
      </w:tr>
      <w:tr w:rsidR="00844218" w:rsidTr="000615B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8.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Сите забелешки и предлози од заинтересираните страни се земени во предвид.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ind w:right="-470"/>
              <w:jc w:val="both"/>
              <w:rPr>
                <w:rFonts w:ascii="Arial" w:hAnsi="Arial" w:cs="Arial"/>
                <w:bCs/>
                <w:lang w:val="mk-MK" w:eastAsia="nl-NL"/>
              </w:rPr>
            </w:pPr>
          </w:p>
        </w:tc>
      </w:tr>
      <w:tr w:rsidR="00844218" w:rsidTr="000615B4">
        <w:trPr>
          <w:trHeight w:val="34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9.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Предлог законот</w:t>
            </w:r>
            <w:r>
              <w:rPr>
                <w:rFonts w:ascii="Arial" w:hAnsi="Arial" w:cs="Arial"/>
                <w:bCs/>
                <w:lang w:val="mk-MK"/>
              </w:rPr>
              <w:t xml:space="preserve"> е лекториран.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ind w:right="-47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НЕ</w:t>
            </w:r>
          </w:p>
        </w:tc>
      </w:tr>
      <w:tr w:rsidR="00844218" w:rsidTr="000615B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10.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Спроведени се меѓуресорски консултации. </w:t>
            </w:r>
          </w:p>
          <w:p w:rsidR="00844218" w:rsidRDefault="00844218" w:rsidP="000615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ind w:right="-47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НЕ</w:t>
            </w:r>
          </w:p>
        </w:tc>
      </w:tr>
      <w:tr w:rsidR="00844218" w:rsidTr="000615B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11.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Дали </w:t>
            </w:r>
            <w:r>
              <w:rPr>
                <w:rFonts w:ascii="Arial" w:hAnsi="Arial" w:cs="Arial"/>
                <w:lang w:val="mk-MK"/>
              </w:rPr>
              <w:t>предлог законот</w:t>
            </w:r>
            <w:r>
              <w:rPr>
                <w:rFonts w:ascii="Arial" w:hAnsi="Arial" w:cs="Arial"/>
                <w:i/>
                <w:lang w:val="mk-MK"/>
              </w:rPr>
              <w:t xml:space="preserve"> </w:t>
            </w:r>
            <w:r>
              <w:rPr>
                <w:rFonts w:ascii="Arial" w:hAnsi="Arial" w:cs="Arial"/>
                <w:bCs/>
                <w:lang w:val="mk-MK"/>
              </w:rPr>
              <w:t>предвидува управна постапка?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ind w:right="-47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ДА</w:t>
            </w:r>
          </w:p>
        </w:tc>
      </w:tr>
      <w:tr w:rsidR="00844218" w:rsidTr="000615B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12.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Доколку </w:t>
            </w:r>
            <w:r>
              <w:rPr>
                <w:rFonts w:ascii="Arial" w:hAnsi="Arial" w:cs="Arial"/>
                <w:lang w:val="mk-MK"/>
              </w:rPr>
              <w:t>предлог законот</w:t>
            </w:r>
            <w:r>
              <w:rPr>
                <w:rFonts w:ascii="Arial" w:hAnsi="Arial" w:cs="Arial"/>
                <w:bCs/>
                <w:lang w:val="mk-MK"/>
              </w:rPr>
              <w:t xml:space="preserve"> предвидува управна постапка, дали </w:t>
            </w:r>
            <w:r>
              <w:rPr>
                <w:rFonts w:ascii="Arial" w:hAnsi="Arial" w:cs="Arial"/>
                <w:bCs/>
                <w:lang w:val="mk-MK"/>
              </w:rPr>
              <w:lastRenderedPageBreak/>
              <w:t>може да се вгради начелото “молчењето значи одобрување“?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18" w:rsidRDefault="00844218" w:rsidP="000615B4">
            <w:pPr>
              <w:autoSpaceDE w:val="0"/>
              <w:autoSpaceDN w:val="0"/>
              <w:adjustRightInd w:val="0"/>
              <w:ind w:right="-47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lastRenderedPageBreak/>
              <w:t xml:space="preserve">Нема </w:t>
            </w:r>
            <w:r>
              <w:rPr>
                <w:rFonts w:ascii="Arial" w:hAnsi="Arial" w:cs="Arial"/>
                <w:bCs/>
                <w:lang w:val="mk-MK"/>
              </w:rPr>
              <w:lastRenderedPageBreak/>
              <w:t>потреба</w:t>
            </w:r>
          </w:p>
        </w:tc>
      </w:tr>
    </w:tbl>
    <w:p w:rsidR="00844218" w:rsidRDefault="00844218" w:rsidP="00844218">
      <w:pPr>
        <w:autoSpaceDE w:val="0"/>
        <w:autoSpaceDN w:val="0"/>
        <w:adjustRightInd w:val="0"/>
        <w:ind w:right="-290"/>
        <w:jc w:val="both"/>
        <w:rPr>
          <w:rFonts w:ascii="Arial" w:hAnsi="Arial" w:cs="Arial"/>
          <w:bCs/>
          <w:lang w:val="mk-MK" w:eastAsia="nl-NL"/>
        </w:rPr>
      </w:pPr>
    </w:p>
    <w:p w:rsidR="00844218" w:rsidRDefault="00844218" w:rsidP="00844218">
      <w:pPr>
        <w:autoSpaceDE w:val="0"/>
        <w:autoSpaceDN w:val="0"/>
        <w:adjustRightInd w:val="0"/>
        <w:ind w:left="540" w:right="-290"/>
        <w:jc w:val="both"/>
        <w:rPr>
          <w:rFonts w:ascii="Arial" w:hAnsi="Arial" w:cs="Arial"/>
          <w:bCs/>
          <w:lang w:val="mk-MK"/>
        </w:rPr>
      </w:pPr>
    </w:p>
    <w:p w:rsidR="00844218" w:rsidRDefault="00844218" w:rsidP="0084421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Изјава од министерот</w:t>
      </w:r>
    </w:p>
    <w:p w:rsidR="00844218" w:rsidRDefault="00844218" w:rsidP="0084421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Јас, Миле Јанакиески</w:t>
      </w:r>
      <w:r>
        <w:rPr>
          <w:rFonts w:ascii="Arial" w:hAnsi="Arial" w:cs="Arial"/>
          <w:i/>
          <w:lang w:val="mk-MK"/>
        </w:rPr>
        <w:t xml:space="preserve">, </w:t>
      </w:r>
      <w:r>
        <w:rPr>
          <w:rFonts w:ascii="Arial" w:hAnsi="Arial" w:cs="Arial"/>
          <w:lang w:val="mk-MK"/>
        </w:rPr>
        <w:t xml:space="preserve">изјавувам дека ја проучив Иницијалната проценка на влијанието на регулативата и сметам дека дава реален преглед на очекуваните придобивки и потребните трошоци врзани со секоја од идентификуваните опции за решавање на проблемот. </w:t>
      </w:r>
    </w:p>
    <w:p w:rsidR="00844218" w:rsidRDefault="00844218" w:rsidP="0084421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rPr>
          <w:rFonts w:ascii="Arial" w:hAnsi="Arial" w:cs="Arial"/>
          <w:lang w:val="mk-MK"/>
        </w:rPr>
      </w:pPr>
    </w:p>
    <w:p w:rsidR="00844218" w:rsidRDefault="00844218" w:rsidP="0084421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Потпис на министерот:</w:t>
      </w:r>
    </w:p>
    <w:p w:rsidR="00844218" w:rsidRDefault="00844218" w:rsidP="0084421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................................................................................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Датум:14.09.2012 год.</w:t>
      </w:r>
    </w:p>
    <w:p w:rsidR="00844218" w:rsidRDefault="00844218" w:rsidP="00844218">
      <w:pPr>
        <w:jc w:val="center"/>
        <w:rPr>
          <w:rFonts w:ascii="Arial" w:hAnsi="Arial" w:cs="Arial"/>
          <w:b/>
          <w:lang w:val="mk-MK"/>
        </w:rPr>
      </w:pPr>
    </w:p>
    <w:p w:rsidR="00844218" w:rsidRDefault="00844218" w:rsidP="00844218">
      <w:pPr>
        <w:rPr>
          <w:rFonts w:ascii="Arial" w:hAnsi="Arial" w:cs="Arial"/>
          <w:b/>
          <w:u w:val="single"/>
          <w:lang w:val="mk-MK"/>
        </w:rPr>
      </w:pPr>
    </w:p>
    <w:p w:rsidR="00844218" w:rsidRDefault="00844218" w:rsidP="00844218">
      <w:pPr>
        <w:jc w:val="center"/>
        <w:rPr>
          <w:rFonts w:ascii="Arial" w:hAnsi="Arial" w:cs="Arial"/>
          <w:b/>
          <w:u w:val="single"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i/>
          <w:lang w:val="mk-MK"/>
        </w:rPr>
      </w:pPr>
    </w:p>
    <w:p w:rsidR="00844218" w:rsidRDefault="00844218" w:rsidP="00844218">
      <w:pPr>
        <w:jc w:val="both"/>
        <w:rPr>
          <w:lang w:val="mk-MK"/>
        </w:rPr>
      </w:pPr>
    </w:p>
    <w:p w:rsidR="00844218" w:rsidRDefault="00844218" w:rsidP="00844218">
      <w:pPr>
        <w:rPr>
          <w:szCs w:val="20"/>
          <w:lang w:val="mk-MK"/>
        </w:rPr>
      </w:pPr>
    </w:p>
    <w:p w:rsidR="00844218" w:rsidRPr="003622DE" w:rsidRDefault="00844218" w:rsidP="00844218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75175A" w:rsidRDefault="0075175A"/>
    <w:sectPr w:rsidR="0075175A" w:rsidSect="003D05C7">
      <w:pgSz w:w="11906" w:h="16838"/>
      <w:pgMar w:top="851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6BFB"/>
    <w:multiLevelType w:val="hybridMultilevel"/>
    <w:tmpl w:val="E61A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13B3D"/>
    <w:multiLevelType w:val="hybridMultilevel"/>
    <w:tmpl w:val="863AC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46DD1"/>
    <w:multiLevelType w:val="hybridMultilevel"/>
    <w:tmpl w:val="53566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91A3B"/>
    <w:multiLevelType w:val="hybridMultilevel"/>
    <w:tmpl w:val="EA16F73E"/>
    <w:lvl w:ilvl="0" w:tplc="3B9E81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218"/>
    <w:rsid w:val="006A2346"/>
    <w:rsid w:val="0075175A"/>
    <w:rsid w:val="00844218"/>
    <w:rsid w:val="00B3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4218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44218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customStyle="1" w:styleId="Default">
    <w:name w:val="Default"/>
    <w:rsid w:val="00844218"/>
    <w:pPr>
      <w:autoSpaceDE w:val="0"/>
      <w:autoSpaceDN w:val="0"/>
      <w:adjustRightInd w:val="0"/>
      <w:spacing w:after="0" w:line="240" w:lineRule="auto"/>
    </w:pPr>
    <w:rPr>
      <w:rFonts w:ascii="DIN" w:eastAsia="Times New Roman" w:hAnsi="DIN" w:cs="DI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4370</Characters>
  <Application>Microsoft Office Word</Application>
  <DocSecurity>0</DocSecurity>
  <Lines>36</Lines>
  <Paragraphs>10</Paragraphs>
  <ScaleCrop>false</ScaleCrop>
  <Company>Home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tatjana.labovic</dc:creator>
  <cp:keywords/>
  <dc:description/>
  <cp:lastModifiedBy>tatjana.labovic</cp:lastModifiedBy>
  <cp:revision>2</cp:revision>
  <dcterms:created xsi:type="dcterms:W3CDTF">2012-11-30T08:36:00Z</dcterms:created>
  <dcterms:modified xsi:type="dcterms:W3CDTF">2012-11-30T08:36:00Z</dcterms:modified>
</cp:coreProperties>
</file>