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56" w:rsidRPr="00D45DB6" w:rsidRDefault="00611D56" w:rsidP="00611D56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11D56" w:rsidRPr="00D45DB6" w:rsidRDefault="00611D56" w:rsidP="00611D56">
      <w:pPr>
        <w:jc w:val="right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D45DB6">
        <w:rPr>
          <w:rFonts w:ascii="StobiSerif Regular" w:hAnsi="StobiSerif Regular"/>
          <w:b/>
          <w:sz w:val="22"/>
          <w:szCs w:val="22"/>
          <w:u w:val="single"/>
          <w:lang w:val="mk-MK"/>
        </w:rPr>
        <w:t>Образец бр.1</w:t>
      </w:r>
    </w:p>
    <w:p w:rsidR="00611D56" w:rsidRPr="00D45DB6" w:rsidRDefault="00611D56" w:rsidP="00611D56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D45DB6">
        <w:rPr>
          <w:rFonts w:ascii="StobiSerif Regular" w:hAnsi="StobiSerif Regular"/>
          <w:b/>
          <w:sz w:val="22"/>
          <w:szCs w:val="22"/>
          <w:lang w:val="mk-MK"/>
        </w:rPr>
        <w:t xml:space="preserve"> План за спроведување</w:t>
      </w:r>
    </w:p>
    <w:p w:rsidR="00611D56" w:rsidRPr="00D45DB6" w:rsidRDefault="00611D56" w:rsidP="00611D56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D45DB6">
        <w:rPr>
          <w:rFonts w:ascii="StobiSerif Regular" w:hAnsi="StobiSerif Regular"/>
          <w:b/>
          <w:sz w:val="22"/>
          <w:szCs w:val="22"/>
          <w:lang w:val="mk-MK"/>
        </w:rPr>
        <w:t>на проценка на влијание на регулативата</w:t>
      </w:r>
    </w:p>
    <w:p w:rsidR="00611D56" w:rsidRPr="00D45DB6" w:rsidRDefault="00611D56" w:rsidP="00611D5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98"/>
        <w:gridCol w:w="5958"/>
      </w:tblGrid>
      <w:tr w:rsidR="00611D56" w:rsidRPr="00D45DB6" w:rsidTr="002C395E">
        <w:tc>
          <w:tcPr>
            <w:tcW w:w="2898" w:type="dxa"/>
            <w:tcMar>
              <w:top w:w="85" w:type="dxa"/>
              <w:bottom w:w="85" w:type="dxa"/>
            </w:tcMar>
          </w:tcPr>
          <w:p w:rsidR="00611D56" w:rsidRPr="00D45DB6" w:rsidRDefault="00611D56" w:rsidP="00611D56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Наслов на предлог законот:</w:t>
            </w:r>
          </w:p>
        </w:tc>
        <w:tc>
          <w:tcPr>
            <w:tcW w:w="5958" w:type="dxa"/>
            <w:tcMar>
              <w:top w:w="85" w:type="dxa"/>
              <w:bottom w:w="85" w:type="dxa"/>
            </w:tcMar>
          </w:tcPr>
          <w:p w:rsidR="00611D56" w:rsidRPr="00D45DB6" w:rsidRDefault="002C395E" w:rsidP="00611D56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ПРЕДЛОГ </w:t>
            </w:r>
            <w:r w:rsidR="00956A61"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ЗАКОН ЗА </w:t>
            </w:r>
            <w:r w:rsidR="00956A61"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ИЗМЕНУВАЊЕ И ДОПОЛНУВАЊЕ НА ЗАКОНОТ ЗА </w:t>
            </w: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ИНСПЕКЦИСКИ НАДЗОР</w:t>
            </w:r>
          </w:p>
        </w:tc>
      </w:tr>
      <w:tr w:rsidR="002C395E" w:rsidRPr="00D45DB6" w:rsidTr="002C395E">
        <w:tc>
          <w:tcPr>
            <w:tcW w:w="2898" w:type="dxa"/>
            <w:tcMar>
              <w:top w:w="85" w:type="dxa"/>
              <w:bottom w:w="85" w:type="dxa"/>
            </w:tcMar>
          </w:tcPr>
          <w:p w:rsidR="002C395E" w:rsidRPr="00D45DB6" w:rsidRDefault="002C395E" w:rsidP="00611D56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Министерство:</w:t>
            </w:r>
          </w:p>
        </w:tc>
        <w:tc>
          <w:tcPr>
            <w:tcW w:w="5958" w:type="dxa"/>
            <w:tcMar>
              <w:top w:w="85" w:type="dxa"/>
              <w:bottom w:w="85" w:type="dxa"/>
            </w:tcMar>
          </w:tcPr>
          <w:p w:rsidR="002C395E" w:rsidRPr="00D45DB6" w:rsidRDefault="002C395E" w:rsidP="00956A61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Министерство за </w:t>
            </w:r>
            <w:r w:rsidR="00956A61"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информатичко општество и администрација</w:t>
            </w:r>
          </w:p>
        </w:tc>
      </w:tr>
      <w:tr w:rsidR="002C395E" w:rsidRPr="00D45DB6" w:rsidTr="002C395E">
        <w:tc>
          <w:tcPr>
            <w:tcW w:w="2898" w:type="dxa"/>
            <w:tcMar>
              <w:top w:w="85" w:type="dxa"/>
              <w:bottom w:w="85" w:type="dxa"/>
            </w:tcMar>
          </w:tcPr>
          <w:p w:rsidR="002C395E" w:rsidRPr="00D45DB6" w:rsidRDefault="002C395E" w:rsidP="00611D56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Лице за контакт/одговорно лице:</w:t>
            </w:r>
          </w:p>
        </w:tc>
        <w:tc>
          <w:tcPr>
            <w:tcW w:w="5958" w:type="dxa"/>
            <w:tcMar>
              <w:top w:w="85" w:type="dxa"/>
              <w:bottom w:w="85" w:type="dxa"/>
            </w:tcMar>
          </w:tcPr>
          <w:p w:rsidR="002C395E" w:rsidRPr="00D45DB6" w:rsidRDefault="0038425D" w:rsidP="00956A61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b/>
                <w:bCs/>
                <w:sz w:val="22"/>
                <w:szCs w:val="22"/>
                <w:lang w:val="mk-MK"/>
              </w:rPr>
              <w:t xml:space="preserve">Југослав Ѓорѓиевски – </w:t>
            </w:r>
            <w:r w:rsidR="00956A61" w:rsidRPr="00D45DB6">
              <w:rPr>
                <w:rFonts w:ascii="StobiSerif Regular" w:hAnsi="StobiSerif Regular"/>
                <w:b/>
                <w:bCs/>
                <w:sz w:val="22"/>
                <w:szCs w:val="22"/>
                <w:lang w:val="mk-MK"/>
              </w:rPr>
              <w:t>советник</w:t>
            </w:r>
          </w:p>
        </w:tc>
      </w:tr>
      <w:tr w:rsidR="002C395E" w:rsidRPr="00D45DB6" w:rsidTr="002C395E">
        <w:tc>
          <w:tcPr>
            <w:tcW w:w="2898" w:type="dxa"/>
            <w:tcMar>
              <w:top w:w="85" w:type="dxa"/>
              <w:bottom w:w="85" w:type="dxa"/>
            </w:tcMar>
          </w:tcPr>
          <w:p w:rsidR="002C395E" w:rsidRPr="00D45DB6" w:rsidRDefault="002C395E" w:rsidP="00611D56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Очекуван датум за усвојување на предлог законот:</w:t>
            </w:r>
          </w:p>
        </w:tc>
        <w:tc>
          <w:tcPr>
            <w:tcW w:w="5958" w:type="dxa"/>
            <w:tcMar>
              <w:top w:w="85" w:type="dxa"/>
              <w:bottom w:w="85" w:type="dxa"/>
            </w:tcMar>
          </w:tcPr>
          <w:p w:rsidR="002C395E" w:rsidRPr="00D45DB6" w:rsidRDefault="00956A61" w:rsidP="00956A61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  <w:r w:rsidR="009D4A99"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– </w:t>
            </w: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  <w:r w:rsidR="009D4A99"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2C395E"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201</w:t>
            </w: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3</w:t>
            </w:r>
            <w:r w:rsidR="002C395E" w:rsidRPr="00D45DB6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r w:rsidR="002C395E"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година</w:t>
            </w:r>
          </w:p>
        </w:tc>
      </w:tr>
      <w:tr w:rsidR="002C395E" w:rsidRPr="00D45DB6" w:rsidTr="002C395E">
        <w:tc>
          <w:tcPr>
            <w:tcW w:w="2898" w:type="dxa"/>
            <w:tcMar>
              <w:top w:w="85" w:type="dxa"/>
              <w:bottom w:w="85" w:type="dxa"/>
            </w:tcMar>
          </w:tcPr>
          <w:p w:rsidR="002C395E" w:rsidRPr="00D45DB6" w:rsidRDefault="002C395E" w:rsidP="00611D56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Поврзаност со ЕУ директиви</w:t>
            </w:r>
          </w:p>
        </w:tc>
        <w:tc>
          <w:tcPr>
            <w:tcW w:w="5958" w:type="dxa"/>
            <w:tcMar>
              <w:top w:w="85" w:type="dxa"/>
              <w:bottom w:w="85" w:type="dxa"/>
            </w:tcMar>
          </w:tcPr>
          <w:p w:rsidR="002C395E" w:rsidRPr="00D45DB6" w:rsidRDefault="009D4A99" w:rsidP="00611D56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5DB6">
              <w:rPr>
                <w:rFonts w:ascii="StobiSerif Regular" w:hAnsi="StobiSerif Regular"/>
                <w:sz w:val="22"/>
                <w:szCs w:val="22"/>
                <w:lang w:val="mk-MK"/>
              </w:rPr>
              <w:t>/</w:t>
            </w:r>
          </w:p>
        </w:tc>
      </w:tr>
    </w:tbl>
    <w:p w:rsidR="00611D56" w:rsidRPr="00D45DB6" w:rsidRDefault="00611D56" w:rsidP="00611D5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45DB6">
        <w:rPr>
          <w:rFonts w:ascii="StobiSerif Regular" w:hAnsi="StobiSerif Regular"/>
          <w:b/>
          <w:sz w:val="22"/>
          <w:szCs w:val="22"/>
          <w:lang w:val="mk-MK"/>
        </w:rPr>
        <w:t>Дел 1: Почетна проценка на влијанието на регулативата и планирање на работата</w:t>
      </w:r>
    </w:p>
    <w:p w:rsidR="00611D56" w:rsidRPr="00D45DB6" w:rsidRDefault="00611D56" w:rsidP="0061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(забелешка: овој дел е јавен и ќе се објави во Единствениот електронскиот регистар на прописи)</w:t>
      </w:r>
    </w:p>
    <w:p w:rsidR="00611D56" w:rsidRPr="00D45DB6" w:rsidRDefault="00611D56" w:rsidP="00611D56">
      <w:pPr>
        <w:jc w:val="both"/>
        <w:rPr>
          <w:rFonts w:ascii="StobiSerif Regular" w:hAnsi="StobiSerif Regular"/>
          <w:sz w:val="22"/>
          <w:szCs w:val="22"/>
          <w:u w:val="single"/>
          <w:lang w:val="mk-MK"/>
        </w:rPr>
      </w:pPr>
    </w:p>
    <w:p w:rsidR="00611D56" w:rsidRPr="00D45DB6" w:rsidRDefault="00611D56" w:rsidP="00611D56">
      <w:pPr>
        <w:jc w:val="both"/>
        <w:rPr>
          <w:rFonts w:ascii="StobiSerif Regular" w:hAnsi="StobiSerif Regular"/>
          <w:sz w:val="22"/>
          <w:szCs w:val="22"/>
          <w:u w:val="single"/>
          <w:lang w:val="mk-MK"/>
        </w:rPr>
      </w:pPr>
      <w:r w:rsidRPr="00D45DB6">
        <w:rPr>
          <w:rFonts w:ascii="StobiSerif Regular" w:hAnsi="StobiSerif Regular"/>
          <w:sz w:val="22"/>
          <w:szCs w:val="22"/>
          <w:u w:val="single"/>
          <w:lang w:val="mk-MK"/>
        </w:rPr>
        <w:t>А. Почетна проценка на влијанието на регулативата</w:t>
      </w:r>
    </w:p>
    <w:p w:rsidR="00611D56" w:rsidRPr="00D45DB6" w:rsidRDefault="00611D56" w:rsidP="00611D5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 xml:space="preserve">Кои се главните проблеми?  </w:t>
      </w:r>
    </w:p>
    <w:p w:rsidR="002C395E" w:rsidRPr="00D45DB6" w:rsidRDefault="002C395E" w:rsidP="002C395E">
      <w:pPr>
        <w:ind w:firstLine="492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45DB6">
        <w:rPr>
          <w:rFonts w:ascii="StobiSerif Regular" w:hAnsi="StobiSerif Regular" w:cs="Arial"/>
          <w:sz w:val="22"/>
          <w:szCs w:val="22"/>
          <w:lang w:val="ru-RU"/>
        </w:rPr>
        <w:t xml:space="preserve">Организацијата и постапувањето на инспекциските служби, според постојната регулатива во Република Македонија е уредено со материјалните закони со кои се регулира работата на одделните инспекциски служби, а како супсидиерен пропис во постапувањето на инспекциските служби се применува Законот за </w:t>
      </w:r>
      <w:r w:rsidR="00956A61" w:rsidRPr="00D45DB6">
        <w:rPr>
          <w:rFonts w:ascii="StobiSerif Regular" w:hAnsi="StobiSerif Regular" w:cs="Arial"/>
          <w:sz w:val="22"/>
          <w:szCs w:val="22"/>
          <w:lang w:val="ru-RU"/>
        </w:rPr>
        <w:t>инспекциски надзор</w:t>
      </w:r>
      <w:r w:rsidRPr="00D45DB6">
        <w:rPr>
          <w:rFonts w:ascii="StobiSerif Regular" w:hAnsi="StobiSerif Regular" w:cs="Arial"/>
          <w:sz w:val="22"/>
          <w:szCs w:val="22"/>
          <w:lang w:val="ru-RU"/>
        </w:rPr>
        <w:t xml:space="preserve">. </w:t>
      </w:r>
      <w:r w:rsidR="00956A61" w:rsidRPr="00D45DB6">
        <w:rPr>
          <w:rFonts w:ascii="StobiSerif Regular" w:hAnsi="StobiSerif Regular" w:cs="Arial"/>
          <w:sz w:val="22"/>
          <w:szCs w:val="22"/>
          <w:lang w:val="ru-RU"/>
        </w:rPr>
        <w:t xml:space="preserve">Со Законот за инспекциски надзор </w:t>
      </w:r>
      <w:r w:rsidRPr="00D45DB6">
        <w:rPr>
          <w:rFonts w:ascii="StobiSerif Regular" w:hAnsi="StobiSerif Regular" w:cs="Arial"/>
          <w:sz w:val="22"/>
          <w:szCs w:val="22"/>
          <w:lang w:val="ru-RU"/>
        </w:rPr>
        <w:t xml:space="preserve">се регулира инспекцискиот надзор, а со </w:t>
      </w:r>
      <w:r w:rsidR="00956A61" w:rsidRPr="00D45DB6">
        <w:rPr>
          <w:rFonts w:ascii="StobiSerif Regular" w:hAnsi="StobiSerif Regular" w:cs="Arial"/>
          <w:sz w:val="22"/>
          <w:szCs w:val="22"/>
          <w:lang w:val="ru-RU"/>
        </w:rPr>
        <w:t>се</w:t>
      </w:r>
      <w:r w:rsidRPr="00D45DB6">
        <w:rPr>
          <w:rFonts w:ascii="StobiSerif Regular" w:hAnsi="StobiSerif Regular" w:cs="Arial"/>
          <w:sz w:val="22"/>
          <w:szCs w:val="22"/>
          <w:lang w:val="ru-RU"/>
        </w:rPr>
        <w:t xml:space="preserve"> опфатени начелата на инспекцискиот надзор, организацијата на инспекциските служби, нивната координација и раководење, правата и должностите на инспекторите, правата и должностите на субјектите над кои се врши надзорот, посебните дејствија во инспекциската постапка, односот на инспекциските служби и надлежните органи, трошоците </w:t>
      </w:r>
      <w:r w:rsidRPr="00D45DB6">
        <w:rPr>
          <w:rFonts w:ascii="StobiSerif Regular" w:hAnsi="StobiSerif Regular" w:cs="Arial"/>
          <w:sz w:val="22"/>
          <w:szCs w:val="22"/>
          <w:lang w:val="ru-RU"/>
        </w:rPr>
        <w:lastRenderedPageBreak/>
        <w:t>од инспекциската постапка, како и заедничкото вршење на надзор од страна на повеќе инспекциски служби.</w:t>
      </w:r>
      <w:r w:rsidR="00956A61" w:rsidRPr="00D45DB6">
        <w:rPr>
          <w:rFonts w:ascii="StobiSerif Regular" w:hAnsi="StobiSerif Regular" w:cs="Arial"/>
          <w:sz w:val="22"/>
          <w:szCs w:val="22"/>
          <w:lang w:val="ru-RU"/>
        </w:rPr>
        <w:t xml:space="preserve"> Меѓутоа досегашната примена на Законот за инспекциски надзор покажа определени недостатоци, особено во поглед на функционирањрто на инспекцискиот совет, поради што се наметна потребата од измени и дополнувања на овој закон.</w:t>
      </w:r>
    </w:p>
    <w:p w:rsidR="00611D56" w:rsidRPr="00D45DB6" w:rsidRDefault="00611D56" w:rsidP="002C395E">
      <w:pPr>
        <w:pStyle w:val="ListParagraph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Кои се можните решенија (опции)? Кои регулаторни или нерегулаторни мерки би можеле да се разгледаат?</w:t>
      </w:r>
    </w:p>
    <w:p w:rsidR="002C395E" w:rsidRPr="00D45DB6" w:rsidRDefault="002C395E" w:rsidP="002C395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Зголемување на ефикасноста и ажурноста во функционирањето на инспекциските служби;</w:t>
      </w:r>
    </w:p>
    <w:p w:rsidR="002C395E" w:rsidRPr="00D45DB6" w:rsidRDefault="002C395E" w:rsidP="002C395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Координација во вршењето на инспекцискиот надзор;</w:t>
      </w:r>
    </w:p>
    <w:p w:rsidR="002C395E" w:rsidRPr="00D45DB6" w:rsidRDefault="002C395E" w:rsidP="002C395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Регулирање на организацијата и раководењето на инспекциските служби;</w:t>
      </w:r>
    </w:p>
    <w:p w:rsidR="002C395E" w:rsidRPr="00D45DB6" w:rsidRDefault="002C395E" w:rsidP="002C395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Регулирање на правата и обврските на инспекторите и субјектите на надзорот;</w:t>
      </w:r>
    </w:p>
    <w:p w:rsidR="002C395E" w:rsidRPr="00D45DB6" w:rsidRDefault="002C395E" w:rsidP="002C395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Зајакнување на статусот на инспекторите;</w:t>
      </w:r>
    </w:p>
    <w:p w:rsidR="002C395E" w:rsidRPr="00D45DB6" w:rsidRDefault="002C395E" w:rsidP="002C395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Хармонизација на постапката за вршење на инспекциски надзор.</w:t>
      </w:r>
    </w:p>
    <w:p w:rsidR="002C395E" w:rsidRPr="00D45DB6" w:rsidRDefault="002C395E" w:rsidP="002C395E">
      <w:pPr>
        <w:pStyle w:val="ListParagraph"/>
        <w:spacing w:after="200" w:line="276" w:lineRule="auto"/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C395E" w:rsidRPr="00D45DB6" w:rsidRDefault="00611D56" w:rsidP="002C39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Кои се засегнатите страни кои ќе бидат вклучени во процесот</w:t>
      </w:r>
      <w:r w:rsidRPr="00D45D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D45DB6">
        <w:rPr>
          <w:rFonts w:ascii="StobiSerif Regular" w:hAnsi="StobiSerif Regular"/>
          <w:sz w:val="22"/>
          <w:szCs w:val="22"/>
          <w:lang w:val="mk-MK"/>
        </w:rPr>
        <w:t>на проценка на влијанието на регулативата?</w:t>
      </w:r>
    </w:p>
    <w:p w:rsidR="00611D56" w:rsidRPr="00D45DB6" w:rsidRDefault="002C395E" w:rsidP="00611D56">
      <w:pPr>
        <w:pStyle w:val="ListParagraph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 xml:space="preserve">- Министерството за </w:t>
      </w:r>
      <w:r w:rsidR="00956A61" w:rsidRPr="00D45DB6">
        <w:rPr>
          <w:rFonts w:ascii="StobiSerif Regular" w:hAnsi="StobiSerif Regular"/>
          <w:sz w:val="22"/>
          <w:szCs w:val="22"/>
          <w:lang w:val="mk-MK"/>
        </w:rPr>
        <w:t>информатичко општество и администрација</w:t>
      </w:r>
    </w:p>
    <w:p w:rsidR="00611D56" w:rsidRPr="00D45DB6" w:rsidRDefault="00611D56" w:rsidP="00611D5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jc w:val="both"/>
        <w:rPr>
          <w:rFonts w:ascii="StobiSerif Regular" w:hAnsi="StobiSerif Regular"/>
          <w:sz w:val="22"/>
          <w:szCs w:val="22"/>
          <w:u w:val="single"/>
          <w:lang w:val="mk-MK"/>
        </w:rPr>
      </w:pPr>
      <w:r w:rsidRPr="00D45DB6">
        <w:rPr>
          <w:rFonts w:ascii="StobiSerif Regular" w:hAnsi="StobiSerif Regular"/>
          <w:sz w:val="22"/>
          <w:szCs w:val="22"/>
          <w:u w:val="single"/>
          <w:lang w:val="mk-MK"/>
        </w:rPr>
        <w:t>Б. Планирање на потребната работа за проценка на влијанието на регулативата</w:t>
      </w:r>
    </w:p>
    <w:p w:rsidR="00611D56" w:rsidRPr="00D45DB6" w:rsidRDefault="00611D56" w:rsidP="00611D5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 xml:space="preserve">Кои информации и податоци се веќе достапни? </w:t>
      </w:r>
    </w:p>
    <w:p w:rsidR="00956A61" w:rsidRPr="00D45DB6" w:rsidRDefault="00956A61" w:rsidP="00956A61">
      <w:pPr>
        <w:pStyle w:val="ListParagraph"/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 xml:space="preserve">Кои дополнителни информации и податоци треба да се соберат? </w:t>
      </w:r>
    </w:p>
    <w:p w:rsidR="00611D56" w:rsidRPr="00D45DB6" w:rsidRDefault="00611D56" w:rsidP="00611D56">
      <w:pPr>
        <w:pStyle w:val="ListParagraph"/>
        <w:spacing w:after="200" w:line="276" w:lineRule="auto"/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Кој тип и ниво на проценка е потребно (Иницијална или Комплетна проценка на влијание на регулативата - принцип на пропорционална анализа)?</w:t>
      </w:r>
    </w:p>
    <w:p w:rsidR="00611D56" w:rsidRPr="00D45DB6" w:rsidRDefault="002C395E" w:rsidP="002C395E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Комплетна проценка</w:t>
      </w:r>
    </w:p>
    <w:p w:rsidR="002C395E" w:rsidRPr="00D45DB6" w:rsidRDefault="002C395E" w:rsidP="002C395E">
      <w:pPr>
        <w:pStyle w:val="ListParagraph"/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C395E" w:rsidRPr="00D45DB6" w:rsidRDefault="00611D56" w:rsidP="00611D5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Дали ќе се формира меѓуресорска работна група за спроведување на проценка на влијание на регулативата и кои институции ќе се вклучат?</w:t>
      </w:r>
    </w:p>
    <w:p w:rsidR="002C395E" w:rsidRPr="00D45DB6" w:rsidRDefault="002C395E" w:rsidP="00611D56">
      <w:pPr>
        <w:pStyle w:val="ListParagraph"/>
        <w:spacing w:after="200" w:line="276" w:lineRule="auto"/>
        <w:ind w:left="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D232BD" w:rsidRPr="00D45DB6" w:rsidRDefault="00D232BD" w:rsidP="00611D56">
      <w:pPr>
        <w:pStyle w:val="ListParagraph"/>
        <w:spacing w:after="200" w:line="276" w:lineRule="auto"/>
        <w:ind w:left="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D232BD" w:rsidRPr="00D45DB6" w:rsidRDefault="00D232BD" w:rsidP="00611D56">
      <w:pPr>
        <w:pStyle w:val="ListParagraph"/>
        <w:spacing w:after="200" w:line="276" w:lineRule="auto"/>
        <w:ind w:left="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D232BD" w:rsidRPr="00D45DB6" w:rsidRDefault="00D232BD" w:rsidP="00611D56">
      <w:pPr>
        <w:pStyle w:val="ListParagraph"/>
        <w:spacing w:after="200" w:line="276" w:lineRule="auto"/>
        <w:ind w:left="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D232BD" w:rsidRPr="00D45DB6" w:rsidRDefault="00D232BD" w:rsidP="00611D56">
      <w:pPr>
        <w:pStyle w:val="ListParagraph"/>
        <w:spacing w:after="200" w:line="276" w:lineRule="auto"/>
        <w:ind w:left="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611D56" w:rsidRPr="00D45DB6" w:rsidRDefault="00611D56" w:rsidP="0061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D45DB6">
        <w:rPr>
          <w:rFonts w:ascii="StobiSerif Regular" w:hAnsi="StobiSerif Regular"/>
          <w:b/>
          <w:sz w:val="22"/>
          <w:szCs w:val="22"/>
          <w:lang w:val="mk-MK"/>
        </w:rPr>
        <w:t>Дел 2: Подетално планирање, вклучително со време и ресурси</w:t>
      </w:r>
    </w:p>
    <w:p w:rsidR="00611D56" w:rsidRPr="00D45DB6" w:rsidRDefault="00611D56" w:rsidP="0061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(забелешка: овој дел е за интерна употреба на Владата на Република Македонија)</w:t>
      </w:r>
    </w:p>
    <w:p w:rsidR="00611D56" w:rsidRPr="00D45DB6" w:rsidRDefault="00611D56" w:rsidP="00611D56">
      <w:pPr>
        <w:rPr>
          <w:rFonts w:ascii="StobiSerif Regular" w:hAnsi="StobiSerif Regular"/>
          <w:sz w:val="22"/>
          <w:szCs w:val="22"/>
          <w:u w:val="single"/>
          <w:lang w:val="mk-MK"/>
        </w:rPr>
      </w:pPr>
    </w:p>
    <w:p w:rsidR="00611D56" w:rsidRPr="00D45DB6" w:rsidRDefault="00611D56" w:rsidP="00611D56">
      <w:pPr>
        <w:jc w:val="both"/>
        <w:rPr>
          <w:rFonts w:ascii="StobiSerif Regular" w:hAnsi="StobiSerif Regular"/>
          <w:sz w:val="22"/>
          <w:szCs w:val="22"/>
          <w:u w:val="single"/>
          <w:lang w:val="mk-MK"/>
        </w:rPr>
      </w:pPr>
      <w:r w:rsidRPr="00D45DB6">
        <w:rPr>
          <w:rFonts w:ascii="StobiSerif Regular" w:hAnsi="StobiSerif Regular"/>
          <w:sz w:val="22"/>
          <w:szCs w:val="22"/>
          <w:u w:val="single"/>
          <w:lang w:val="mk-MK"/>
        </w:rPr>
        <w:t>В. Временска рамка</w:t>
      </w:r>
    </w:p>
    <w:p w:rsidR="00611D56" w:rsidRPr="00D45DB6" w:rsidRDefault="00611D56" w:rsidP="00611D5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Кога ќе започнат активностите за проценка на влијанијата на регулативата?</w:t>
      </w:r>
    </w:p>
    <w:p w:rsidR="00611D56" w:rsidRPr="00D45DB6" w:rsidRDefault="00611D56" w:rsidP="00611D56">
      <w:pPr>
        <w:pStyle w:val="ListParagraph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pStyle w:val="ListParagraph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Ако се планира вклучување на надворешни консултанти (на пример за аналитички студии, собирање на информации, итн.), која е временската рамка предвидена за процесот на набавка и договарање?</w:t>
      </w:r>
    </w:p>
    <w:p w:rsidR="00611D56" w:rsidRPr="00D45DB6" w:rsidRDefault="00611D56" w:rsidP="00611D56">
      <w:pPr>
        <w:pStyle w:val="ListParagraph"/>
        <w:jc w:val="both"/>
        <w:rPr>
          <w:rFonts w:ascii="StobiSerif Regular" w:hAnsi="StobiSerif Regular"/>
          <w:color w:val="FF0000"/>
          <w:sz w:val="22"/>
          <w:szCs w:val="22"/>
          <w:lang w:val="mk-MK"/>
        </w:rPr>
      </w:pPr>
    </w:p>
    <w:p w:rsidR="00611D56" w:rsidRPr="00D45DB6" w:rsidRDefault="00611D56" w:rsidP="00611D5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>Кога предлог законот</w:t>
      </w:r>
      <w:r w:rsidRPr="00D45DB6" w:rsidDel="007B7EA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D45DB6">
        <w:rPr>
          <w:rFonts w:ascii="StobiSerif Regular" w:hAnsi="StobiSerif Regular"/>
          <w:sz w:val="22"/>
          <w:szCs w:val="22"/>
          <w:lang w:val="mk-MK"/>
        </w:rPr>
        <w:t>и проценката на влијанието на регулативата ќе бидат поднесени до Генералниот секретаријат?</w:t>
      </w:r>
    </w:p>
    <w:p w:rsidR="00611D56" w:rsidRPr="00D45DB6" w:rsidRDefault="00611D56" w:rsidP="00611D56">
      <w:pPr>
        <w:pStyle w:val="ListParagraph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11D56" w:rsidRPr="00D45DB6" w:rsidRDefault="00611D56" w:rsidP="00611D56">
      <w:pPr>
        <w:jc w:val="both"/>
        <w:rPr>
          <w:rFonts w:ascii="StobiSerif Regular" w:hAnsi="StobiSerif Regular"/>
          <w:sz w:val="22"/>
          <w:szCs w:val="22"/>
          <w:u w:val="single"/>
          <w:lang w:val="mk-MK"/>
        </w:rPr>
      </w:pPr>
      <w:r w:rsidRPr="00D45DB6">
        <w:rPr>
          <w:rFonts w:ascii="StobiSerif Regular" w:hAnsi="StobiSerif Regular"/>
          <w:sz w:val="22"/>
          <w:szCs w:val="22"/>
          <w:u w:val="single"/>
          <w:lang w:val="mk-MK"/>
        </w:rPr>
        <w:t>Г. Ресурси</w:t>
      </w:r>
    </w:p>
    <w:p w:rsidR="00D72F7E" w:rsidRPr="00D45DB6" w:rsidRDefault="00611D56" w:rsidP="002C395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5DB6">
        <w:rPr>
          <w:rFonts w:ascii="StobiSerif Regular" w:hAnsi="StobiSerif Regular"/>
          <w:sz w:val="22"/>
          <w:szCs w:val="22"/>
          <w:lang w:val="mk-MK"/>
        </w:rPr>
        <w:t xml:space="preserve">Кои се планираните човечки и/или финансиски ресурси за спроведување на проценката на влијанието на регулативата и финализирање на предлог законот ? </w:t>
      </w:r>
    </w:p>
    <w:sectPr w:rsidR="00D72F7E" w:rsidRPr="00D45D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3C3"/>
    <w:multiLevelType w:val="hybridMultilevel"/>
    <w:tmpl w:val="F96C6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2797C"/>
    <w:multiLevelType w:val="hybridMultilevel"/>
    <w:tmpl w:val="A46E8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7651F"/>
    <w:multiLevelType w:val="hybridMultilevel"/>
    <w:tmpl w:val="033A0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62CD2"/>
    <w:multiLevelType w:val="hybridMultilevel"/>
    <w:tmpl w:val="6EA4F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36791"/>
    <w:multiLevelType w:val="hybridMultilevel"/>
    <w:tmpl w:val="DB5C0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43BAA"/>
    <w:multiLevelType w:val="hybridMultilevel"/>
    <w:tmpl w:val="699CF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1544F"/>
    <w:multiLevelType w:val="hybridMultilevel"/>
    <w:tmpl w:val="685615EE"/>
    <w:lvl w:ilvl="0" w:tplc="04D26E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63501"/>
    <w:multiLevelType w:val="hybridMultilevel"/>
    <w:tmpl w:val="514C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11D56"/>
    <w:rsid w:val="002C395E"/>
    <w:rsid w:val="00342307"/>
    <w:rsid w:val="00352DBF"/>
    <w:rsid w:val="0038425D"/>
    <w:rsid w:val="003F4B31"/>
    <w:rsid w:val="004862D3"/>
    <w:rsid w:val="00611D56"/>
    <w:rsid w:val="00617F2E"/>
    <w:rsid w:val="006B6C75"/>
    <w:rsid w:val="00707904"/>
    <w:rsid w:val="00901228"/>
    <w:rsid w:val="009211E5"/>
    <w:rsid w:val="0093458F"/>
    <w:rsid w:val="00956A61"/>
    <w:rsid w:val="009D4A99"/>
    <w:rsid w:val="00A43136"/>
    <w:rsid w:val="00AC74EC"/>
    <w:rsid w:val="00AD7B12"/>
    <w:rsid w:val="00D113CA"/>
    <w:rsid w:val="00D232BD"/>
    <w:rsid w:val="00D45DB6"/>
    <w:rsid w:val="00D72F7E"/>
    <w:rsid w:val="00E3061A"/>
    <w:rsid w:val="00E7324B"/>
    <w:rsid w:val="00E77336"/>
    <w:rsid w:val="00E836FD"/>
    <w:rsid w:val="00ED4BD6"/>
    <w:rsid w:val="00EF00D0"/>
    <w:rsid w:val="00EF26A4"/>
    <w:rsid w:val="00EF5542"/>
    <w:rsid w:val="00F1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56"/>
    <w:rPr>
      <w:sz w:val="24"/>
      <w:lang w:val="en-GB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611D56"/>
    <w:pPr>
      <w:ind w:left="720"/>
      <w:contextualSpacing/>
    </w:pPr>
  </w:style>
  <w:style w:type="paragraph" w:styleId="BalloonText">
    <w:name w:val="Balloon Text"/>
    <w:basedOn w:val="Normal"/>
    <w:semiHidden/>
    <w:rsid w:val="00384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marjana.jovanovska</dc:creator>
  <cp:keywords/>
  <cp:lastModifiedBy>Jugoslav Gjorgjievski</cp:lastModifiedBy>
  <cp:revision>2</cp:revision>
  <cp:lastPrinted>2010-01-12T12:33:00Z</cp:lastPrinted>
  <dcterms:created xsi:type="dcterms:W3CDTF">2013-05-28T08:22:00Z</dcterms:created>
  <dcterms:modified xsi:type="dcterms:W3CDTF">2013-05-28T08:22:00Z</dcterms:modified>
</cp:coreProperties>
</file>