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B" w:rsidRPr="003E0EF9" w:rsidRDefault="007F181B" w:rsidP="002A7ED0">
      <w:pPr>
        <w:pStyle w:val="3"/>
        <w:spacing w:before="240"/>
        <w:jc w:val="right"/>
        <w:rPr>
          <w:rFonts w:ascii="StobiSerifPro" w:hAnsi="StobiSerifPro"/>
          <w:sz w:val="20"/>
          <w:szCs w:val="20"/>
        </w:rPr>
      </w:pPr>
    </w:p>
    <w:p w:rsidR="00C771C6" w:rsidRDefault="00C771C6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Default="007F181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Default="0087764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507ADB" w:rsidRPr="003E0EF9" w:rsidRDefault="00507AD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Pr="003E0EF9" w:rsidRDefault="007F181B" w:rsidP="00212ED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C771C6" w:rsidP="00C771C6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="005D0CB8"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6F1327" w:rsidRPr="003E0EF9" w:rsidRDefault="00556B98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здравство</w:t>
            </w:r>
          </w:p>
        </w:tc>
      </w:tr>
      <w:tr w:rsidR="007F181B" w:rsidRPr="00B413F0">
        <w:trPr>
          <w:trHeight w:val="622"/>
        </w:trPr>
        <w:tc>
          <w:tcPr>
            <w:tcW w:w="3105" w:type="dxa"/>
          </w:tcPr>
          <w:p w:rsidR="007F181B" w:rsidRPr="003E0EF9" w:rsidRDefault="005D0CB8" w:rsidP="006F132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6F1327" w:rsidRPr="003E0EF9">
              <w:rPr>
                <w:rFonts w:ascii="StobiSerifPro" w:hAnsi="StobiSerifPro"/>
                <w:sz w:val="20"/>
                <w:szCs w:val="20"/>
                <w:lang w:val="mk-MK"/>
              </w:rPr>
              <w:t>закон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8A6B92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" w:hAnsi="StobiSerif" w:cs="Arial"/>
                <w:sz w:val="22"/>
                <w:szCs w:val="22"/>
                <w:lang w:val="ru-RU"/>
              </w:rPr>
              <w:t>Предлог</w:t>
            </w:r>
            <w:r w:rsidR="00DE743D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 </w:t>
            </w:r>
            <w:r w:rsidR="00D17C07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на </w:t>
            </w:r>
            <w:r w:rsidR="00DE743D">
              <w:rPr>
                <w:rFonts w:ascii="StobiSerif" w:hAnsi="StobiSerif" w:cs="Arial"/>
                <w:sz w:val="22"/>
                <w:szCs w:val="22"/>
                <w:lang w:val="ru-RU"/>
              </w:rPr>
              <w:t>закон</w:t>
            </w:r>
            <w:r w:rsidR="00DE743D" w:rsidRPr="00CA1D52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 </w:t>
            </w:r>
            <w:r w:rsidR="00DE743D" w:rsidRPr="00CA1D52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за </w:t>
            </w:r>
            <w:r w:rsidR="00DE743D">
              <w:rPr>
                <w:rFonts w:ascii="StobiSerif" w:hAnsi="StobiSerif" w:cs="Arial"/>
                <w:sz w:val="22"/>
                <w:szCs w:val="22"/>
                <w:lang w:val="mk-MK"/>
              </w:rPr>
              <w:t>дополнување</w:t>
            </w:r>
            <w:r w:rsidR="00DE743D" w:rsidRPr="00CA1D52">
              <w:rPr>
                <w:rFonts w:ascii="StobiSerif" w:hAnsi="StobiSerif"/>
                <w:sz w:val="22"/>
                <w:szCs w:val="22"/>
                <w:lang w:val="mk-MK"/>
              </w:rPr>
              <w:t xml:space="preserve"> на Законот</w:t>
            </w:r>
            <w:r w:rsidR="00DE743D" w:rsidRPr="00CA1D52">
              <w:rPr>
                <w:rFonts w:ascii="StobiSerif" w:hAnsi="StobiSerif"/>
                <w:b/>
                <w:sz w:val="22"/>
                <w:szCs w:val="22"/>
                <w:lang w:val="mk-MK"/>
              </w:rPr>
              <w:t xml:space="preserve"> </w:t>
            </w:r>
            <w:r w:rsidR="00DE743D" w:rsidRPr="00CA1D52">
              <w:rPr>
                <w:rStyle w:val="footnote"/>
                <w:rFonts w:ascii="StobiSerif" w:hAnsi="StobiSerif"/>
                <w:sz w:val="22"/>
                <w:szCs w:val="22"/>
              </w:rPr>
              <w:t xml:space="preserve">за земање и пресадување на делови </w:t>
            </w:r>
            <w:r w:rsidR="00DE743D">
              <w:rPr>
                <w:rStyle w:val="footnote"/>
                <w:rFonts w:ascii="StobiSerif" w:hAnsi="StobiSerif"/>
                <w:sz w:val="22"/>
                <w:szCs w:val="22"/>
                <w:lang w:val="mk-MK"/>
              </w:rPr>
              <w:t>од</w:t>
            </w:r>
            <w:r w:rsidR="00DE743D" w:rsidRPr="00CA1D52">
              <w:rPr>
                <w:rStyle w:val="footnote"/>
                <w:rFonts w:ascii="StobiSerif" w:hAnsi="StobiSerif"/>
                <w:sz w:val="22"/>
                <w:szCs w:val="22"/>
              </w:rPr>
              <w:t xml:space="preserve"> човечкото тело заради лекување</w:t>
            </w:r>
          </w:p>
          <w:p w:rsidR="006F1327" w:rsidRPr="003E0EF9" w:rsidRDefault="006F1327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7F181B" w:rsidRPr="00DE743D" w:rsidRDefault="00556B98" w:rsidP="008A6B92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Стојанчо</w:t>
            </w:r>
            <w:r w:rsidR="00DE743D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DE743D">
              <w:rPr>
                <w:rFonts w:ascii="StobiSerifPro" w:hAnsi="StobiSerifPro"/>
                <w:sz w:val="20"/>
                <w:szCs w:val="20"/>
                <w:lang w:val="mk-MK"/>
              </w:rPr>
              <w:t xml:space="preserve">Стојковски </w:t>
            </w:r>
            <w:r w:rsidR="008A6B92" w:rsidRPr="00E52A0C">
              <w:rPr>
                <w:rFonts w:ascii="StobiSerifPro" w:hAnsi="StobiSerifPro"/>
                <w:sz w:val="22"/>
                <w:szCs w:val="22"/>
                <w:lang w:val="mk-MK"/>
              </w:rPr>
              <w:t>&lt;stojanco.stojkovski@zdravstvo.gov.mk&gt;</w:t>
            </w:r>
          </w:p>
        </w:tc>
      </w:tr>
      <w:tr w:rsidR="00855CE5" w:rsidRPr="003E0EF9">
        <w:trPr>
          <w:trHeight w:val="939"/>
        </w:trPr>
        <w:tc>
          <w:tcPr>
            <w:tcW w:w="3105" w:type="dxa"/>
            <w:shd w:val="clear" w:color="auto" w:fill="auto"/>
          </w:tcPr>
          <w:p w:rsidR="00855CE5" w:rsidRPr="003E0EF9" w:rsidRDefault="00855CE5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bookmarkStart w:id="0" w:name="Check11"/>
        <w:tc>
          <w:tcPr>
            <w:tcW w:w="6196" w:type="dxa"/>
            <w:shd w:val="clear" w:color="auto" w:fill="auto"/>
          </w:tcPr>
          <w:p w:rsidR="00855CE5" w:rsidRPr="003E0EF9" w:rsidRDefault="00C07207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743D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="00855CE5"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855CE5" w:rsidRPr="003E0EF9" w:rsidRDefault="00C07207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="00107852"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</w:rPr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B020B6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:rsidR="00855CE5" w:rsidRPr="003E0EF9" w:rsidRDefault="00855CE5" w:rsidP="00855CE5">
            <w:pPr>
              <w:pStyle w:val="a8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7F181B" w:rsidRPr="003E0EF9">
        <w:trPr>
          <w:trHeight w:val="1243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C771C6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1D3748" w:rsidRDefault="00C07207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7F181B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</w:p>
          <w:p w:rsidR="007F181B" w:rsidRPr="003E0EF9" w:rsidRDefault="001D3748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Македонија</w:t>
            </w:r>
          </w:p>
          <w:p w:rsidR="007F181B" w:rsidRPr="003E0EF9" w:rsidRDefault="00C07207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="007F181B"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bookmarkStart w:id="4" w:name="Check16"/>
          <w:p w:rsidR="007F181B" w:rsidRPr="003E0EF9" w:rsidRDefault="00C07207" w:rsidP="001D3748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="007F181B"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 Македонија</w:t>
            </w:r>
          </w:p>
          <w:p w:rsidR="007F181B" w:rsidRPr="003E0EF9" w:rsidRDefault="00C07207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="007F181B"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7F181B" w:rsidRPr="003E0EF9">
        <w:trPr>
          <w:trHeight w:val="634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7F181B" w:rsidRPr="003E0EF9" w:rsidRDefault="008A6B92" w:rsidP="008A6B92">
            <w:pPr>
              <w:pStyle w:val="a8"/>
              <w:ind w:left="45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1865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7F181B" w:rsidRPr="003E0EF9" w:rsidRDefault="00C07207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="007F181B"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bookmarkStart w:id="7" w:name="Check18"/>
          <w:p w:rsidR="007F181B" w:rsidRPr="003E0EF9" w:rsidRDefault="00C07207" w:rsidP="00107852">
            <w:pPr>
              <w:pStyle w:val="a8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7F181B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939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7F181B" w:rsidRPr="003E0EF9" w:rsidRDefault="008A6B92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2272EB">
              <w:rPr>
                <w:rFonts w:ascii="StobiSerifPro" w:hAnsi="StobiSerifPro"/>
                <w:sz w:val="20"/>
                <w:szCs w:val="20"/>
                <w:lang w:val="mk-MK"/>
              </w:rPr>
              <w:t>05.06.2014 година</w:t>
            </w:r>
          </w:p>
        </w:tc>
      </w:tr>
      <w:tr w:rsidR="007F181B" w:rsidRPr="003E0EF9">
        <w:trPr>
          <w:trHeight w:val="691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8A6B92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09.06.2014 година</w:t>
            </w: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C53BBF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 w:rsidR="00C53BBF"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951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Рок за доставување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</w:tbl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1.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>Опи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с на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состојбите </w:t>
      </w:r>
    </w:p>
    <w:p w:rsidR="008A6B92" w:rsidRDefault="008A6B92" w:rsidP="0030509E">
      <w:pPr>
        <w:pStyle w:val="af0"/>
        <w:spacing w:before="120" w:beforeAutospacing="0" w:after="0" w:afterAutospacing="0"/>
        <w:ind w:left="720" w:firstLine="720"/>
        <w:jc w:val="both"/>
        <w:rPr>
          <w:rFonts w:ascii="StobiSerif" w:hAnsi="StobiSerif"/>
          <w:sz w:val="22"/>
          <w:szCs w:val="22"/>
        </w:rPr>
      </w:pPr>
      <w:r>
        <w:rPr>
          <w:rFonts w:ascii="StobiSerif" w:hAnsi="StobiSerif"/>
          <w:sz w:val="22"/>
          <w:szCs w:val="22"/>
        </w:rPr>
        <w:lastRenderedPageBreak/>
        <w:t>Со член 8 од постојниот з</w:t>
      </w:r>
      <w:r w:rsidRPr="00644DE2">
        <w:rPr>
          <w:rFonts w:ascii="StobiSerif" w:hAnsi="StobiSerif"/>
          <w:sz w:val="22"/>
          <w:szCs w:val="22"/>
        </w:rPr>
        <w:t>акон</w:t>
      </w:r>
      <w:r>
        <w:rPr>
          <w:rFonts w:ascii="StobiSerif" w:hAnsi="StobiSerif"/>
          <w:sz w:val="22"/>
          <w:szCs w:val="22"/>
        </w:rPr>
        <w:t xml:space="preserve"> е уредено дека</w:t>
      </w:r>
      <w:r w:rsidRPr="00644DE2">
        <w:rPr>
          <w:rFonts w:ascii="StobiSerif" w:hAnsi="StobiSerif"/>
          <w:sz w:val="22"/>
          <w:szCs w:val="22"/>
        </w:rPr>
        <w:t xml:space="preserve"> дарувањето делови од човечкото тело заради пресадување е</w:t>
      </w:r>
      <w:r>
        <w:rPr>
          <w:rFonts w:ascii="StobiSerif" w:hAnsi="StobiSerif"/>
          <w:sz w:val="22"/>
          <w:szCs w:val="22"/>
        </w:rPr>
        <w:t xml:space="preserve"> </w:t>
      </w:r>
      <w:r w:rsidRPr="00644DE2">
        <w:rPr>
          <w:rFonts w:ascii="StobiSerif" w:hAnsi="StobiSerif"/>
          <w:sz w:val="22"/>
          <w:szCs w:val="22"/>
        </w:rPr>
        <w:t>доброволно и без надоместок, односно забрането е да се дава или прима паричен надоместок или каква било друга корист за дарување на делови од човечкото тело.</w:t>
      </w:r>
      <w:r>
        <w:rPr>
          <w:rFonts w:ascii="StobiSerif" w:hAnsi="StobiSerif"/>
          <w:sz w:val="22"/>
          <w:szCs w:val="22"/>
        </w:rPr>
        <w:t xml:space="preserve"> </w:t>
      </w:r>
    </w:p>
    <w:p w:rsidR="008A6B92" w:rsidRPr="005D4DEB" w:rsidRDefault="008A6B92" w:rsidP="0030509E">
      <w:pPr>
        <w:pStyle w:val="a8"/>
        <w:ind w:firstLine="720"/>
        <w:jc w:val="both"/>
        <w:rPr>
          <w:rFonts w:ascii="StobiSerif" w:hAnsi="StobiSerif"/>
        </w:rPr>
      </w:pPr>
      <w:r>
        <w:rPr>
          <w:rFonts w:ascii="StobiSerif" w:hAnsi="StobiSerif"/>
        </w:rPr>
        <w:t xml:space="preserve">Истовремено, со Законот се уредени и исклучоците кои не се сметаат </w:t>
      </w:r>
      <w:r>
        <w:rPr>
          <w:rStyle w:val="footnote"/>
          <w:rFonts w:ascii="StobiSerif" w:hAnsi="StobiSerif"/>
        </w:rPr>
        <w:t>к</w:t>
      </w:r>
      <w:r w:rsidRPr="00F31AF1">
        <w:rPr>
          <w:rFonts w:ascii="StobiSerif" w:hAnsi="StobiSerif"/>
        </w:rPr>
        <w:t>ако надоместок или каква било друга корист во смисла на членот 8 од овој закон</w:t>
      </w:r>
      <w:r>
        <w:rPr>
          <w:rFonts w:ascii="StobiSerif" w:hAnsi="StobiSerif"/>
        </w:rPr>
        <w:t xml:space="preserve">, но не е уредено, односно не е предвидена можноста да се </w:t>
      </w:r>
      <w:r w:rsidRPr="001E2A17">
        <w:rPr>
          <w:rFonts w:ascii="StobiSerif" w:hAnsi="StobiSerif" w:cs="Arial"/>
        </w:rPr>
        <w:t>исплаќа парична помош на семејството на умреното лице, за погреб</w:t>
      </w:r>
      <w:r>
        <w:rPr>
          <w:rFonts w:ascii="StobiSerif" w:hAnsi="StobiSerif" w:cs="Arial"/>
        </w:rPr>
        <w:t>ал</w:t>
      </w:r>
      <w:r w:rsidRPr="001E2A17">
        <w:rPr>
          <w:rFonts w:ascii="StobiSerif" w:hAnsi="StobiSerif" w:cs="Arial"/>
        </w:rPr>
        <w:t>ни трошоци</w:t>
      </w:r>
      <w:r>
        <w:rPr>
          <w:rFonts w:ascii="StobiSerif" w:hAnsi="StobiSerif" w:cs="Arial"/>
        </w:rPr>
        <w:t>.</w:t>
      </w:r>
    </w:p>
    <w:p w:rsidR="00E62DC4" w:rsidRPr="003E0EF9" w:rsidRDefault="00E62DC4" w:rsidP="007F6CEE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П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ричини за проблемите кои се предмет на разгледување </w:t>
      </w:r>
    </w:p>
    <w:p w:rsidR="00E62DC4" w:rsidRPr="003E0EF9" w:rsidRDefault="00E62DC4" w:rsidP="00591C8C">
      <w:pPr>
        <w:jc w:val="both"/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D17C07" w:rsidRDefault="00E62DC4" w:rsidP="008A6B92">
      <w:pPr>
        <w:jc w:val="both"/>
        <w:rPr>
          <w:rStyle w:val="footnote"/>
          <w:rFonts w:ascii="StobiSerif" w:hAnsi="StobiSerif"/>
          <w:sz w:val="22"/>
          <w:szCs w:val="22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="008A6B92" w:rsidRPr="001E2A17">
        <w:rPr>
          <w:rFonts w:ascii="StobiSerif" w:hAnsi="StobiSerif" w:cs="Arial"/>
          <w:sz w:val="22"/>
          <w:szCs w:val="22"/>
          <w:lang w:val="mk-MK"/>
        </w:rPr>
        <w:t xml:space="preserve">Со овој Предлог закон </w:t>
      </w:r>
      <w:r w:rsidR="00D17C07">
        <w:rPr>
          <w:rFonts w:ascii="StobiSerif" w:hAnsi="StobiSerif" w:cs="Arial"/>
          <w:sz w:val="22"/>
          <w:szCs w:val="22"/>
          <w:lang w:val="mk-MK"/>
        </w:rPr>
        <w:t>ќе се изврши допрецизирање на постојната одредба од Законот</w:t>
      </w:r>
      <w:r w:rsidR="00D17C07" w:rsidRPr="00CA1D52">
        <w:rPr>
          <w:rStyle w:val="footnote"/>
          <w:rFonts w:ascii="StobiSerif" w:hAnsi="StobiSerif"/>
          <w:sz w:val="22"/>
          <w:szCs w:val="22"/>
        </w:rPr>
        <w:t xml:space="preserve"> за земање и пресадување на делови </w:t>
      </w:r>
      <w:r w:rsidR="00D17C07">
        <w:rPr>
          <w:rStyle w:val="footnote"/>
          <w:rFonts w:ascii="StobiSerif" w:hAnsi="StobiSerif"/>
          <w:sz w:val="22"/>
          <w:szCs w:val="22"/>
          <w:lang w:val="mk-MK"/>
        </w:rPr>
        <w:t>од</w:t>
      </w:r>
      <w:r w:rsidR="00D17C07" w:rsidRPr="00CA1D52">
        <w:rPr>
          <w:rStyle w:val="footnote"/>
          <w:rFonts w:ascii="StobiSerif" w:hAnsi="StobiSerif"/>
          <w:sz w:val="22"/>
          <w:szCs w:val="22"/>
        </w:rPr>
        <w:t xml:space="preserve"> човечкото тело заради лекување</w:t>
      </w:r>
      <w:r w:rsidR="00D17C07">
        <w:rPr>
          <w:rStyle w:val="footnote"/>
          <w:rFonts w:ascii="StobiSerif" w:hAnsi="StobiSerif"/>
          <w:sz w:val="22"/>
          <w:szCs w:val="22"/>
          <w:lang w:val="mk-MK"/>
        </w:rPr>
        <w:t>.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3.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 w:rsidRPr="003E0EF9"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E62DC4" w:rsidRPr="003E0EF9" w:rsidRDefault="00E62DC4" w:rsidP="00591C8C">
      <w:pPr>
        <w:tabs>
          <w:tab w:val="left" w:pos="675"/>
        </w:tabs>
        <w:spacing w:line="276" w:lineRule="auto"/>
        <w:rPr>
          <w:rFonts w:ascii="StobiSerifPro" w:hAnsi="StobiSerifPro" w:cs="Calibri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Опис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можните решенија (опции) за решавање на </w:t>
      </w:r>
      <w:r>
        <w:rPr>
          <w:rFonts w:ascii="StobiSerifPro" w:hAnsi="StobiSerifPro"/>
          <w:i/>
          <w:sz w:val="20"/>
          <w:szCs w:val="20"/>
          <w:lang w:val="mk-MK"/>
        </w:rPr>
        <w:t>проблемот</w:t>
      </w:r>
    </w:p>
    <w:p w:rsidR="00867875" w:rsidRDefault="00867875" w:rsidP="00867875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</w:p>
    <w:p w:rsidR="00867875" w:rsidRDefault="00867875" w:rsidP="0030509E">
      <w:pPr>
        <w:ind w:left="675"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1E2A17">
        <w:rPr>
          <w:rFonts w:ascii="StobiSerif" w:hAnsi="StobiSerif" w:cs="Arial"/>
          <w:sz w:val="22"/>
          <w:szCs w:val="22"/>
          <w:lang w:val="mk-MK"/>
        </w:rPr>
        <w:t xml:space="preserve">Со </w:t>
      </w:r>
      <w:r>
        <w:rPr>
          <w:rFonts w:ascii="StobiSerif" w:hAnsi="StobiSerif" w:cs="Arial"/>
          <w:sz w:val="22"/>
          <w:szCs w:val="22"/>
          <w:lang w:val="mk-MK"/>
        </w:rPr>
        <w:t>предложеното дополнување ќе се изврши допрецизирање на постојната одредба од Законот</w:t>
      </w:r>
      <w:r w:rsidRPr="00CA1D52">
        <w:rPr>
          <w:rStyle w:val="footnote"/>
          <w:rFonts w:ascii="StobiSerif" w:hAnsi="StobiSerif"/>
          <w:sz w:val="22"/>
          <w:szCs w:val="22"/>
        </w:rPr>
        <w:t xml:space="preserve"> за земање и пресадување на делови </w:t>
      </w:r>
      <w:r>
        <w:rPr>
          <w:rStyle w:val="footnote"/>
          <w:rFonts w:ascii="StobiSerif" w:hAnsi="StobiSerif"/>
          <w:sz w:val="22"/>
          <w:szCs w:val="22"/>
          <w:lang w:val="mk-MK"/>
        </w:rPr>
        <w:t>од</w:t>
      </w:r>
      <w:r w:rsidRPr="00CA1D52">
        <w:rPr>
          <w:rStyle w:val="footnote"/>
          <w:rFonts w:ascii="StobiSerif" w:hAnsi="StobiSerif"/>
          <w:sz w:val="22"/>
          <w:szCs w:val="22"/>
        </w:rPr>
        <w:t xml:space="preserve"> човечкото тело заради лекување</w:t>
      </w:r>
      <w:r>
        <w:rPr>
          <w:rFonts w:ascii="StobiSerif" w:hAnsi="StobiSerif" w:cs="Arial"/>
          <w:sz w:val="22"/>
          <w:szCs w:val="22"/>
          <w:lang w:val="mk-MK"/>
        </w:rPr>
        <w:t xml:space="preserve"> на начин што</w:t>
      </w:r>
      <w:r w:rsidRPr="001E2A17">
        <w:rPr>
          <w:rFonts w:ascii="StobiSerif" w:hAnsi="StobiSerif" w:cs="Arial"/>
          <w:sz w:val="22"/>
          <w:szCs w:val="22"/>
          <w:lang w:val="mk-MK"/>
        </w:rPr>
        <w:t xml:space="preserve"> се предлага исплаќање на парична помош на семејството на умреното лице, за погребни трошоци со цел да се помогне финансиски на семејството на умреното лице</w:t>
      </w:r>
      <w:r>
        <w:rPr>
          <w:rFonts w:ascii="StobiSerif" w:hAnsi="StobiSerif" w:cs="Arial"/>
          <w:sz w:val="22"/>
          <w:szCs w:val="22"/>
          <w:lang w:val="mk-MK"/>
        </w:rPr>
        <w:t xml:space="preserve"> - дарител на органи</w:t>
      </w:r>
      <w:r w:rsidRPr="001E2A17">
        <w:rPr>
          <w:rFonts w:ascii="StobiSerif" w:hAnsi="StobiSerif" w:cs="Arial"/>
          <w:sz w:val="22"/>
          <w:szCs w:val="22"/>
          <w:lang w:val="mk-MK"/>
        </w:rPr>
        <w:t>.</w:t>
      </w:r>
    </w:p>
    <w:p w:rsidR="00867875" w:rsidRDefault="00867875" w:rsidP="00867875">
      <w:pPr>
        <w:jc w:val="both"/>
        <w:rPr>
          <w:rStyle w:val="footnote"/>
          <w:rFonts w:ascii="StobiSerif" w:hAnsi="StobiSerif"/>
          <w:sz w:val="22"/>
          <w:szCs w:val="22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A5FBC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позитивни и негативни влијанија од секоја од опциите</w:t>
      </w:r>
      <w:r>
        <w:rPr>
          <w:rFonts w:ascii="StobiSerifPro" w:hAnsi="StobiSerifPro"/>
          <w:i/>
          <w:sz w:val="20"/>
          <w:szCs w:val="20"/>
          <w:lang w:val="mk-MK"/>
        </w:rPr>
        <w:t>: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Економски влијанија </w:t>
      </w:r>
    </w:p>
    <w:p w:rsidR="00E62DC4" w:rsidRPr="003E0EF9" w:rsidRDefault="00AA6B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AA6B98" w:rsidRPr="005E7920" w:rsidRDefault="00AA6B98" w:rsidP="004D3798">
      <w:pPr>
        <w:ind w:left="720"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AA6B98">
        <w:rPr>
          <w:rFonts w:ascii="StobiSerifPro" w:hAnsi="StobiSerifPro"/>
          <w:sz w:val="22"/>
          <w:szCs w:val="22"/>
          <w:lang w:val="mk-MK"/>
        </w:rPr>
        <w:t>Да. Со</w:t>
      </w:r>
      <w:r>
        <w:rPr>
          <w:rFonts w:ascii="StobiSerifPro" w:hAnsi="StobiSerifPro"/>
          <w:sz w:val="20"/>
          <w:szCs w:val="20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предложеното дополнување на Законот произлегува обврска за обезбедување средства од Буџетот на Република Македонија, согласно програма во рамки на средствата од сопствени приходи на Министерството за здравство.</w:t>
      </w:r>
    </w:p>
    <w:p w:rsidR="00AA6B98" w:rsidRDefault="00AA6B98" w:rsidP="00AA6B98">
      <w:pPr>
        <w:ind w:left="720" w:firstLine="720"/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Социјални влијанија </w:t>
      </w:r>
    </w:p>
    <w:p w:rsidR="00E62DC4" w:rsidRDefault="004D37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4.5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а) трошоци за спроведување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E62DC4" w:rsidRPr="003E0EF9" w:rsidRDefault="00E62DC4" w:rsidP="00E62DC4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i/>
          <w:iCs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5.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2661AB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З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асегнати страни </w:t>
      </w:r>
      <w:r>
        <w:rPr>
          <w:rFonts w:ascii="StobiSerifPro" w:hAnsi="StobiSerifPro"/>
          <w:i/>
          <w:sz w:val="20"/>
          <w:szCs w:val="20"/>
          <w:lang w:val="mk-MK"/>
        </w:rPr>
        <w:t>и начин на вклучување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реглед на добиените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и вградените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мислења 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ислења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та кои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не биле земени предвид и зошто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С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поред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бен преглед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позитивните и негативните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влијанија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на можните решенија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(опции)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Р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изици во спроведувањето и примената на секое од можните решенија (опции)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30509E" w:rsidRDefault="00E62DC4" w:rsidP="0030509E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репорачано решение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со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образложение</w:t>
      </w:r>
    </w:p>
    <w:p w:rsidR="0030509E" w:rsidRDefault="0030509E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1E2A17">
        <w:rPr>
          <w:rFonts w:ascii="StobiSerif" w:hAnsi="StobiSerif" w:cs="Arial"/>
          <w:sz w:val="22"/>
          <w:szCs w:val="22"/>
          <w:lang w:val="mk-MK"/>
        </w:rPr>
        <w:t>се предлага исплаќање на парична помош на семејството на умреното лице, за погребни трошоци со цел да се помогне финансиски на семејството на умреното лице</w:t>
      </w:r>
      <w:r>
        <w:rPr>
          <w:rFonts w:ascii="StobiSerif" w:hAnsi="StobiSerif" w:cs="Arial"/>
          <w:sz w:val="22"/>
          <w:szCs w:val="22"/>
          <w:lang w:val="mk-MK"/>
        </w:rPr>
        <w:t xml:space="preserve"> - дарител на органи</w:t>
      </w:r>
      <w:r w:rsidRPr="001E2A17">
        <w:rPr>
          <w:rFonts w:ascii="StobiSerif" w:hAnsi="StobiSerif" w:cs="Arial"/>
          <w:sz w:val="22"/>
          <w:szCs w:val="22"/>
          <w:lang w:val="mk-MK"/>
        </w:rPr>
        <w:t>.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E62DC4" w:rsidRDefault="00E62DC4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30509E" w:rsidRDefault="0030509E" w:rsidP="0030509E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1E2A17">
        <w:rPr>
          <w:rFonts w:ascii="StobiSerif" w:hAnsi="StobiSerif" w:cs="Arial"/>
          <w:sz w:val="22"/>
          <w:szCs w:val="22"/>
          <w:lang w:val="mk-MK"/>
        </w:rPr>
        <w:t xml:space="preserve">Со овој </w:t>
      </w:r>
      <w:r>
        <w:rPr>
          <w:rFonts w:ascii="StobiSerif" w:hAnsi="StobiSerif" w:cs="Arial"/>
          <w:sz w:val="22"/>
          <w:szCs w:val="22"/>
          <w:lang w:val="mk-MK"/>
        </w:rPr>
        <w:t xml:space="preserve">Предлог </w:t>
      </w:r>
      <w:r w:rsidRPr="001E2A17">
        <w:rPr>
          <w:rFonts w:ascii="StobiSerif" w:hAnsi="StobiSerif" w:cs="Arial"/>
          <w:sz w:val="22"/>
          <w:szCs w:val="22"/>
          <w:lang w:val="mk-MK"/>
        </w:rPr>
        <w:t xml:space="preserve">закон </w:t>
      </w:r>
      <w:r>
        <w:rPr>
          <w:rFonts w:ascii="StobiSerif" w:hAnsi="StobiSerif" w:cs="Arial"/>
          <w:sz w:val="22"/>
          <w:szCs w:val="22"/>
          <w:lang w:val="mk-MK"/>
        </w:rPr>
        <w:t xml:space="preserve">се </w:t>
      </w:r>
      <w:r w:rsidRPr="00CA1D52">
        <w:rPr>
          <w:rFonts w:ascii="StobiSerif" w:hAnsi="StobiSerif" w:cs="Arial"/>
          <w:sz w:val="22"/>
          <w:szCs w:val="22"/>
          <w:lang w:val="mk-MK"/>
        </w:rPr>
        <w:t xml:space="preserve">врши </w:t>
      </w:r>
      <w:r>
        <w:rPr>
          <w:rFonts w:ascii="StobiSerif" w:hAnsi="StobiSerif" w:cs="Arial"/>
          <w:sz w:val="22"/>
          <w:szCs w:val="22"/>
          <w:lang w:val="mk-MK"/>
        </w:rPr>
        <w:t xml:space="preserve">дополнување на член од постојниот закон со кое се предлага парична помош на семејството за трошоците кои се поврзани со погребување на умреното лице </w:t>
      </w:r>
      <w:r w:rsidRPr="00A35574">
        <w:rPr>
          <w:rFonts w:ascii="StobiSerif" w:hAnsi="StobiSerif" w:cs="Arial"/>
          <w:sz w:val="22"/>
          <w:szCs w:val="22"/>
        </w:rPr>
        <w:t>од кое се земени делови од телото заради пресадувањ</w:t>
      </w:r>
      <w:r w:rsidRPr="00A35574">
        <w:rPr>
          <w:rFonts w:ascii="StobiSerif" w:hAnsi="StobiSerif" w:cs="Arial"/>
          <w:sz w:val="22"/>
          <w:szCs w:val="22"/>
          <w:lang w:val="mk-MK"/>
        </w:rPr>
        <w:t>е</w:t>
      </w:r>
      <w:r>
        <w:rPr>
          <w:rFonts w:ascii="StobiSerif" w:hAnsi="StobiSerif" w:cs="Arial"/>
          <w:sz w:val="22"/>
          <w:szCs w:val="22"/>
          <w:lang w:val="mk-MK"/>
        </w:rPr>
        <w:t xml:space="preserve"> во телото на друго лице заради лекување.</w:t>
      </w:r>
    </w:p>
    <w:p w:rsidR="0030509E" w:rsidRDefault="0030509E" w:rsidP="0030509E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 xml:space="preserve">Износот на трошоците се предлага да биде во висина на </w:t>
      </w:r>
      <w:r w:rsidRPr="00A35574">
        <w:rPr>
          <w:rFonts w:ascii="StobiSerif" w:hAnsi="StobiSerif" w:cs="Arial"/>
          <w:sz w:val="22"/>
          <w:szCs w:val="22"/>
        </w:rPr>
        <w:t xml:space="preserve"> реални</w:t>
      </w:r>
      <w:r>
        <w:rPr>
          <w:rFonts w:ascii="StobiSerif" w:hAnsi="StobiSerif" w:cs="Arial"/>
          <w:sz w:val="22"/>
          <w:szCs w:val="22"/>
          <w:lang w:val="mk-MK"/>
        </w:rPr>
        <w:t>те</w:t>
      </w:r>
      <w:r w:rsidRPr="00A35574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погребални</w:t>
      </w:r>
      <w:r w:rsidRPr="00A35574">
        <w:rPr>
          <w:rFonts w:ascii="StobiSerif" w:hAnsi="StobiSerif" w:cs="Arial"/>
          <w:sz w:val="22"/>
          <w:szCs w:val="22"/>
        </w:rPr>
        <w:t xml:space="preserve"> трошоци, </w:t>
      </w:r>
      <w:r w:rsidRPr="0057759F">
        <w:rPr>
          <w:rFonts w:ascii="StobiSerif" w:hAnsi="StobiSerif" w:cs="Arial"/>
          <w:sz w:val="22"/>
          <w:szCs w:val="22"/>
        </w:rPr>
        <w:t xml:space="preserve">но најмногу до </w:t>
      </w:r>
      <w:r w:rsidRPr="0057759F">
        <w:rPr>
          <w:rFonts w:ascii="StobiSerif" w:hAnsi="StobiSerif" w:cs="Arial"/>
          <w:sz w:val="22"/>
          <w:szCs w:val="22"/>
          <w:lang w:val="mk-MK"/>
        </w:rPr>
        <w:t>три</w:t>
      </w:r>
      <w:r w:rsidRPr="0057759F">
        <w:rPr>
          <w:rFonts w:ascii="StobiSerif" w:hAnsi="StobiSerif" w:cs="Arial"/>
          <w:sz w:val="22"/>
          <w:szCs w:val="22"/>
        </w:rPr>
        <w:t xml:space="preserve"> просечн</w:t>
      </w:r>
      <w:r w:rsidRPr="0057759F">
        <w:rPr>
          <w:rFonts w:ascii="StobiSerif" w:hAnsi="StobiSerif" w:cs="Arial"/>
          <w:sz w:val="22"/>
          <w:szCs w:val="22"/>
          <w:lang w:val="mk-MK"/>
        </w:rPr>
        <w:t>и</w:t>
      </w:r>
      <w:r w:rsidRPr="0057759F">
        <w:rPr>
          <w:rFonts w:ascii="StobiSerif" w:hAnsi="StobiSerif" w:cs="Arial"/>
          <w:sz w:val="22"/>
          <w:szCs w:val="22"/>
        </w:rPr>
        <w:t xml:space="preserve"> месечн</w:t>
      </w:r>
      <w:r w:rsidRPr="0057759F">
        <w:rPr>
          <w:rFonts w:ascii="StobiSerif" w:hAnsi="StobiSerif" w:cs="Arial"/>
          <w:sz w:val="22"/>
          <w:szCs w:val="22"/>
          <w:lang w:val="mk-MK"/>
        </w:rPr>
        <w:t>и</w:t>
      </w:r>
      <w:r w:rsidRPr="0057759F">
        <w:rPr>
          <w:rFonts w:ascii="StobiSerif" w:hAnsi="StobiSerif" w:cs="Arial"/>
          <w:sz w:val="22"/>
          <w:szCs w:val="22"/>
        </w:rPr>
        <w:t xml:space="preserve"> плат</w:t>
      </w:r>
      <w:r w:rsidRPr="0057759F">
        <w:rPr>
          <w:rFonts w:ascii="StobiSerif" w:hAnsi="StobiSerif" w:cs="Arial"/>
          <w:sz w:val="22"/>
          <w:szCs w:val="22"/>
          <w:lang w:val="mk-MK"/>
        </w:rPr>
        <w:t>и</w:t>
      </w:r>
      <w:r w:rsidRPr="0057759F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 xml:space="preserve">остварени </w:t>
      </w:r>
      <w:r w:rsidRPr="0057759F">
        <w:rPr>
          <w:rFonts w:ascii="StobiSerif" w:hAnsi="StobiSerif" w:cs="Arial"/>
          <w:sz w:val="22"/>
          <w:szCs w:val="22"/>
        </w:rPr>
        <w:t>во Република Македонија</w:t>
      </w:r>
      <w:r>
        <w:rPr>
          <w:rFonts w:ascii="StobiSerif" w:hAnsi="StobiSerif" w:cs="Arial"/>
          <w:sz w:val="22"/>
          <w:szCs w:val="22"/>
          <w:lang w:val="mk-MK"/>
        </w:rPr>
        <w:t xml:space="preserve"> во последниот месец пред настапувањето на смртта</w:t>
      </w:r>
      <w:r w:rsidRPr="0057759F">
        <w:rPr>
          <w:rFonts w:ascii="StobiSerif" w:hAnsi="StobiSerif" w:cs="Arial"/>
          <w:sz w:val="22"/>
          <w:szCs w:val="22"/>
        </w:rPr>
        <w:t>,</w:t>
      </w:r>
      <w:r>
        <w:rPr>
          <w:rFonts w:ascii="StobiSerif" w:hAnsi="StobiSerif" w:cs="Arial"/>
          <w:sz w:val="22"/>
          <w:szCs w:val="22"/>
          <w:lang w:val="mk-MK"/>
        </w:rPr>
        <w:t xml:space="preserve"> утврдени според податоците објавени од Државниот завод за статистика.</w:t>
      </w:r>
      <w:r w:rsidRPr="00A35574">
        <w:rPr>
          <w:rFonts w:ascii="StobiSerif" w:hAnsi="StobiSerif" w:cs="Arial"/>
          <w:sz w:val="22"/>
          <w:szCs w:val="22"/>
        </w:rPr>
        <w:t xml:space="preserve"> </w:t>
      </w:r>
    </w:p>
    <w:p w:rsidR="0030509E" w:rsidRPr="003E0EF9" w:rsidRDefault="0030509E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7.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Потреба од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менување на закони и подзаконска регулатива во областа или други сродни области</w:t>
      </w:r>
    </w:p>
    <w:p w:rsidR="00E62DC4" w:rsidRPr="004D3798" w:rsidRDefault="004D3798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Потребни 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одзаконски акти и рок за нивно </w:t>
      </w:r>
      <w:r>
        <w:rPr>
          <w:rFonts w:ascii="StobiSerifPro" w:hAnsi="StobiSerifPro"/>
          <w:i/>
          <w:sz w:val="20"/>
          <w:szCs w:val="20"/>
          <w:lang w:val="mk-MK"/>
        </w:rPr>
        <w:t>донесување</w:t>
      </w:r>
    </w:p>
    <w:p w:rsidR="00E62DC4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О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ргани на државната управа, државни органи и други органи надлежни за спроведување</w:t>
      </w:r>
    </w:p>
    <w:p w:rsidR="00E62DC4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  <w:t>Министерство за здравство</w:t>
      </w:r>
    </w:p>
    <w:p w:rsidR="004D3798" w:rsidRPr="004D3798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ктивности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обезбед</w:t>
      </w:r>
      <w:r>
        <w:rPr>
          <w:rFonts w:ascii="StobiSerifPro" w:hAnsi="StobiSerifPro"/>
          <w:i/>
          <w:sz w:val="20"/>
          <w:szCs w:val="20"/>
          <w:lang w:val="mk-MK"/>
        </w:rPr>
        <w:t>ување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ефикасно спроведување на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 на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закон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8.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Начин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след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ење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спроведувањето 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8.2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Евалуација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ефектите од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на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закон и рокови </w:t>
      </w:r>
    </w:p>
    <w:p w:rsidR="003B3CC1" w:rsidRPr="003E0EF9" w:rsidRDefault="003B3CC1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31474" w:rsidRDefault="00531474" w:rsidP="007F181B">
      <w:pPr>
        <w:rPr>
          <w:rFonts w:ascii="StobiSerifPro" w:hAnsi="StobiSerifPro"/>
          <w:sz w:val="20"/>
          <w:szCs w:val="20"/>
          <w:lang w:val="mk-MK"/>
        </w:rPr>
      </w:pPr>
    </w:p>
    <w:p w:rsidR="00AF6305" w:rsidRPr="003E0EF9" w:rsidRDefault="00AF6305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70F32" w:rsidRPr="00D742F3" w:rsidRDefault="00170F32" w:rsidP="00072558">
      <w:pP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државниот секретар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Нацрт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 xml:space="preserve"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</w:t>
      </w:r>
      <w:r w:rsidRPr="00D742F3">
        <w:rPr>
          <w:rFonts w:ascii="StobiSerifPro" w:hAnsi="StobiSerifPro"/>
          <w:b/>
          <w:sz w:val="18"/>
          <w:szCs w:val="18"/>
          <w:lang w:val="mk-MK"/>
        </w:rPr>
        <w:lastRenderedPageBreak/>
        <w:t>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</w:t>
      </w:r>
    </w:p>
    <w:p w:rsidR="00455DB3" w:rsidRPr="00D742F3" w:rsidRDefault="00455DB3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8C3EB0">
        <w:rPr>
          <w:rFonts w:ascii="StobiSerifPro" w:hAnsi="StobiSerifPro"/>
          <w:b/>
          <w:sz w:val="18"/>
          <w:szCs w:val="18"/>
          <w:lang w:val="mk-MK"/>
        </w:rPr>
        <w:t>Датум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: </w:t>
      </w:r>
      <w:r w:rsidRPr="008C3EB0">
        <w:rPr>
          <w:rFonts w:ascii="StobiSerifPro" w:hAnsi="StobiSerifPro"/>
          <w:b/>
          <w:sz w:val="18"/>
          <w:szCs w:val="18"/>
          <w:lang w:val="mk-MK"/>
        </w:rPr>
        <w:t xml:space="preserve">_____________                                                                       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                      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..................................................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  <w:t xml:space="preserve">                                потпис на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државен секретар</w:t>
      </w: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sectPr w:rsidR="007D072F" w:rsidSect="006528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C0" w:rsidRDefault="001C43C0" w:rsidP="005D078B">
      <w:r>
        <w:separator/>
      </w:r>
    </w:p>
  </w:endnote>
  <w:endnote w:type="continuationSeparator" w:id="0">
    <w:p w:rsidR="001C43C0" w:rsidRDefault="001C43C0" w:rsidP="005D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C" w:rsidRDefault="00C07207">
    <w:pPr>
      <w:pStyle w:val="a5"/>
      <w:jc w:val="right"/>
    </w:pPr>
    <w:fldSimple w:instr=" PAGE   \* MERGEFORMAT ">
      <w:r w:rsidR="00AC0CDA">
        <w:rPr>
          <w:noProof/>
        </w:rPr>
        <w:t>2</w:t>
      </w:r>
    </w:fldSimple>
  </w:p>
  <w:p w:rsidR="001B51EC" w:rsidRDefault="001B51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C0" w:rsidRDefault="001C43C0" w:rsidP="005D078B">
      <w:r>
        <w:separator/>
      </w:r>
    </w:p>
  </w:footnote>
  <w:footnote w:type="continuationSeparator" w:id="0">
    <w:p w:rsidR="001C43C0" w:rsidRDefault="001C43C0" w:rsidP="005D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116"/>
    <w:rsid w:val="00015512"/>
    <w:rsid w:val="000352F4"/>
    <w:rsid w:val="000439E4"/>
    <w:rsid w:val="0005368C"/>
    <w:rsid w:val="00061B9B"/>
    <w:rsid w:val="000633D7"/>
    <w:rsid w:val="00067008"/>
    <w:rsid w:val="00072558"/>
    <w:rsid w:val="0007343E"/>
    <w:rsid w:val="00085B49"/>
    <w:rsid w:val="000B198F"/>
    <w:rsid w:val="000D0C68"/>
    <w:rsid w:val="000D58B0"/>
    <w:rsid w:val="000E0336"/>
    <w:rsid w:val="00107852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A2D55"/>
    <w:rsid w:val="001A4C39"/>
    <w:rsid w:val="001B0E2D"/>
    <w:rsid w:val="001B51EC"/>
    <w:rsid w:val="001C43C0"/>
    <w:rsid w:val="001D3748"/>
    <w:rsid w:val="001D3EC3"/>
    <w:rsid w:val="001E7452"/>
    <w:rsid w:val="002027AA"/>
    <w:rsid w:val="00207476"/>
    <w:rsid w:val="00212EDD"/>
    <w:rsid w:val="00221332"/>
    <w:rsid w:val="002272EB"/>
    <w:rsid w:val="00234966"/>
    <w:rsid w:val="00235145"/>
    <w:rsid w:val="00237A30"/>
    <w:rsid w:val="002419C8"/>
    <w:rsid w:val="00256462"/>
    <w:rsid w:val="00265FE8"/>
    <w:rsid w:val="002661AB"/>
    <w:rsid w:val="00280DA2"/>
    <w:rsid w:val="00281E7C"/>
    <w:rsid w:val="00297CE3"/>
    <w:rsid w:val="002A7CB6"/>
    <w:rsid w:val="002A7ED0"/>
    <w:rsid w:val="002F32BE"/>
    <w:rsid w:val="0030509E"/>
    <w:rsid w:val="0032408F"/>
    <w:rsid w:val="00331E38"/>
    <w:rsid w:val="003361B3"/>
    <w:rsid w:val="00360BAA"/>
    <w:rsid w:val="003702F3"/>
    <w:rsid w:val="003B3CC1"/>
    <w:rsid w:val="003B53E6"/>
    <w:rsid w:val="003C0C5D"/>
    <w:rsid w:val="003D5A8E"/>
    <w:rsid w:val="003E0EF9"/>
    <w:rsid w:val="003E1B7F"/>
    <w:rsid w:val="00417E88"/>
    <w:rsid w:val="0042602D"/>
    <w:rsid w:val="004461D8"/>
    <w:rsid w:val="00446535"/>
    <w:rsid w:val="004550B7"/>
    <w:rsid w:val="00455DB3"/>
    <w:rsid w:val="004628D6"/>
    <w:rsid w:val="0046334E"/>
    <w:rsid w:val="00465D8D"/>
    <w:rsid w:val="00482CD6"/>
    <w:rsid w:val="00484181"/>
    <w:rsid w:val="0049117A"/>
    <w:rsid w:val="0049749E"/>
    <w:rsid w:val="004A4C8B"/>
    <w:rsid w:val="004B09FF"/>
    <w:rsid w:val="004B79FB"/>
    <w:rsid w:val="004D2B8B"/>
    <w:rsid w:val="004D3798"/>
    <w:rsid w:val="004E063F"/>
    <w:rsid w:val="004E25C6"/>
    <w:rsid w:val="004F384F"/>
    <w:rsid w:val="00501DD6"/>
    <w:rsid w:val="00507ADB"/>
    <w:rsid w:val="00512FB8"/>
    <w:rsid w:val="00531474"/>
    <w:rsid w:val="00533977"/>
    <w:rsid w:val="005359CD"/>
    <w:rsid w:val="00553A01"/>
    <w:rsid w:val="00556B98"/>
    <w:rsid w:val="00566B4B"/>
    <w:rsid w:val="005918AE"/>
    <w:rsid w:val="00591C8C"/>
    <w:rsid w:val="005A2F24"/>
    <w:rsid w:val="005A7F54"/>
    <w:rsid w:val="005C0380"/>
    <w:rsid w:val="005D078B"/>
    <w:rsid w:val="005D0CB8"/>
    <w:rsid w:val="005F40B5"/>
    <w:rsid w:val="00602363"/>
    <w:rsid w:val="00605AC4"/>
    <w:rsid w:val="0062524F"/>
    <w:rsid w:val="00631C96"/>
    <w:rsid w:val="0063477A"/>
    <w:rsid w:val="00645F3E"/>
    <w:rsid w:val="006528BA"/>
    <w:rsid w:val="0066032B"/>
    <w:rsid w:val="00670EE1"/>
    <w:rsid w:val="0067554A"/>
    <w:rsid w:val="00692E09"/>
    <w:rsid w:val="006A1297"/>
    <w:rsid w:val="006A2250"/>
    <w:rsid w:val="006A5FBC"/>
    <w:rsid w:val="006C3F95"/>
    <w:rsid w:val="006E7399"/>
    <w:rsid w:val="006F1327"/>
    <w:rsid w:val="006F3A1E"/>
    <w:rsid w:val="006F3F28"/>
    <w:rsid w:val="006F6A5D"/>
    <w:rsid w:val="00753914"/>
    <w:rsid w:val="00767BDE"/>
    <w:rsid w:val="00781C95"/>
    <w:rsid w:val="007B47AF"/>
    <w:rsid w:val="007D072F"/>
    <w:rsid w:val="007E1A92"/>
    <w:rsid w:val="007E6A7A"/>
    <w:rsid w:val="007F181B"/>
    <w:rsid w:val="007F6CEE"/>
    <w:rsid w:val="008063DE"/>
    <w:rsid w:val="0081643D"/>
    <w:rsid w:val="00836C90"/>
    <w:rsid w:val="00855CE5"/>
    <w:rsid w:val="00867875"/>
    <w:rsid w:val="008740B8"/>
    <w:rsid w:val="0087764B"/>
    <w:rsid w:val="008808D7"/>
    <w:rsid w:val="00893725"/>
    <w:rsid w:val="00895372"/>
    <w:rsid w:val="008A6B92"/>
    <w:rsid w:val="008B0EC9"/>
    <w:rsid w:val="008C3EB0"/>
    <w:rsid w:val="008D4415"/>
    <w:rsid w:val="008E0654"/>
    <w:rsid w:val="008E1840"/>
    <w:rsid w:val="00902B99"/>
    <w:rsid w:val="009234AE"/>
    <w:rsid w:val="009318F9"/>
    <w:rsid w:val="009340C9"/>
    <w:rsid w:val="009369BE"/>
    <w:rsid w:val="00946798"/>
    <w:rsid w:val="0097159F"/>
    <w:rsid w:val="00973CBD"/>
    <w:rsid w:val="009828BF"/>
    <w:rsid w:val="00983FD7"/>
    <w:rsid w:val="00991E21"/>
    <w:rsid w:val="009C2EE5"/>
    <w:rsid w:val="009C3116"/>
    <w:rsid w:val="009C5DF0"/>
    <w:rsid w:val="009E0C3F"/>
    <w:rsid w:val="009E6967"/>
    <w:rsid w:val="009F562C"/>
    <w:rsid w:val="009F5772"/>
    <w:rsid w:val="00A07197"/>
    <w:rsid w:val="00A106B3"/>
    <w:rsid w:val="00A22142"/>
    <w:rsid w:val="00A4639C"/>
    <w:rsid w:val="00A5132C"/>
    <w:rsid w:val="00AA6B98"/>
    <w:rsid w:val="00AC0CDA"/>
    <w:rsid w:val="00AD3D6A"/>
    <w:rsid w:val="00AF02DD"/>
    <w:rsid w:val="00AF6305"/>
    <w:rsid w:val="00B020B6"/>
    <w:rsid w:val="00B03D61"/>
    <w:rsid w:val="00B22971"/>
    <w:rsid w:val="00B25FB1"/>
    <w:rsid w:val="00B262AC"/>
    <w:rsid w:val="00B413F0"/>
    <w:rsid w:val="00B53720"/>
    <w:rsid w:val="00B62F42"/>
    <w:rsid w:val="00B73551"/>
    <w:rsid w:val="00B763E7"/>
    <w:rsid w:val="00B86F35"/>
    <w:rsid w:val="00BA0DB9"/>
    <w:rsid w:val="00BB13A3"/>
    <w:rsid w:val="00BB4C59"/>
    <w:rsid w:val="00BB78A8"/>
    <w:rsid w:val="00BE38D9"/>
    <w:rsid w:val="00BF15BB"/>
    <w:rsid w:val="00C07207"/>
    <w:rsid w:val="00C1070B"/>
    <w:rsid w:val="00C11672"/>
    <w:rsid w:val="00C53BBF"/>
    <w:rsid w:val="00C53E27"/>
    <w:rsid w:val="00C54C8F"/>
    <w:rsid w:val="00C60F2E"/>
    <w:rsid w:val="00C748FF"/>
    <w:rsid w:val="00C771C6"/>
    <w:rsid w:val="00C81A9A"/>
    <w:rsid w:val="00C95479"/>
    <w:rsid w:val="00C966BD"/>
    <w:rsid w:val="00CA0DB7"/>
    <w:rsid w:val="00CB1448"/>
    <w:rsid w:val="00CB16F6"/>
    <w:rsid w:val="00CC2D48"/>
    <w:rsid w:val="00CC42E3"/>
    <w:rsid w:val="00CF785A"/>
    <w:rsid w:val="00D03074"/>
    <w:rsid w:val="00D100CE"/>
    <w:rsid w:val="00D17C07"/>
    <w:rsid w:val="00D22484"/>
    <w:rsid w:val="00D445B8"/>
    <w:rsid w:val="00D50A39"/>
    <w:rsid w:val="00D56D75"/>
    <w:rsid w:val="00D742F3"/>
    <w:rsid w:val="00D8668E"/>
    <w:rsid w:val="00D94BB8"/>
    <w:rsid w:val="00D960D8"/>
    <w:rsid w:val="00DA6A84"/>
    <w:rsid w:val="00DB50A6"/>
    <w:rsid w:val="00DC1A79"/>
    <w:rsid w:val="00DC2CEF"/>
    <w:rsid w:val="00DC4158"/>
    <w:rsid w:val="00DE49F3"/>
    <w:rsid w:val="00DE743D"/>
    <w:rsid w:val="00DF0B26"/>
    <w:rsid w:val="00DF57FE"/>
    <w:rsid w:val="00E04154"/>
    <w:rsid w:val="00E057E1"/>
    <w:rsid w:val="00E15938"/>
    <w:rsid w:val="00E17C31"/>
    <w:rsid w:val="00E45EAB"/>
    <w:rsid w:val="00E515F2"/>
    <w:rsid w:val="00E57F21"/>
    <w:rsid w:val="00E62DC4"/>
    <w:rsid w:val="00E75594"/>
    <w:rsid w:val="00E82D9E"/>
    <w:rsid w:val="00EA347C"/>
    <w:rsid w:val="00EB2768"/>
    <w:rsid w:val="00EB7E86"/>
    <w:rsid w:val="00EE12C3"/>
    <w:rsid w:val="00EF0488"/>
    <w:rsid w:val="00EF0734"/>
    <w:rsid w:val="00F008E3"/>
    <w:rsid w:val="00F06AA8"/>
    <w:rsid w:val="00F17080"/>
    <w:rsid w:val="00F17A07"/>
    <w:rsid w:val="00F26D0B"/>
    <w:rsid w:val="00F36119"/>
    <w:rsid w:val="00F561BC"/>
    <w:rsid w:val="00F57166"/>
    <w:rsid w:val="00F66307"/>
    <w:rsid w:val="00F71094"/>
    <w:rsid w:val="00F72070"/>
    <w:rsid w:val="00FB156D"/>
    <w:rsid w:val="00FC1B7E"/>
    <w:rsid w:val="00FE6594"/>
    <w:rsid w:val="00FF030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1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C3116"/>
    <w:pPr>
      <w:jc w:val="both"/>
    </w:pPr>
    <w:rPr>
      <w:rFonts w:ascii="Arial" w:hAnsi="Arial" w:cs="Arial"/>
      <w:lang w:val="mk-MK"/>
    </w:rPr>
  </w:style>
  <w:style w:type="character" w:customStyle="1" w:styleId="30">
    <w:name w:val="Основен текст 3 Знак"/>
    <w:basedOn w:val="a0"/>
    <w:link w:val="3"/>
    <w:rsid w:val="009C3116"/>
    <w:rPr>
      <w:rFonts w:ascii="Arial" w:eastAsia="Times New Roman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a4">
    <w:name w:val="Заглавие Знак"/>
    <w:basedOn w:val="a0"/>
    <w:link w:val="a3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a6">
    <w:name w:val="Подножје Знак"/>
    <w:basedOn w:val="a0"/>
    <w:link w:val="a5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7">
    <w:name w:val="Table Grid"/>
    <w:basedOn w:val="a1"/>
    <w:uiPriority w:val="59"/>
    <w:rsid w:val="007F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9">
    <w:name w:val="annotation reference"/>
    <w:basedOn w:val="a0"/>
    <w:uiPriority w:val="99"/>
    <w:semiHidden/>
    <w:unhideWhenUsed/>
    <w:rsid w:val="00BB78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78A8"/>
    <w:rPr>
      <w:sz w:val="20"/>
      <w:szCs w:val="20"/>
    </w:rPr>
  </w:style>
  <w:style w:type="character" w:customStyle="1" w:styleId="ab">
    <w:name w:val="Текст во коментар Знак"/>
    <w:basedOn w:val="a0"/>
    <w:link w:val="aa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78A8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B78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af">
    <w:name w:val="Текст во балонче Знак"/>
    <w:basedOn w:val="a0"/>
    <w:link w:val="ae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af0">
    <w:name w:val="Normal (Web)"/>
    <w:basedOn w:val="a"/>
    <w:rsid w:val="0049749E"/>
    <w:pPr>
      <w:spacing w:before="100" w:beforeAutospacing="1" w:after="100" w:afterAutospacing="1"/>
    </w:pPr>
    <w:rPr>
      <w:lang w:val="mk-MK" w:eastAsia="mk-MK"/>
    </w:rPr>
  </w:style>
  <w:style w:type="character" w:customStyle="1" w:styleId="footnote">
    <w:name w:val="footnote"/>
    <w:basedOn w:val="a0"/>
    <w:rsid w:val="00DE7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creator>Megi</dc:creator>
  <cp:lastModifiedBy>Александар</cp:lastModifiedBy>
  <cp:revision>4</cp:revision>
  <cp:lastPrinted>2013-06-28T09:24:00Z</cp:lastPrinted>
  <dcterms:created xsi:type="dcterms:W3CDTF">2014-06-05T20:24:00Z</dcterms:created>
  <dcterms:modified xsi:type="dcterms:W3CDTF">2014-06-05T20:32:00Z</dcterms:modified>
</cp:coreProperties>
</file>