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00"/>
        <w:gridCol w:w="4526"/>
      </w:tblGrid>
      <w:tr w:rsidR="00047A8D" w:rsidRPr="0021037A" w14:paraId="0BE362BD" w14:textId="77777777" w:rsidTr="00047A8D">
        <w:tc>
          <w:tcPr>
            <w:tcW w:w="4500" w:type="dxa"/>
            <w:shd w:val="clear" w:color="auto" w:fill="auto"/>
          </w:tcPr>
          <w:p w14:paraId="5C47765D" w14:textId="2CF61850" w:rsidR="00F517BC" w:rsidRPr="00E63F19" w:rsidRDefault="00E0709F" w:rsidP="00F517BC">
            <w:pPr>
              <w:jc w:val="center"/>
            </w:pPr>
            <w:r>
              <w:t>МИНИСТЕРСТВО ЗА ЖИВОТНА СРЕДИНА И ПРОСТОРНО ПЛАНИРАЊЕ</w:t>
            </w:r>
          </w:p>
          <w:p w14:paraId="2DAC71FF" w14:textId="0B1268B4" w:rsidR="00047A8D" w:rsidRPr="0021037A" w:rsidRDefault="00047A8D" w:rsidP="0064444E">
            <w:pPr>
              <w:jc w:val="center"/>
              <w:rPr>
                <w:rFonts w:asciiTheme="minorHAnsi" w:hAnsiTheme="minorHAnsi" w:cstheme="minorHAnsi"/>
                <w:highlight w:val="green"/>
              </w:rPr>
            </w:pPr>
          </w:p>
        </w:tc>
        <w:tc>
          <w:tcPr>
            <w:tcW w:w="4526" w:type="dxa"/>
            <w:shd w:val="clear" w:color="auto" w:fill="auto"/>
          </w:tcPr>
          <w:p w14:paraId="08B520C0" w14:textId="674B098F" w:rsidR="00055DBE" w:rsidRDefault="00055DBE" w:rsidP="00055DBE">
            <w:pPr>
              <w:jc w:val="center"/>
            </w:pPr>
            <w:r w:rsidRPr="00D34F3E">
              <w:t>MINISTRIA E MJEDISIT</w:t>
            </w:r>
            <w:r>
              <w:rPr>
                <w:lang w:val="sq-AL"/>
              </w:rPr>
              <w:t xml:space="preserve"> JETËSOR</w:t>
            </w:r>
            <w:r w:rsidRPr="00D34F3E">
              <w:t xml:space="preserve"> DHE PLANIFIKIMIT HAPËSINOR</w:t>
            </w:r>
          </w:p>
          <w:p w14:paraId="4B9E1DA0" w14:textId="2DEB2812" w:rsidR="00047A8D" w:rsidRPr="0021037A" w:rsidRDefault="00047A8D" w:rsidP="0064444E">
            <w:pPr>
              <w:jc w:val="center"/>
              <w:rPr>
                <w:rFonts w:asciiTheme="minorHAnsi" w:hAnsiTheme="minorHAnsi" w:cstheme="minorHAnsi"/>
                <w:highlight w:val="green"/>
                <w:lang w:val="sq-AL"/>
              </w:rPr>
            </w:pPr>
          </w:p>
        </w:tc>
      </w:tr>
      <w:tr w:rsidR="00047A8D" w:rsidRPr="0021037A" w14:paraId="63C82409" w14:textId="77777777" w:rsidTr="00047A8D">
        <w:tc>
          <w:tcPr>
            <w:tcW w:w="4500" w:type="dxa"/>
            <w:shd w:val="clear" w:color="auto" w:fill="auto"/>
          </w:tcPr>
          <w:p w14:paraId="2448C509" w14:textId="77777777" w:rsidR="00047A8D" w:rsidRDefault="00047A8D" w:rsidP="0064444E">
            <w:pPr>
              <w:rPr>
                <w:rFonts w:asciiTheme="minorHAnsi" w:hAnsiTheme="minorHAnsi" w:cstheme="minorHAnsi"/>
                <w:lang w:val="ru-RU"/>
              </w:rPr>
            </w:pPr>
          </w:p>
          <w:p w14:paraId="3931BC72" w14:textId="77777777" w:rsidR="00C413F9" w:rsidRDefault="00C413F9" w:rsidP="0064444E">
            <w:pPr>
              <w:rPr>
                <w:rFonts w:asciiTheme="minorHAnsi" w:hAnsiTheme="minorHAnsi" w:cstheme="minorHAnsi"/>
                <w:lang w:val="ru-RU"/>
              </w:rPr>
            </w:pPr>
          </w:p>
          <w:p w14:paraId="46C546C4" w14:textId="77777777" w:rsidR="00C413F9" w:rsidRDefault="00C413F9" w:rsidP="0064444E">
            <w:pPr>
              <w:rPr>
                <w:rFonts w:asciiTheme="minorHAnsi" w:hAnsiTheme="minorHAnsi" w:cstheme="minorHAnsi"/>
                <w:lang w:val="ru-RU"/>
              </w:rPr>
            </w:pPr>
          </w:p>
          <w:p w14:paraId="2B311C68" w14:textId="77777777" w:rsidR="00C413F9" w:rsidRDefault="00C413F9" w:rsidP="0064444E">
            <w:pPr>
              <w:rPr>
                <w:rFonts w:asciiTheme="minorHAnsi" w:hAnsiTheme="minorHAnsi" w:cstheme="minorHAnsi"/>
                <w:lang w:val="ru-RU"/>
              </w:rPr>
            </w:pPr>
          </w:p>
          <w:p w14:paraId="3887BE77" w14:textId="77777777" w:rsidR="00C413F9" w:rsidRDefault="00C413F9" w:rsidP="0064444E">
            <w:pPr>
              <w:rPr>
                <w:rFonts w:asciiTheme="minorHAnsi" w:hAnsiTheme="minorHAnsi" w:cstheme="minorHAnsi"/>
                <w:lang w:val="ru-RU"/>
              </w:rPr>
            </w:pPr>
          </w:p>
          <w:p w14:paraId="5E76ABCE" w14:textId="77777777" w:rsidR="00C413F9" w:rsidRDefault="00C413F9" w:rsidP="0064444E">
            <w:pPr>
              <w:rPr>
                <w:rFonts w:asciiTheme="minorHAnsi" w:hAnsiTheme="minorHAnsi" w:cstheme="minorHAnsi"/>
                <w:lang w:val="ru-RU"/>
              </w:rPr>
            </w:pPr>
          </w:p>
          <w:p w14:paraId="5672DA9C" w14:textId="77777777" w:rsidR="00C413F9" w:rsidRDefault="00C413F9" w:rsidP="0064444E">
            <w:pPr>
              <w:rPr>
                <w:rFonts w:asciiTheme="minorHAnsi" w:hAnsiTheme="minorHAnsi" w:cstheme="minorHAnsi"/>
                <w:lang w:val="ru-RU"/>
              </w:rPr>
            </w:pPr>
          </w:p>
          <w:p w14:paraId="2AD37A71" w14:textId="77777777" w:rsidR="00C413F9" w:rsidRDefault="00C413F9" w:rsidP="0064444E">
            <w:pPr>
              <w:rPr>
                <w:rFonts w:asciiTheme="minorHAnsi" w:hAnsiTheme="minorHAnsi" w:cstheme="minorHAnsi"/>
                <w:lang w:val="ru-RU"/>
              </w:rPr>
            </w:pPr>
          </w:p>
          <w:p w14:paraId="260A22CE" w14:textId="77777777" w:rsidR="00C413F9" w:rsidRDefault="00C413F9" w:rsidP="0064444E">
            <w:pPr>
              <w:rPr>
                <w:rFonts w:asciiTheme="minorHAnsi" w:hAnsiTheme="minorHAnsi" w:cstheme="minorHAnsi"/>
                <w:lang w:val="ru-RU"/>
              </w:rPr>
            </w:pPr>
          </w:p>
          <w:p w14:paraId="2D8FB238" w14:textId="77777777" w:rsidR="00C413F9" w:rsidRDefault="00C413F9" w:rsidP="0064444E">
            <w:pPr>
              <w:rPr>
                <w:rFonts w:asciiTheme="minorHAnsi" w:hAnsiTheme="minorHAnsi" w:cstheme="minorHAnsi"/>
                <w:lang w:val="ru-RU"/>
              </w:rPr>
            </w:pPr>
          </w:p>
          <w:p w14:paraId="438121A4" w14:textId="77777777" w:rsidR="00C413F9" w:rsidRDefault="00C413F9" w:rsidP="0064444E">
            <w:pPr>
              <w:rPr>
                <w:rFonts w:asciiTheme="minorHAnsi" w:hAnsiTheme="minorHAnsi" w:cstheme="minorHAnsi"/>
                <w:lang w:val="ru-RU"/>
              </w:rPr>
            </w:pPr>
          </w:p>
          <w:p w14:paraId="7D04C11F" w14:textId="77777777" w:rsidR="00C413F9" w:rsidRDefault="00C413F9" w:rsidP="0064444E">
            <w:pPr>
              <w:rPr>
                <w:rFonts w:asciiTheme="minorHAnsi" w:hAnsiTheme="minorHAnsi" w:cstheme="minorHAnsi"/>
                <w:lang w:val="ru-RU"/>
              </w:rPr>
            </w:pPr>
          </w:p>
          <w:p w14:paraId="2D4F9772" w14:textId="4BF47A4D" w:rsidR="00C413F9" w:rsidRPr="0021037A" w:rsidRDefault="00C413F9" w:rsidP="0064444E">
            <w:pPr>
              <w:rPr>
                <w:rFonts w:asciiTheme="minorHAnsi" w:hAnsiTheme="minorHAnsi" w:cstheme="minorHAnsi"/>
                <w:lang w:val="ru-RU"/>
              </w:rPr>
            </w:pPr>
          </w:p>
        </w:tc>
        <w:tc>
          <w:tcPr>
            <w:tcW w:w="4526" w:type="dxa"/>
            <w:shd w:val="clear" w:color="auto" w:fill="auto"/>
          </w:tcPr>
          <w:p w14:paraId="6171BF63" w14:textId="77777777" w:rsidR="00047A8D" w:rsidRPr="0021037A" w:rsidRDefault="00047A8D" w:rsidP="0064444E">
            <w:pPr>
              <w:rPr>
                <w:rFonts w:asciiTheme="minorHAnsi" w:hAnsiTheme="minorHAnsi" w:cstheme="minorHAnsi"/>
                <w:lang w:val="ru-RU"/>
              </w:rPr>
            </w:pPr>
          </w:p>
        </w:tc>
      </w:tr>
      <w:tr w:rsidR="00047A8D" w:rsidRPr="0021037A" w14:paraId="36209843" w14:textId="77777777" w:rsidTr="00047A8D">
        <w:tc>
          <w:tcPr>
            <w:tcW w:w="4500" w:type="dxa"/>
            <w:shd w:val="clear" w:color="auto" w:fill="auto"/>
          </w:tcPr>
          <w:p w14:paraId="101B5CC4" w14:textId="77777777" w:rsidR="00047A8D" w:rsidRPr="0021037A" w:rsidRDefault="00047A8D" w:rsidP="0064444E">
            <w:pPr>
              <w:jc w:val="center"/>
              <w:rPr>
                <w:rFonts w:asciiTheme="minorHAnsi" w:hAnsiTheme="minorHAnsi" w:cstheme="minorHAnsi"/>
              </w:rPr>
            </w:pPr>
            <w:r w:rsidRPr="0021037A">
              <w:rPr>
                <w:rFonts w:asciiTheme="minorHAnsi" w:hAnsiTheme="minorHAnsi" w:cstheme="minorHAnsi"/>
              </w:rPr>
              <w:t>ПРЕДЛОГ  НА ЗАКОН</w:t>
            </w:r>
          </w:p>
        </w:tc>
        <w:tc>
          <w:tcPr>
            <w:tcW w:w="4526" w:type="dxa"/>
            <w:shd w:val="clear" w:color="auto" w:fill="auto"/>
          </w:tcPr>
          <w:p w14:paraId="04C28979" w14:textId="77777777" w:rsidR="00047A8D" w:rsidRPr="0021037A" w:rsidRDefault="00047A8D" w:rsidP="0064444E">
            <w:pPr>
              <w:jc w:val="center"/>
              <w:rPr>
                <w:rFonts w:asciiTheme="minorHAnsi" w:hAnsiTheme="minorHAnsi" w:cstheme="minorHAnsi"/>
                <w:lang w:val="sq-AL"/>
              </w:rPr>
            </w:pPr>
            <w:r w:rsidRPr="0021037A">
              <w:rPr>
                <w:rFonts w:asciiTheme="minorHAnsi" w:hAnsiTheme="minorHAnsi" w:cstheme="minorHAnsi"/>
                <w:lang w:val="sq-AL"/>
              </w:rPr>
              <w:t>PROPOZIM-LIGJ</w:t>
            </w:r>
          </w:p>
        </w:tc>
      </w:tr>
      <w:tr w:rsidR="00047A8D" w:rsidRPr="0021037A" w14:paraId="7B4EE1E2" w14:textId="77777777" w:rsidTr="00047A8D">
        <w:tc>
          <w:tcPr>
            <w:tcW w:w="4500" w:type="dxa"/>
            <w:shd w:val="clear" w:color="auto" w:fill="auto"/>
          </w:tcPr>
          <w:p w14:paraId="7D9DAB14" w14:textId="77777777" w:rsidR="00454A7D" w:rsidRPr="00D457B9" w:rsidRDefault="00047A8D" w:rsidP="00454A7D">
            <w:pPr>
              <w:jc w:val="center"/>
              <w:rPr>
                <w:rFonts w:ascii="Arial" w:hAnsi="Arial" w:cs="Arial"/>
                <w:sz w:val="22"/>
                <w:szCs w:val="22"/>
              </w:rPr>
            </w:pPr>
            <w:r w:rsidRPr="0021037A">
              <w:rPr>
                <w:rFonts w:asciiTheme="minorHAnsi" w:hAnsiTheme="minorHAnsi" w:cstheme="minorHAnsi"/>
              </w:rPr>
              <w:t xml:space="preserve"> </w:t>
            </w:r>
            <w:r w:rsidR="00454A7D" w:rsidRPr="00D457B9">
              <w:rPr>
                <w:rFonts w:ascii="Arial" w:hAnsi="Arial" w:cs="Arial"/>
                <w:sz w:val="22"/>
                <w:szCs w:val="22"/>
              </w:rPr>
              <w:t xml:space="preserve">за изменување и дополнување на Законот за </w:t>
            </w:r>
            <w:r w:rsidR="00454A7D">
              <w:rPr>
                <w:rFonts w:ascii="Arial" w:hAnsi="Arial" w:cs="Arial"/>
                <w:sz w:val="22"/>
                <w:szCs w:val="22"/>
              </w:rPr>
              <w:t>утврдување на цената на водните услуги</w:t>
            </w:r>
          </w:p>
          <w:p w14:paraId="24B9134E" w14:textId="77777777" w:rsidR="00454A7D" w:rsidRPr="00D457B9" w:rsidRDefault="00454A7D" w:rsidP="00454A7D">
            <w:pPr>
              <w:rPr>
                <w:rFonts w:ascii="Arial" w:hAnsi="Arial" w:cs="Arial"/>
                <w:sz w:val="22"/>
                <w:szCs w:val="22"/>
              </w:rPr>
            </w:pPr>
          </w:p>
          <w:p w14:paraId="3A7A52C1" w14:textId="77777777" w:rsidR="00047A8D" w:rsidRDefault="00047A8D" w:rsidP="0064444E">
            <w:pPr>
              <w:jc w:val="center"/>
              <w:rPr>
                <w:rFonts w:asciiTheme="minorHAnsi" w:hAnsiTheme="minorHAnsi" w:cstheme="minorHAnsi"/>
              </w:rPr>
            </w:pPr>
          </w:p>
          <w:p w14:paraId="0F78E01F" w14:textId="77777777" w:rsidR="00C413F9" w:rsidRDefault="00C413F9" w:rsidP="0064444E">
            <w:pPr>
              <w:jc w:val="center"/>
              <w:rPr>
                <w:rFonts w:asciiTheme="minorHAnsi" w:hAnsiTheme="minorHAnsi" w:cstheme="minorHAnsi"/>
              </w:rPr>
            </w:pPr>
          </w:p>
          <w:p w14:paraId="09F00F42" w14:textId="77777777" w:rsidR="00C413F9" w:rsidRDefault="00C413F9" w:rsidP="0064444E">
            <w:pPr>
              <w:jc w:val="center"/>
              <w:rPr>
                <w:rFonts w:asciiTheme="minorHAnsi" w:hAnsiTheme="minorHAnsi" w:cstheme="minorHAnsi"/>
              </w:rPr>
            </w:pPr>
          </w:p>
          <w:p w14:paraId="0509E44D" w14:textId="77777777" w:rsidR="00C413F9" w:rsidRDefault="00C413F9" w:rsidP="0064444E">
            <w:pPr>
              <w:jc w:val="center"/>
              <w:rPr>
                <w:rFonts w:asciiTheme="minorHAnsi" w:hAnsiTheme="minorHAnsi" w:cstheme="minorHAnsi"/>
              </w:rPr>
            </w:pPr>
          </w:p>
          <w:p w14:paraId="6A2EF927" w14:textId="77777777" w:rsidR="00C413F9" w:rsidRDefault="00C413F9" w:rsidP="0064444E">
            <w:pPr>
              <w:jc w:val="center"/>
              <w:rPr>
                <w:rFonts w:asciiTheme="minorHAnsi" w:hAnsiTheme="minorHAnsi" w:cstheme="minorHAnsi"/>
              </w:rPr>
            </w:pPr>
          </w:p>
          <w:p w14:paraId="103B8CE1" w14:textId="77777777" w:rsidR="00C413F9" w:rsidRDefault="00C413F9" w:rsidP="0064444E">
            <w:pPr>
              <w:jc w:val="center"/>
              <w:rPr>
                <w:rFonts w:asciiTheme="minorHAnsi" w:hAnsiTheme="minorHAnsi" w:cstheme="minorHAnsi"/>
              </w:rPr>
            </w:pPr>
          </w:p>
          <w:p w14:paraId="064D2D8A" w14:textId="77777777" w:rsidR="00C413F9" w:rsidRDefault="00C413F9" w:rsidP="0064444E">
            <w:pPr>
              <w:jc w:val="center"/>
              <w:rPr>
                <w:rFonts w:asciiTheme="minorHAnsi" w:hAnsiTheme="minorHAnsi" w:cstheme="minorHAnsi"/>
              </w:rPr>
            </w:pPr>
          </w:p>
          <w:p w14:paraId="6898DA11" w14:textId="77777777" w:rsidR="00C413F9" w:rsidRDefault="00C413F9" w:rsidP="0064444E">
            <w:pPr>
              <w:jc w:val="center"/>
              <w:rPr>
                <w:rFonts w:asciiTheme="minorHAnsi" w:hAnsiTheme="minorHAnsi" w:cstheme="minorHAnsi"/>
              </w:rPr>
            </w:pPr>
          </w:p>
          <w:p w14:paraId="5DB21E95" w14:textId="77777777" w:rsidR="00C413F9" w:rsidRDefault="00C413F9" w:rsidP="0064444E">
            <w:pPr>
              <w:jc w:val="center"/>
              <w:rPr>
                <w:rFonts w:asciiTheme="minorHAnsi" w:hAnsiTheme="minorHAnsi" w:cstheme="minorHAnsi"/>
              </w:rPr>
            </w:pPr>
          </w:p>
          <w:p w14:paraId="22F75F26" w14:textId="77777777" w:rsidR="00C413F9" w:rsidRDefault="00C413F9" w:rsidP="0064444E">
            <w:pPr>
              <w:jc w:val="center"/>
              <w:rPr>
                <w:rFonts w:asciiTheme="minorHAnsi" w:hAnsiTheme="minorHAnsi" w:cstheme="minorHAnsi"/>
              </w:rPr>
            </w:pPr>
          </w:p>
          <w:p w14:paraId="22042520" w14:textId="77777777" w:rsidR="00C413F9" w:rsidRDefault="00C413F9" w:rsidP="0064444E">
            <w:pPr>
              <w:jc w:val="center"/>
              <w:rPr>
                <w:rFonts w:asciiTheme="minorHAnsi" w:hAnsiTheme="minorHAnsi" w:cstheme="minorHAnsi"/>
              </w:rPr>
            </w:pPr>
          </w:p>
          <w:p w14:paraId="6933E2FA" w14:textId="77777777" w:rsidR="00C413F9" w:rsidRDefault="00C413F9" w:rsidP="0064444E">
            <w:pPr>
              <w:jc w:val="center"/>
              <w:rPr>
                <w:rFonts w:asciiTheme="minorHAnsi" w:hAnsiTheme="minorHAnsi" w:cstheme="minorHAnsi"/>
              </w:rPr>
            </w:pPr>
          </w:p>
          <w:p w14:paraId="7D0E4298" w14:textId="77777777" w:rsidR="00C413F9" w:rsidRDefault="00C413F9" w:rsidP="0064444E">
            <w:pPr>
              <w:jc w:val="center"/>
              <w:rPr>
                <w:rFonts w:asciiTheme="minorHAnsi" w:hAnsiTheme="minorHAnsi" w:cstheme="minorHAnsi"/>
              </w:rPr>
            </w:pPr>
          </w:p>
          <w:p w14:paraId="39D1B228" w14:textId="77777777" w:rsidR="00C413F9" w:rsidRDefault="00C413F9" w:rsidP="0064444E">
            <w:pPr>
              <w:jc w:val="center"/>
              <w:rPr>
                <w:rFonts w:asciiTheme="minorHAnsi" w:hAnsiTheme="minorHAnsi" w:cstheme="minorHAnsi"/>
              </w:rPr>
            </w:pPr>
          </w:p>
          <w:p w14:paraId="40A7ECF8" w14:textId="77777777" w:rsidR="00C413F9" w:rsidRDefault="00C413F9" w:rsidP="0064444E">
            <w:pPr>
              <w:jc w:val="center"/>
              <w:rPr>
                <w:rFonts w:asciiTheme="minorHAnsi" w:hAnsiTheme="minorHAnsi" w:cstheme="minorHAnsi"/>
              </w:rPr>
            </w:pPr>
          </w:p>
          <w:p w14:paraId="39AB67F4" w14:textId="77777777" w:rsidR="00C413F9" w:rsidRDefault="00C413F9" w:rsidP="0064444E">
            <w:pPr>
              <w:jc w:val="center"/>
              <w:rPr>
                <w:rFonts w:asciiTheme="minorHAnsi" w:hAnsiTheme="minorHAnsi" w:cstheme="minorHAnsi"/>
              </w:rPr>
            </w:pPr>
          </w:p>
          <w:p w14:paraId="1B7E09C0" w14:textId="053ABE83" w:rsidR="00C413F9" w:rsidRPr="0021037A" w:rsidRDefault="00C413F9" w:rsidP="0064444E">
            <w:pPr>
              <w:jc w:val="center"/>
              <w:rPr>
                <w:rFonts w:asciiTheme="minorHAnsi" w:hAnsiTheme="minorHAnsi" w:cstheme="minorHAnsi"/>
              </w:rPr>
            </w:pPr>
          </w:p>
        </w:tc>
        <w:tc>
          <w:tcPr>
            <w:tcW w:w="4526" w:type="dxa"/>
            <w:shd w:val="clear" w:color="auto" w:fill="auto"/>
          </w:tcPr>
          <w:p w14:paraId="176BC461" w14:textId="77777777" w:rsidR="00055DBE" w:rsidRDefault="00055DBE" w:rsidP="00055DBE">
            <w:pPr>
              <w:jc w:val="center"/>
              <w:rPr>
                <w:rFonts w:ascii="Arial" w:hAnsi="Arial" w:cs="Arial"/>
                <w:sz w:val="22"/>
                <w:szCs w:val="22"/>
              </w:rPr>
            </w:pPr>
            <w:proofErr w:type="spellStart"/>
            <w:r w:rsidRPr="00D34F3E">
              <w:rPr>
                <w:rFonts w:ascii="Arial" w:hAnsi="Arial" w:cs="Arial"/>
                <w:sz w:val="22"/>
                <w:szCs w:val="22"/>
              </w:rPr>
              <w:t>për</w:t>
            </w:r>
            <w:proofErr w:type="spellEnd"/>
            <w:r w:rsidRPr="00D34F3E">
              <w:rPr>
                <w:rFonts w:ascii="Arial" w:hAnsi="Arial" w:cs="Arial"/>
                <w:sz w:val="22"/>
                <w:szCs w:val="22"/>
              </w:rPr>
              <w:t xml:space="preserve"> </w:t>
            </w:r>
            <w:r>
              <w:rPr>
                <w:rFonts w:ascii="Arial" w:hAnsi="Arial" w:cs="Arial"/>
                <w:sz w:val="22"/>
                <w:szCs w:val="22"/>
                <w:lang w:val="sq-AL"/>
              </w:rPr>
              <w:t>n</w:t>
            </w:r>
            <w:proofErr w:type="spellStart"/>
            <w:r w:rsidRPr="00D34F3E">
              <w:rPr>
                <w:rFonts w:ascii="Arial" w:hAnsi="Arial" w:cs="Arial"/>
                <w:sz w:val="22"/>
                <w:szCs w:val="22"/>
              </w:rPr>
              <w:t>dryshimin</w:t>
            </w:r>
            <w:proofErr w:type="spellEnd"/>
            <w:r>
              <w:rPr>
                <w:rFonts w:ascii="Arial" w:hAnsi="Arial" w:cs="Arial"/>
                <w:sz w:val="22"/>
                <w:szCs w:val="22"/>
                <w:lang w:val="sq-AL"/>
              </w:rPr>
              <w:t xml:space="preserve"> dhe plotësimin</w:t>
            </w:r>
            <w:r w:rsidRPr="00D34F3E">
              <w:rPr>
                <w:rFonts w:ascii="Arial" w:hAnsi="Arial" w:cs="Arial"/>
                <w:sz w:val="22"/>
                <w:szCs w:val="22"/>
              </w:rPr>
              <w:t xml:space="preserve"> e </w:t>
            </w:r>
            <w:proofErr w:type="spellStart"/>
            <w:r w:rsidRPr="00D34F3E">
              <w:rPr>
                <w:rFonts w:ascii="Arial" w:hAnsi="Arial" w:cs="Arial"/>
                <w:sz w:val="22"/>
                <w:szCs w:val="22"/>
              </w:rPr>
              <w:t>Ligjit</w:t>
            </w:r>
            <w:proofErr w:type="spellEnd"/>
            <w:r w:rsidRPr="00D34F3E">
              <w:rPr>
                <w:rFonts w:ascii="Arial" w:hAnsi="Arial" w:cs="Arial"/>
                <w:sz w:val="22"/>
                <w:szCs w:val="22"/>
              </w:rPr>
              <w:t xml:space="preserve"> </w:t>
            </w:r>
            <w:proofErr w:type="spellStart"/>
            <w:r w:rsidRPr="00D34F3E">
              <w:rPr>
                <w:rFonts w:ascii="Arial" w:hAnsi="Arial" w:cs="Arial"/>
                <w:sz w:val="22"/>
                <w:szCs w:val="22"/>
              </w:rPr>
              <w:t>për</w:t>
            </w:r>
            <w:proofErr w:type="spellEnd"/>
            <w:r w:rsidRPr="00D34F3E">
              <w:rPr>
                <w:rFonts w:ascii="Arial" w:hAnsi="Arial" w:cs="Arial"/>
                <w:sz w:val="22"/>
                <w:szCs w:val="22"/>
              </w:rPr>
              <w:t xml:space="preserve"> </w:t>
            </w:r>
            <w:proofErr w:type="spellStart"/>
            <w:r>
              <w:rPr>
                <w:rFonts w:ascii="Arial" w:hAnsi="Arial" w:cs="Arial"/>
                <w:sz w:val="22"/>
                <w:szCs w:val="22"/>
              </w:rPr>
              <w:t>P</w:t>
            </w:r>
            <w:r w:rsidRPr="00D34F3E">
              <w:rPr>
                <w:rFonts w:ascii="Arial" w:hAnsi="Arial" w:cs="Arial"/>
                <w:sz w:val="22"/>
                <w:szCs w:val="22"/>
              </w:rPr>
              <w:t>ërcaktimin</w:t>
            </w:r>
            <w:proofErr w:type="spellEnd"/>
            <w:r w:rsidRPr="00D34F3E">
              <w:rPr>
                <w:rFonts w:ascii="Arial" w:hAnsi="Arial" w:cs="Arial"/>
                <w:sz w:val="22"/>
                <w:szCs w:val="22"/>
              </w:rPr>
              <w:t xml:space="preserve"> e </w:t>
            </w:r>
            <w:r>
              <w:rPr>
                <w:rFonts w:ascii="Arial" w:hAnsi="Arial" w:cs="Arial"/>
                <w:sz w:val="22"/>
                <w:szCs w:val="22"/>
                <w:lang w:val="sq-AL"/>
              </w:rPr>
              <w:t>Ç</w:t>
            </w:r>
            <w:proofErr w:type="spellStart"/>
            <w:r w:rsidRPr="00D34F3E">
              <w:rPr>
                <w:rFonts w:ascii="Arial" w:hAnsi="Arial" w:cs="Arial"/>
                <w:sz w:val="22"/>
                <w:szCs w:val="22"/>
              </w:rPr>
              <w:t>mimit</w:t>
            </w:r>
            <w:proofErr w:type="spellEnd"/>
            <w:r w:rsidRPr="00D34F3E">
              <w:rPr>
                <w:rFonts w:ascii="Arial" w:hAnsi="Arial" w:cs="Arial"/>
                <w:sz w:val="22"/>
                <w:szCs w:val="22"/>
              </w:rPr>
              <w:t xml:space="preserve"> </w:t>
            </w:r>
            <w:proofErr w:type="spellStart"/>
            <w:r w:rsidRPr="00D34F3E">
              <w:rPr>
                <w:rFonts w:ascii="Arial" w:hAnsi="Arial" w:cs="Arial"/>
                <w:sz w:val="22"/>
                <w:szCs w:val="22"/>
              </w:rPr>
              <w:t>të</w:t>
            </w:r>
            <w:proofErr w:type="spellEnd"/>
            <w:r w:rsidRPr="00D34F3E">
              <w:rPr>
                <w:rFonts w:ascii="Arial" w:hAnsi="Arial" w:cs="Arial"/>
                <w:sz w:val="22"/>
                <w:szCs w:val="22"/>
              </w:rPr>
              <w:t xml:space="preserve"> </w:t>
            </w:r>
            <w:r>
              <w:rPr>
                <w:rFonts w:ascii="Arial" w:hAnsi="Arial" w:cs="Arial"/>
                <w:sz w:val="22"/>
                <w:szCs w:val="22"/>
                <w:lang w:val="sq-AL"/>
              </w:rPr>
              <w:t>S</w:t>
            </w:r>
            <w:proofErr w:type="spellStart"/>
            <w:r w:rsidRPr="00D34F3E">
              <w:rPr>
                <w:rFonts w:ascii="Arial" w:hAnsi="Arial" w:cs="Arial"/>
                <w:sz w:val="22"/>
                <w:szCs w:val="22"/>
              </w:rPr>
              <w:t>hërbimeve</w:t>
            </w:r>
            <w:proofErr w:type="spellEnd"/>
            <w:r w:rsidRPr="00D34F3E">
              <w:rPr>
                <w:rFonts w:ascii="Arial" w:hAnsi="Arial" w:cs="Arial"/>
                <w:sz w:val="22"/>
                <w:szCs w:val="22"/>
              </w:rPr>
              <w:t xml:space="preserve"> </w:t>
            </w:r>
            <w:proofErr w:type="spellStart"/>
            <w:r w:rsidRPr="00D34F3E">
              <w:rPr>
                <w:rFonts w:ascii="Arial" w:hAnsi="Arial" w:cs="Arial"/>
                <w:sz w:val="22"/>
                <w:szCs w:val="22"/>
              </w:rPr>
              <w:t>të</w:t>
            </w:r>
            <w:proofErr w:type="spellEnd"/>
            <w:r w:rsidRPr="00D34F3E">
              <w:rPr>
                <w:rFonts w:ascii="Arial" w:hAnsi="Arial" w:cs="Arial"/>
                <w:sz w:val="22"/>
                <w:szCs w:val="22"/>
              </w:rPr>
              <w:t xml:space="preserve"> </w:t>
            </w:r>
            <w:r>
              <w:rPr>
                <w:rFonts w:ascii="Arial" w:hAnsi="Arial" w:cs="Arial"/>
                <w:sz w:val="22"/>
                <w:szCs w:val="22"/>
                <w:lang w:val="sq-AL"/>
              </w:rPr>
              <w:t>U</w:t>
            </w:r>
            <w:proofErr w:type="spellStart"/>
            <w:r w:rsidRPr="00D34F3E">
              <w:rPr>
                <w:rFonts w:ascii="Arial" w:hAnsi="Arial" w:cs="Arial"/>
                <w:sz w:val="22"/>
                <w:szCs w:val="22"/>
              </w:rPr>
              <w:t>jit</w:t>
            </w:r>
            <w:proofErr w:type="spellEnd"/>
          </w:p>
          <w:p w14:paraId="372812F3" w14:textId="77777777" w:rsidR="00047A8D" w:rsidRDefault="00047A8D" w:rsidP="0064444E">
            <w:pPr>
              <w:jc w:val="center"/>
              <w:rPr>
                <w:rFonts w:asciiTheme="minorHAnsi" w:hAnsiTheme="minorHAnsi" w:cstheme="minorHAnsi"/>
              </w:rPr>
            </w:pPr>
          </w:p>
          <w:p w14:paraId="4D48C232" w14:textId="49861031" w:rsidR="00055DBE" w:rsidRPr="00055DBE" w:rsidRDefault="00055DBE" w:rsidP="00055DBE">
            <w:pPr>
              <w:rPr>
                <w:rFonts w:asciiTheme="minorHAnsi" w:hAnsiTheme="minorHAnsi" w:cstheme="minorHAnsi"/>
              </w:rPr>
            </w:pPr>
          </w:p>
        </w:tc>
      </w:tr>
      <w:tr w:rsidR="00047A8D" w:rsidRPr="0021037A" w14:paraId="30D34859" w14:textId="77777777" w:rsidTr="00047A8D">
        <w:tc>
          <w:tcPr>
            <w:tcW w:w="4500" w:type="dxa"/>
            <w:shd w:val="clear" w:color="auto" w:fill="auto"/>
          </w:tcPr>
          <w:p w14:paraId="1C3CA69F" w14:textId="389A493D" w:rsidR="00047A8D" w:rsidRPr="0021037A" w:rsidRDefault="00047A8D" w:rsidP="0064444E">
            <w:pPr>
              <w:jc w:val="center"/>
              <w:rPr>
                <w:rFonts w:asciiTheme="minorHAnsi" w:hAnsiTheme="minorHAnsi" w:cstheme="minorHAnsi"/>
              </w:rPr>
            </w:pPr>
            <w:r w:rsidRPr="0021037A">
              <w:rPr>
                <w:rFonts w:asciiTheme="minorHAnsi" w:hAnsiTheme="minorHAnsi" w:cstheme="minorHAnsi"/>
              </w:rPr>
              <w:t xml:space="preserve">Скопје,  </w:t>
            </w:r>
            <w:r w:rsidR="003C5896">
              <w:rPr>
                <w:rFonts w:asciiTheme="minorHAnsi" w:hAnsiTheme="minorHAnsi" w:cstheme="minorHAnsi"/>
              </w:rPr>
              <w:t>Јуни</w:t>
            </w:r>
            <w:r w:rsidR="00350C23">
              <w:rPr>
                <w:rFonts w:asciiTheme="minorHAnsi" w:hAnsiTheme="minorHAnsi" w:cstheme="minorHAnsi"/>
              </w:rPr>
              <w:t xml:space="preserve"> 2021 </w:t>
            </w:r>
          </w:p>
        </w:tc>
        <w:tc>
          <w:tcPr>
            <w:tcW w:w="4526" w:type="dxa"/>
            <w:shd w:val="clear" w:color="auto" w:fill="auto"/>
          </w:tcPr>
          <w:p w14:paraId="136A9822" w14:textId="44793C56" w:rsidR="00A1113F" w:rsidRPr="00D457B9" w:rsidRDefault="00A1113F" w:rsidP="00A1113F">
            <w:pPr>
              <w:jc w:val="center"/>
              <w:rPr>
                <w:rFonts w:ascii="Arial" w:hAnsi="Arial" w:cs="Arial"/>
                <w:sz w:val="22"/>
                <w:szCs w:val="22"/>
              </w:rPr>
            </w:pPr>
            <w:r>
              <w:rPr>
                <w:rFonts w:ascii="Arial" w:hAnsi="Arial" w:cs="Arial"/>
                <w:sz w:val="22"/>
                <w:szCs w:val="22"/>
                <w:lang w:val="sq-AL"/>
              </w:rPr>
              <w:t>Shkup</w:t>
            </w:r>
            <w:r w:rsidRPr="00D457B9">
              <w:rPr>
                <w:rFonts w:ascii="Arial" w:hAnsi="Arial" w:cs="Arial"/>
                <w:sz w:val="22"/>
                <w:szCs w:val="22"/>
              </w:rPr>
              <w:t xml:space="preserve">, </w:t>
            </w:r>
            <w:proofErr w:type="spellStart"/>
            <w:r w:rsidR="002E016E" w:rsidRPr="007D1BF4">
              <w:rPr>
                <w:rFonts w:ascii="Arial" w:hAnsi="Arial" w:cs="Arial"/>
                <w:sz w:val="22"/>
                <w:szCs w:val="22"/>
              </w:rPr>
              <w:t>Qershor</w:t>
            </w:r>
            <w:proofErr w:type="spellEnd"/>
            <w:r w:rsidR="003C5896" w:rsidRPr="007D1BF4">
              <w:rPr>
                <w:rFonts w:ascii="Arial" w:hAnsi="Arial" w:cs="Arial"/>
                <w:sz w:val="22"/>
                <w:szCs w:val="22"/>
              </w:rPr>
              <w:t xml:space="preserve"> </w:t>
            </w:r>
            <w:r w:rsidRPr="007D1BF4">
              <w:rPr>
                <w:rFonts w:ascii="Arial" w:hAnsi="Arial" w:cs="Arial"/>
                <w:sz w:val="22"/>
                <w:szCs w:val="22"/>
              </w:rPr>
              <w:t>2021</w:t>
            </w:r>
            <w:r w:rsidRPr="00D457B9">
              <w:rPr>
                <w:rFonts w:ascii="Arial" w:hAnsi="Arial" w:cs="Arial"/>
                <w:sz w:val="22"/>
                <w:szCs w:val="22"/>
              </w:rPr>
              <w:t xml:space="preserve"> </w:t>
            </w:r>
          </w:p>
          <w:p w14:paraId="5DD0DDA1" w14:textId="77777777" w:rsidR="00047A8D" w:rsidRPr="0021037A" w:rsidRDefault="00047A8D" w:rsidP="0064444E">
            <w:pPr>
              <w:jc w:val="center"/>
              <w:rPr>
                <w:rFonts w:asciiTheme="minorHAnsi" w:hAnsiTheme="minorHAnsi" w:cstheme="minorHAnsi"/>
              </w:rPr>
            </w:pPr>
          </w:p>
        </w:tc>
      </w:tr>
      <w:tr w:rsidR="00047A8D" w:rsidRPr="0021037A" w14:paraId="221C29D4" w14:textId="77777777" w:rsidTr="00047A8D">
        <w:tc>
          <w:tcPr>
            <w:tcW w:w="4500" w:type="dxa"/>
            <w:shd w:val="clear" w:color="auto" w:fill="auto"/>
          </w:tcPr>
          <w:p w14:paraId="348B5686" w14:textId="77777777" w:rsidR="00047A8D" w:rsidRPr="0021037A" w:rsidRDefault="00047A8D" w:rsidP="0064444E">
            <w:pPr>
              <w:rPr>
                <w:rFonts w:asciiTheme="minorHAnsi" w:hAnsiTheme="minorHAnsi" w:cstheme="minorHAnsi"/>
              </w:rPr>
            </w:pPr>
          </w:p>
        </w:tc>
        <w:tc>
          <w:tcPr>
            <w:tcW w:w="4526" w:type="dxa"/>
            <w:shd w:val="clear" w:color="auto" w:fill="auto"/>
          </w:tcPr>
          <w:p w14:paraId="60832480" w14:textId="77777777" w:rsidR="00047A8D" w:rsidRPr="0021037A" w:rsidRDefault="00047A8D" w:rsidP="0064444E">
            <w:pPr>
              <w:rPr>
                <w:rFonts w:asciiTheme="minorHAnsi" w:hAnsiTheme="minorHAnsi" w:cstheme="minorHAnsi"/>
              </w:rPr>
            </w:pPr>
          </w:p>
        </w:tc>
      </w:tr>
    </w:tbl>
    <w:p w14:paraId="76EDAB53" w14:textId="77777777" w:rsidR="00C413F9" w:rsidRDefault="00C413F9">
      <w:r>
        <w:br w:type="page"/>
      </w:r>
    </w:p>
    <w:tbl>
      <w:tblPr>
        <w:tblW w:w="0" w:type="auto"/>
        <w:tblLook w:val="04A0" w:firstRow="1" w:lastRow="0" w:firstColumn="1" w:lastColumn="0" w:noHBand="0" w:noVBand="1"/>
      </w:tblPr>
      <w:tblGrid>
        <w:gridCol w:w="4500"/>
        <w:gridCol w:w="4526"/>
      </w:tblGrid>
      <w:tr w:rsidR="00047A8D" w:rsidRPr="0021037A" w14:paraId="383B25CC" w14:textId="77777777" w:rsidTr="00047A8D">
        <w:tc>
          <w:tcPr>
            <w:tcW w:w="4500" w:type="dxa"/>
            <w:shd w:val="clear" w:color="auto" w:fill="auto"/>
          </w:tcPr>
          <w:p w14:paraId="2D7D7000" w14:textId="16B34869" w:rsidR="00047A8D" w:rsidRPr="0021037A" w:rsidRDefault="00047A8D" w:rsidP="0064444E">
            <w:pPr>
              <w:rPr>
                <w:rFonts w:asciiTheme="minorHAnsi" w:hAnsiTheme="minorHAnsi" w:cstheme="minorHAnsi"/>
                <w:lang w:val="ru-RU"/>
              </w:rPr>
            </w:pPr>
            <w:r w:rsidRPr="0021037A">
              <w:rPr>
                <w:rFonts w:asciiTheme="minorHAnsi" w:hAnsiTheme="minorHAnsi" w:cstheme="minorHAnsi"/>
              </w:rPr>
              <w:lastRenderedPageBreak/>
              <w:t>ВОВЕД</w:t>
            </w:r>
            <w:r w:rsidRPr="0021037A">
              <w:rPr>
                <w:rFonts w:asciiTheme="minorHAnsi" w:hAnsiTheme="minorHAnsi" w:cstheme="minorHAnsi"/>
                <w:lang w:val="ru-RU"/>
              </w:rPr>
              <w:t>:</w:t>
            </w:r>
          </w:p>
        </w:tc>
        <w:tc>
          <w:tcPr>
            <w:tcW w:w="4526" w:type="dxa"/>
            <w:shd w:val="clear" w:color="auto" w:fill="auto"/>
          </w:tcPr>
          <w:p w14:paraId="403E7C81" w14:textId="77777777" w:rsidR="00047A8D" w:rsidRPr="00DE38AB" w:rsidRDefault="00047A8D" w:rsidP="0064444E">
            <w:pPr>
              <w:rPr>
                <w:rFonts w:asciiTheme="minorHAnsi" w:hAnsiTheme="minorHAnsi" w:cstheme="minorHAnsi"/>
                <w:lang w:val="sq-AL"/>
              </w:rPr>
            </w:pPr>
            <w:r w:rsidRPr="00DE38AB">
              <w:rPr>
                <w:rFonts w:asciiTheme="minorHAnsi" w:hAnsiTheme="minorHAnsi" w:cstheme="minorHAnsi"/>
                <w:lang w:val="sq-AL"/>
              </w:rPr>
              <w:t xml:space="preserve">HYRJE; </w:t>
            </w:r>
          </w:p>
        </w:tc>
      </w:tr>
      <w:tr w:rsidR="00047A8D" w:rsidRPr="0021037A" w14:paraId="6F62988B" w14:textId="77777777" w:rsidTr="00047A8D">
        <w:tc>
          <w:tcPr>
            <w:tcW w:w="4500" w:type="dxa"/>
            <w:shd w:val="clear" w:color="auto" w:fill="auto"/>
          </w:tcPr>
          <w:p w14:paraId="5025E125" w14:textId="77777777" w:rsidR="00047A8D" w:rsidRPr="0021037A" w:rsidRDefault="00047A8D" w:rsidP="0064444E">
            <w:pPr>
              <w:rPr>
                <w:rFonts w:asciiTheme="minorHAnsi" w:hAnsiTheme="minorHAnsi" w:cstheme="minorHAnsi"/>
              </w:rPr>
            </w:pPr>
          </w:p>
        </w:tc>
        <w:tc>
          <w:tcPr>
            <w:tcW w:w="4526" w:type="dxa"/>
            <w:shd w:val="clear" w:color="auto" w:fill="auto"/>
          </w:tcPr>
          <w:p w14:paraId="583B20B5" w14:textId="77777777" w:rsidR="00047A8D" w:rsidRPr="00DE38AB" w:rsidRDefault="00047A8D" w:rsidP="0064444E">
            <w:pPr>
              <w:rPr>
                <w:rFonts w:asciiTheme="minorHAnsi" w:hAnsiTheme="minorHAnsi" w:cstheme="minorHAnsi"/>
                <w:lang w:val="sq-AL"/>
              </w:rPr>
            </w:pPr>
          </w:p>
        </w:tc>
      </w:tr>
      <w:tr w:rsidR="00047A8D" w:rsidRPr="0021037A" w14:paraId="153498BC" w14:textId="77777777" w:rsidTr="00047A8D">
        <w:tc>
          <w:tcPr>
            <w:tcW w:w="4500" w:type="dxa"/>
            <w:shd w:val="clear" w:color="auto" w:fill="auto"/>
          </w:tcPr>
          <w:p w14:paraId="3482EFB4" w14:textId="77777777" w:rsidR="00047A8D" w:rsidRPr="0021037A" w:rsidRDefault="00047A8D" w:rsidP="0064444E">
            <w:pPr>
              <w:rPr>
                <w:rFonts w:asciiTheme="minorHAnsi" w:hAnsiTheme="minorHAnsi" w:cstheme="minorHAnsi"/>
              </w:rPr>
            </w:pPr>
            <w:r w:rsidRPr="0021037A">
              <w:rPr>
                <w:rFonts w:asciiTheme="minorHAnsi" w:hAnsiTheme="minorHAnsi" w:cstheme="minorHAnsi"/>
              </w:rPr>
              <w:t>I.ОЦЕНКА НА СОСТОЈБИТЕ ВО ОБЛАСТА ШТО ТРЕБА ДА СЕ УРЕДИ СО ЗАКОНОТ И ПРИЧИНИ ЗА ДОНЕСУВАЊЕ НА ЗАКОНОТ</w:t>
            </w:r>
          </w:p>
        </w:tc>
        <w:tc>
          <w:tcPr>
            <w:tcW w:w="4526" w:type="dxa"/>
            <w:shd w:val="clear" w:color="auto" w:fill="auto"/>
          </w:tcPr>
          <w:p w14:paraId="1E3292C0" w14:textId="77777777" w:rsidR="00047A8D" w:rsidRPr="00DE38AB" w:rsidRDefault="00047A8D" w:rsidP="0064444E">
            <w:pPr>
              <w:rPr>
                <w:rFonts w:asciiTheme="minorHAnsi" w:hAnsiTheme="minorHAnsi" w:cstheme="minorHAnsi"/>
                <w:lang w:val="sq-AL"/>
              </w:rPr>
            </w:pPr>
            <w:r w:rsidRPr="00DE38AB">
              <w:rPr>
                <w:rFonts w:asciiTheme="minorHAnsi" w:hAnsiTheme="minorHAnsi" w:cstheme="minorHAnsi"/>
                <w:lang w:val="sq-AL"/>
              </w:rPr>
              <w:t>I) VLERËSIMI I SITUATËS NË ZONËN QË DUHET TË RREGULLOHET ME LIGJ DHE ARSYET E SJELLJES SË LIGJIT</w:t>
            </w:r>
          </w:p>
        </w:tc>
      </w:tr>
      <w:tr w:rsidR="00047A8D" w:rsidRPr="0021037A" w14:paraId="5A1505ED" w14:textId="77777777" w:rsidTr="00047A8D">
        <w:tc>
          <w:tcPr>
            <w:tcW w:w="4500" w:type="dxa"/>
            <w:shd w:val="clear" w:color="auto" w:fill="auto"/>
          </w:tcPr>
          <w:p w14:paraId="1DD414A1" w14:textId="77777777" w:rsidR="00047A8D" w:rsidRPr="0021037A" w:rsidRDefault="00047A8D" w:rsidP="0064444E">
            <w:pPr>
              <w:rPr>
                <w:rFonts w:asciiTheme="minorHAnsi" w:hAnsiTheme="minorHAnsi" w:cstheme="minorHAnsi"/>
                <w:b/>
              </w:rPr>
            </w:pPr>
          </w:p>
        </w:tc>
        <w:tc>
          <w:tcPr>
            <w:tcW w:w="4526" w:type="dxa"/>
            <w:shd w:val="clear" w:color="auto" w:fill="auto"/>
          </w:tcPr>
          <w:p w14:paraId="6C281E08" w14:textId="77777777" w:rsidR="00047A8D" w:rsidRPr="00DE38AB" w:rsidRDefault="00047A8D" w:rsidP="0064444E">
            <w:pPr>
              <w:rPr>
                <w:rFonts w:asciiTheme="minorHAnsi" w:hAnsiTheme="minorHAnsi" w:cstheme="minorHAnsi"/>
                <w:b/>
                <w:lang w:val="sq-AL"/>
              </w:rPr>
            </w:pPr>
          </w:p>
        </w:tc>
      </w:tr>
      <w:tr w:rsidR="00047A8D" w:rsidRPr="0021037A" w14:paraId="383ECF48" w14:textId="77777777" w:rsidTr="00047A8D">
        <w:tc>
          <w:tcPr>
            <w:tcW w:w="4500" w:type="dxa"/>
            <w:shd w:val="clear" w:color="auto" w:fill="auto"/>
          </w:tcPr>
          <w:p w14:paraId="05B77D24" w14:textId="77777777" w:rsidR="004036EA" w:rsidRPr="000C5E5D" w:rsidRDefault="004036EA" w:rsidP="004036EA">
            <w:pPr>
              <w:rPr>
                <w:rFonts w:ascii="Arial" w:eastAsia="Calibri" w:hAnsi="Arial" w:cs="Arial"/>
                <w:iCs/>
                <w:sz w:val="22"/>
                <w:szCs w:val="22"/>
              </w:rPr>
            </w:pPr>
            <w:r w:rsidRPr="00C413F9">
              <w:rPr>
                <w:rStyle w:val="FontStyle11"/>
                <w:b w:val="0"/>
                <w:bCs w:val="0"/>
                <w:sz w:val="22"/>
                <w:szCs w:val="22"/>
              </w:rPr>
              <w:t xml:space="preserve">Со Законот за прекршоците </w:t>
            </w:r>
            <w:r w:rsidRPr="00C413F9">
              <w:rPr>
                <w:rFonts w:ascii="Arial" w:eastAsia="Calibri" w:hAnsi="Arial" w:cs="Arial"/>
                <w:iCs/>
                <w:sz w:val="22"/>
                <w:szCs w:val="22"/>
              </w:rPr>
              <w:t>(“Службен весник на Република Северна</w:t>
            </w:r>
            <w:r w:rsidRPr="00C413F9">
              <w:rPr>
                <w:rFonts w:ascii="Arial" w:eastAsia="Calibri" w:hAnsi="Arial" w:cs="Arial"/>
                <w:b/>
                <w:bCs/>
                <w:iCs/>
                <w:sz w:val="22"/>
                <w:szCs w:val="22"/>
              </w:rPr>
              <w:t xml:space="preserve"> </w:t>
            </w:r>
            <w:r w:rsidRPr="00C413F9">
              <w:rPr>
                <w:rFonts w:ascii="Arial" w:eastAsia="Calibri" w:hAnsi="Arial" w:cs="Arial"/>
                <w:iCs/>
                <w:sz w:val="22"/>
                <w:szCs w:val="22"/>
              </w:rPr>
              <w:t>Македонија” бр. 96/19)</w:t>
            </w:r>
            <w:r w:rsidRPr="00C413F9">
              <w:rPr>
                <w:rFonts w:ascii="Arial" w:eastAsia="Calibri" w:hAnsi="Arial" w:cs="Arial"/>
                <w:b/>
                <w:bCs/>
                <w:iCs/>
                <w:sz w:val="22"/>
                <w:szCs w:val="22"/>
              </w:rPr>
              <w:t xml:space="preserve">  </w:t>
            </w:r>
            <w:r w:rsidRPr="00C413F9">
              <w:rPr>
                <w:rStyle w:val="FontStyle11"/>
                <w:b w:val="0"/>
                <w:bCs w:val="0"/>
                <w:sz w:val="22"/>
                <w:szCs w:val="22"/>
              </w:rPr>
              <w:t xml:space="preserve">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пропишува прекршочната постапка што ја водат судовите и прекршочните органи. Во </w:t>
            </w:r>
            <w:r w:rsidRPr="00C413F9">
              <w:rPr>
                <w:rFonts w:ascii="Arial" w:eastAsia="Calibri" w:hAnsi="Arial" w:cs="Arial"/>
                <w:b/>
                <w:bCs/>
                <w:iCs/>
                <w:sz w:val="22"/>
                <w:szCs w:val="22"/>
              </w:rPr>
              <w:t xml:space="preserve"> </w:t>
            </w:r>
            <w:r w:rsidRPr="00C413F9">
              <w:rPr>
                <w:rFonts w:ascii="Arial" w:eastAsia="Calibri" w:hAnsi="Arial" w:cs="Arial"/>
                <w:iCs/>
                <w:sz w:val="22"/>
                <w:szCs w:val="22"/>
              </w:rPr>
              <w:t>Законот за прекршоците  е утврдено дека сите материјални закони кои во себе содржат прекршочни одредби</w:t>
            </w:r>
            <w:r w:rsidRPr="000C5E5D">
              <w:rPr>
                <w:rFonts w:ascii="Arial" w:eastAsia="Calibri" w:hAnsi="Arial" w:cs="Arial"/>
                <w:iCs/>
                <w:sz w:val="22"/>
                <w:szCs w:val="22"/>
              </w:rPr>
              <w:t xml:space="preserve"> е потребно да се усогласат со новиот закон. </w:t>
            </w:r>
          </w:p>
          <w:p w14:paraId="73913A06" w14:textId="22DCA520" w:rsidR="00047A8D" w:rsidRPr="0021037A" w:rsidRDefault="00047A8D" w:rsidP="0064444E">
            <w:pPr>
              <w:rPr>
                <w:rFonts w:asciiTheme="minorHAnsi" w:hAnsiTheme="minorHAnsi" w:cstheme="minorHAnsi"/>
              </w:rPr>
            </w:pPr>
          </w:p>
        </w:tc>
        <w:tc>
          <w:tcPr>
            <w:tcW w:w="4526" w:type="dxa"/>
            <w:shd w:val="clear" w:color="auto" w:fill="auto"/>
          </w:tcPr>
          <w:p w14:paraId="165E938C" w14:textId="77777777" w:rsidR="00814FF8" w:rsidRPr="00DE38AB" w:rsidRDefault="00814FF8" w:rsidP="00814FF8">
            <w:pPr>
              <w:rPr>
                <w:rStyle w:val="FontStyle11"/>
                <w:b w:val="0"/>
                <w:bCs w:val="0"/>
                <w:sz w:val="22"/>
                <w:szCs w:val="22"/>
                <w:lang w:val="sq-AL"/>
              </w:rPr>
            </w:pPr>
            <w:r w:rsidRPr="00DE38AB">
              <w:rPr>
                <w:rStyle w:val="FontStyle11"/>
                <w:b w:val="0"/>
                <w:bCs w:val="0"/>
                <w:sz w:val="22"/>
                <w:szCs w:val="22"/>
                <w:lang w:val="sq-AL"/>
              </w:rPr>
              <w:t>Me Ligjin për Kundërvajtje ("Gazeta Zyrtare e Republikës së Maqedonisë Veriore" Nr. 96/19) përcaktohen kushtet e përgjithshme për përshkrimin e kundërvajtjeve dhe sanksionet kundërvajtëse, kushtet e përgjithshme për përcaktimin e përgjegjësisë kundërvajtëse për vendosjen dhe ekzekutimin e sanksioneve kundërvajtëse dhe përshkruhet procedura kundërvajtëse që drejtohet nga gjykatat dhe autoritetet e kundërvajtjes. Ligji për Kundërvajtjet përcakton se të gjitha ligjet materiale që përmbajnë dispozita për kundërvajtje duhet të harmonizohen me ligjin e ri.</w:t>
            </w:r>
          </w:p>
          <w:p w14:paraId="256BEBB9" w14:textId="5BBFA034" w:rsidR="00047A8D" w:rsidRPr="00DE38AB" w:rsidRDefault="00047A8D" w:rsidP="0064444E">
            <w:pPr>
              <w:rPr>
                <w:rFonts w:asciiTheme="minorHAnsi" w:hAnsiTheme="minorHAnsi" w:cstheme="minorHAnsi"/>
                <w:lang w:val="sq-AL"/>
              </w:rPr>
            </w:pPr>
          </w:p>
        </w:tc>
      </w:tr>
      <w:tr w:rsidR="00047A8D" w:rsidRPr="0021037A" w14:paraId="3213F7C1" w14:textId="77777777" w:rsidTr="00047A8D">
        <w:tc>
          <w:tcPr>
            <w:tcW w:w="4500" w:type="dxa"/>
            <w:shd w:val="clear" w:color="auto" w:fill="auto"/>
          </w:tcPr>
          <w:p w14:paraId="1DA33F77" w14:textId="77777777" w:rsidR="004036EA" w:rsidRPr="00611AE3" w:rsidRDefault="004036EA" w:rsidP="004036EA">
            <w:pPr>
              <w:rPr>
                <w:rStyle w:val="FontStyle11"/>
                <w:rFonts w:eastAsia="Calibri"/>
                <w:b w:val="0"/>
                <w:bCs w:val="0"/>
                <w:iCs/>
                <w:sz w:val="22"/>
                <w:szCs w:val="22"/>
              </w:rPr>
            </w:pPr>
            <w:r w:rsidRPr="00611AE3">
              <w:rPr>
                <w:rFonts w:ascii="Arial" w:eastAsia="Calibri" w:hAnsi="Arial" w:cs="Arial"/>
                <w:iCs/>
                <w:sz w:val="22"/>
                <w:szCs w:val="22"/>
              </w:rPr>
              <w:t xml:space="preserve">Следствено се јави потребата да се извршат измени на одредбите со кои се уредуваат прекршоците утврдени во Законот за </w:t>
            </w:r>
            <w:r>
              <w:rPr>
                <w:rFonts w:ascii="Arial" w:eastAsia="Calibri" w:hAnsi="Arial" w:cs="Arial"/>
                <w:iCs/>
                <w:sz w:val="22"/>
                <w:szCs w:val="22"/>
              </w:rPr>
              <w:t>утврдување на цените на водни услуги</w:t>
            </w:r>
            <w:r w:rsidRPr="00611AE3">
              <w:rPr>
                <w:rFonts w:ascii="Arial" w:eastAsia="Calibri" w:hAnsi="Arial" w:cs="Arial"/>
                <w:iCs/>
                <w:sz w:val="22"/>
                <w:szCs w:val="22"/>
              </w:rPr>
              <w:t xml:space="preserve"> со што пропишаните глоби ќе бидат во рамките на предвидените граници утврдени со новиот Закон за прекршоците, ќе се </w:t>
            </w:r>
            <w:proofErr w:type="spellStart"/>
            <w:r w:rsidRPr="00611AE3">
              <w:rPr>
                <w:rFonts w:ascii="Arial" w:eastAsia="Calibri" w:hAnsi="Arial" w:cs="Arial"/>
                <w:iCs/>
                <w:sz w:val="22"/>
                <w:szCs w:val="22"/>
              </w:rPr>
              <w:t>реуреди</w:t>
            </w:r>
            <w:proofErr w:type="spellEnd"/>
            <w:r w:rsidRPr="00611AE3">
              <w:rPr>
                <w:rFonts w:ascii="Arial" w:eastAsia="Calibri" w:hAnsi="Arial" w:cs="Arial"/>
                <w:iCs/>
                <w:sz w:val="22"/>
                <w:szCs w:val="22"/>
              </w:rPr>
              <w:t xml:space="preserve"> надлежноста за водење на прекршочната постапка и усогласи утврдувањето на прекршочната одговорност.</w:t>
            </w:r>
          </w:p>
          <w:p w14:paraId="5CA2C409" w14:textId="59E0BC43" w:rsidR="00047A8D" w:rsidRPr="0021037A" w:rsidRDefault="00047A8D" w:rsidP="0064444E">
            <w:pPr>
              <w:rPr>
                <w:rFonts w:asciiTheme="minorHAnsi" w:hAnsiTheme="minorHAnsi" w:cstheme="minorHAnsi"/>
              </w:rPr>
            </w:pPr>
          </w:p>
        </w:tc>
        <w:tc>
          <w:tcPr>
            <w:tcW w:w="4526" w:type="dxa"/>
            <w:shd w:val="clear" w:color="auto" w:fill="auto"/>
          </w:tcPr>
          <w:p w14:paraId="02B0847F" w14:textId="77777777" w:rsidR="00814FF8" w:rsidRPr="00DE38AB" w:rsidRDefault="00814FF8" w:rsidP="00814FF8">
            <w:pPr>
              <w:rPr>
                <w:rFonts w:ascii="Arial" w:eastAsia="Calibri" w:hAnsi="Arial" w:cs="Arial"/>
                <w:iCs/>
                <w:sz w:val="22"/>
                <w:szCs w:val="22"/>
                <w:lang w:val="sq-AL"/>
              </w:rPr>
            </w:pPr>
            <w:r w:rsidRPr="00DE38AB">
              <w:rPr>
                <w:rFonts w:ascii="Arial" w:eastAsia="Calibri" w:hAnsi="Arial" w:cs="Arial"/>
                <w:iCs/>
                <w:sz w:val="22"/>
                <w:szCs w:val="22"/>
                <w:lang w:val="sq-AL"/>
              </w:rPr>
              <w:t>Si pasojë, ekziston nevoja për ndryshimin e  dispozitave që rregullojnë shkeljet e përcaktuara në Ligjin për Përcaktimin e Çmimeve të Shërbimeve të Ujit, në mënyrë që gjobat e përshkruara të jenë brenda kufijve të përcaktuar me Ligjin e Ri për Kundërvajtje, që do të rregullojë kompetencën për udhëheqjen е procedurës së kundërvajtjes dhe do të harmonizojë përcaktimin e përgjegjësisë së kundërvajtjes.</w:t>
            </w:r>
          </w:p>
          <w:p w14:paraId="6B478707" w14:textId="6380B57E" w:rsidR="00047A8D" w:rsidRPr="00DE38AB" w:rsidRDefault="00047A8D" w:rsidP="0064444E">
            <w:pPr>
              <w:rPr>
                <w:rFonts w:asciiTheme="minorHAnsi" w:hAnsiTheme="minorHAnsi" w:cstheme="minorHAnsi"/>
                <w:lang w:val="sq-AL"/>
              </w:rPr>
            </w:pPr>
          </w:p>
        </w:tc>
      </w:tr>
      <w:tr w:rsidR="00047A8D" w:rsidRPr="0021037A" w14:paraId="094223C1" w14:textId="77777777" w:rsidTr="00047A8D">
        <w:tc>
          <w:tcPr>
            <w:tcW w:w="4500" w:type="dxa"/>
            <w:shd w:val="clear" w:color="auto" w:fill="auto"/>
          </w:tcPr>
          <w:p w14:paraId="43146348" w14:textId="77777777" w:rsidR="00047A8D" w:rsidRPr="0021037A" w:rsidRDefault="00047A8D" w:rsidP="0064444E">
            <w:pPr>
              <w:rPr>
                <w:rFonts w:asciiTheme="minorHAnsi" w:hAnsiTheme="minorHAnsi" w:cstheme="minorHAnsi"/>
              </w:rPr>
            </w:pPr>
          </w:p>
        </w:tc>
        <w:tc>
          <w:tcPr>
            <w:tcW w:w="4526" w:type="dxa"/>
            <w:shd w:val="clear" w:color="auto" w:fill="auto"/>
          </w:tcPr>
          <w:p w14:paraId="00319588" w14:textId="77777777" w:rsidR="00047A8D" w:rsidRPr="00DE38AB" w:rsidRDefault="00047A8D" w:rsidP="0064444E">
            <w:pPr>
              <w:rPr>
                <w:rFonts w:asciiTheme="minorHAnsi" w:hAnsiTheme="minorHAnsi" w:cstheme="minorHAnsi"/>
                <w:lang w:val="sq-AL"/>
              </w:rPr>
            </w:pPr>
          </w:p>
        </w:tc>
      </w:tr>
      <w:tr w:rsidR="00047A8D" w:rsidRPr="0021037A" w14:paraId="23DA931B" w14:textId="77777777" w:rsidTr="00047A8D">
        <w:tc>
          <w:tcPr>
            <w:tcW w:w="4500" w:type="dxa"/>
            <w:shd w:val="clear" w:color="auto" w:fill="auto"/>
          </w:tcPr>
          <w:p w14:paraId="49625012" w14:textId="77777777" w:rsidR="00047A8D" w:rsidRPr="0021037A" w:rsidRDefault="00047A8D" w:rsidP="0064444E">
            <w:pPr>
              <w:rPr>
                <w:rFonts w:asciiTheme="minorHAnsi" w:hAnsiTheme="minorHAnsi" w:cstheme="minorHAnsi"/>
              </w:rPr>
            </w:pPr>
          </w:p>
        </w:tc>
        <w:tc>
          <w:tcPr>
            <w:tcW w:w="4526" w:type="dxa"/>
            <w:shd w:val="clear" w:color="auto" w:fill="auto"/>
          </w:tcPr>
          <w:p w14:paraId="5BA6AA27" w14:textId="77777777" w:rsidR="00047A8D" w:rsidRPr="00DE38AB" w:rsidRDefault="00047A8D" w:rsidP="0064444E">
            <w:pPr>
              <w:rPr>
                <w:rFonts w:asciiTheme="minorHAnsi" w:hAnsiTheme="minorHAnsi" w:cstheme="minorHAnsi"/>
                <w:lang w:val="sq-AL"/>
              </w:rPr>
            </w:pPr>
          </w:p>
        </w:tc>
      </w:tr>
      <w:tr w:rsidR="00047A8D" w:rsidRPr="0021037A" w14:paraId="426F13CA" w14:textId="77777777" w:rsidTr="00047A8D">
        <w:tc>
          <w:tcPr>
            <w:tcW w:w="4500" w:type="dxa"/>
            <w:shd w:val="clear" w:color="auto" w:fill="auto"/>
          </w:tcPr>
          <w:p w14:paraId="134A2CBB" w14:textId="77777777" w:rsidR="00047A8D" w:rsidRPr="0021037A" w:rsidRDefault="00047A8D" w:rsidP="0064444E">
            <w:pPr>
              <w:rPr>
                <w:rFonts w:asciiTheme="minorHAnsi" w:hAnsiTheme="minorHAnsi" w:cstheme="minorHAnsi"/>
                <w:lang w:val="ru-RU"/>
              </w:rPr>
            </w:pPr>
            <w:r w:rsidRPr="0021037A">
              <w:rPr>
                <w:rFonts w:asciiTheme="minorHAnsi" w:hAnsiTheme="minorHAnsi" w:cstheme="minorHAnsi"/>
              </w:rPr>
              <w:t xml:space="preserve">II. ЦЕЛИ, НАЧЕЛА И ОСНОВНИ РЕШЕНИЈА </w:t>
            </w:r>
          </w:p>
        </w:tc>
        <w:tc>
          <w:tcPr>
            <w:tcW w:w="4526" w:type="dxa"/>
            <w:shd w:val="clear" w:color="auto" w:fill="auto"/>
          </w:tcPr>
          <w:p w14:paraId="1FA2C512" w14:textId="77777777" w:rsidR="00047A8D" w:rsidRPr="00DE38AB" w:rsidRDefault="00047A8D" w:rsidP="0064444E">
            <w:pPr>
              <w:rPr>
                <w:rFonts w:asciiTheme="minorHAnsi" w:hAnsiTheme="minorHAnsi" w:cstheme="minorHAnsi"/>
                <w:lang w:val="sq-AL"/>
              </w:rPr>
            </w:pPr>
            <w:r w:rsidRPr="00DE38AB">
              <w:rPr>
                <w:rFonts w:asciiTheme="minorHAnsi" w:hAnsiTheme="minorHAnsi" w:cstheme="minorHAnsi"/>
                <w:lang w:val="sq-AL"/>
              </w:rPr>
              <w:t>II. QËLLIMET, PARIMET DHE ZGJIDHJET THEMELORE</w:t>
            </w:r>
          </w:p>
        </w:tc>
      </w:tr>
      <w:tr w:rsidR="00047A8D" w:rsidRPr="0021037A" w14:paraId="0E177C8B" w14:textId="77777777" w:rsidTr="00047A8D">
        <w:tc>
          <w:tcPr>
            <w:tcW w:w="4500" w:type="dxa"/>
            <w:shd w:val="clear" w:color="auto" w:fill="auto"/>
          </w:tcPr>
          <w:p w14:paraId="3A56F477" w14:textId="77777777" w:rsidR="00047A8D" w:rsidRPr="0021037A" w:rsidRDefault="00047A8D" w:rsidP="0064444E">
            <w:pPr>
              <w:rPr>
                <w:rFonts w:asciiTheme="minorHAnsi" w:hAnsiTheme="minorHAnsi" w:cstheme="minorHAnsi"/>
              </w:rPr>
            </w:pPr>
          </w:p>
        </w:tc>
        <w:tc>
          <w:tcPr>
            <w:tcW w:w="4526" w:type="dxa"/>
            <w:shd w:val="clear" w:color="auto" w:fill="auto"/>
          </w:tcPr>
          <w:p w14:paraId="34ED4908" w14:textId="77777777" w:rsidR="00047A8D" w:rsidRPr="00DE38AB" w:rsidRDefault="00047A8D" w:rsidP="0064444E">
            <w:pPr>
              <w:rPr>
                <w:rFonts w:asciiTheme="minorHAnsi" w:hAnsiTheme="minorHAnsi" w:cstheme="minorHAnsi"/>
                <w:lang w:val="sq-AL"/>
              </w:rPr>
            </w:pPr>
          </w:p>
        </w:tc>
      </w:tr>
      <w:tr w:rsidR="00047A8D" w:rsidRPr="0021037A" w14:paraId="7590A2F2" w14:textId="77777777" w:rsidTr="00047A8D">
        <w:tc>
          <w:tcPr>
            <w:tcW w:w="4500" w:type="dxa"/>
            <w:shd w:val="clear" w:color="auto" w:fill="auto"/>
          </w:tcPr>
          <w:p w14:paraId="4ED6FEE3" w14:textId="77777777" w:rsidR="002D669F" w:rsidRPr="00611AE3" w:rsidRDefault="002D669F" w:rsidP="002D669F">
            <w:pPr>
              <w:rPr>
                <w:rFonts w:ascii="Arial" w:hAnsi="Arial" w:cs="Arial"/>
                <w:sz w:val="22"/>
                <w:szCs w:val="22"/>
              </w:rPr>
            </w:pPr>
            <w:r w:rsidRPr="00611AE3">
              <w:rPr>
                <w:rFonts w:ascii="Arial" w:hAnsi="Arial" w:cs="Arial"/>
                <w:sz w:val="22"/>
                <w:szCs w:val="22"/>
              </w:rPr>
              <w:t xml:space="preserve">Целите кои што се очекува да бидат постигнати со донесувањето на Законот за изменување на Законот за </w:t>
            </w:r>
            <w:r>
              <w:rPr>
                <w:rFonts w:ascii="Arial" w:hAnsi="Arial" w:cs="Arial"/>
                <w:sz w:val="22"/>
                <w:szCs w:val="22"/>
              </w:rPr>
              <w:t>утврдување на цените на водни услуги</w:t>
            </w:r>
            <w:r w:rsidRPr="00611AE3">
              <w:rPr>
                <w:rFonts w:ascii="Arial" w:hAnsi="Arial" w:cs="Arial"/>
                <w:sz w:val="22"/>
                <w:szCs w:val="22"/>
              </w:rPr>
              <w:t xml:space="preserve"> е усогласување со прекршочните одредби во Законот за прекршоците и хармонизација на правниот систем.</w:t>
            </w:r>
          </w:p>
          <w:p w14:paraId="3611A2A9" w14:textId="6C4FDCD0" w:rsidR="00047A8D" w:rsidRPr="0021037A" w:rsidRDefault="00047A8D" w:rsidP="0064444E">
            <w:pPr>
              <w:rPr>
                <w:rFonts w:asciiTheme="minorHAnsi" w:hAnsiTheme="minorHAnsi" w:cstheme="minorHAnsi"/>
              </w:rPr>
            </w:pPr>
          </w:p>
        </w:tc>
        <w:tc>
          <w:tcPr>
            <w:tcW w:w="4526" w:type="dxa"/>
            <w:shd w:val="clear" w:color="auto" w:fill="auto"/>
          </w:tcPr>
          <w:p w14:paraId="327696DF" w14:textId="77777777" w:rsidR="00233517" w:rsidRPr="00DE38AB" w:rsidRDefault="00233517" w:rsidP="00233517">
            <w:pPr>
              <w:rPr>
                <w:rFonts w:ascii="Arial" w:hAnsi="Arial" w:cs="Arial"/>
                <w:sz w:val="22"/>
                <w:szCs w:val="22"/>
                <w:lang w:val="sq-AL"/>
              </w:rPr>
            </w:pPr>
            <w:r w:rsidRPr="00DE38AB">
              <w:rPr>
                <w:rFonts w:ascii="Arial" w:hAnsi="Arial" w:cs="Arial"/>
                <w:sz w:val="22"/>
                <w:szCs w:val="22"/>
                <w:lang w:val="sq-AL"/>
              </w:rPr>
              <w:t>Qëllimet që pritet të arrihen me miratimin e Ligjit për Ndryshimet në Ligjin për Përcaktimin e Çmimeve të Shërbimeve të Ujit është harmonizimi me dispozitat për kundërvajtje në Ligjin për Kundërvajtjet dhe harmonizimi i sistemit ligjor.</w:t>
            </w:r>
          </w:p>
          <w:p w14:paraId="5D99EFC8" w14:textId="45F502FE" w:rsidR="00047A8D" w:rsidRPr="00DE38AB" w:rsidRDefault="00047A8D" w:rsidP="0064444E">
            <w:pPr>
              <w:rPr>
                <w:rFonts w:asciiTheme="minorHAnsi" w:hAnsiTheme="minorHAnsi" w:cstheme="minorHAnsi"/>
                <w:lang w:val="sq-AL"/>
              </w:rPr>
            </w:pPr>
          </w:p>
        </w:tc>
      </w:tr>
      <w:tr w:rsidR="00047A8D" w:rsidRPr="0021037A" w14:paraId="0ED60831" w14:textId="77777777" w:rsidTr="00047A8D">
        <w:tc>
          <w:tcPr>
            <w:tcW w:w="4500" w:type="dxa"/>
            <w:shd w:val="clear" w:color="auto" w:fill="auto"/>
          </w:tcPr>
          <w:p w14:paraId="48C80F35" w14:textId="77777777" w:rsidR="00047A8D" w:rsidRPr="0021037A" w:rsidRDefault="00047A8D" w:rsidP="0064444E">
            <w:pPr>
              <w:rPr>
                <w:rFonts w:asciiTheme="minorHAnsi" w:hAnsiTheme="minorHAnsi" w:cstheme="minorHAnsi"/>
              </w:rPr>
            </w:pPr>
          </w:p>
        </w:tc>
        <w:tc>
          <w:tcPr>
            <w:tcW w:w="4526" w:type="dxa"/>
            <w:shd w:val="clear" w:color="auto" w:fill="auto"/>
          </w:tcPr>
          <w:p w14:paraId="3DFC304E" w14:textId="77777777" w:rsidR="00047A8D" w:rsidRPr="0021037A" w:rsidRDefault="00047A8D" w:rsidP="0064444E">
            <w:pPr>
              <w:rPr>
                <w:rFonts w:asciiTheme="minorHAnsi" w:hAnsiTheme="minorHAnsi" w:cstheme="minorHAnsi"/>
              </w:rPr>
            </w:pPr>
          </w:p>
        </w:tc>
      </w:tr>
      <w:tr w:rsidR="00047A8D" w:rsidRPr="0021037A" w14:paraId="03A3DC66" w14:textId="77777777" w:rsidTr="00047A8D">
        <w:tc>
          <w:tcPr>
            <w:tcW w:w="4500" w:type="dxa"/>
            <w:shd w:val="clear" w:color="auto" w:fill="auto"/>
          </w:tcPr>
          <w:p w14:paraId="4404E9D6" w14:textId="77777777" w:rsidR="00047A8D" w:rsidRPr="0021037A" w:rsidRDefault="00047A8D" w:rsidP="0064444E">
            <w:pPr>
              <w:rPr>
                <w:rFonts w:asciiTheme="minorHAnsi" w:hAnsiTheme="minorHAnsi" w:cstheme="minorHAnsi"/>
              </w:rPr>
            </w:pPr>
            <w:r w:rsidRPr="0021037A">
              <w:rPr>
                <w:rFonts w:asciiTheme="minorHAnsi" w:hAnsiTheme="minorHAnsi" w:cstheme="minorHAnsi"/>
              </w:rPr>
              <w:lastRenderedPageBreak/>
              <w:t>III.ОЦЕНА НА ФИНАНСИСКИТЕ ПОСЛЕДИЦИ ОД ПРЕДЛОГОТ НА ЗАКОНОТ ВРЗ БУЏЕТОТ И ДРУГИТЕ ЈАВНИ ФИНАНСИСКИ СРЕДСТВА</w:t>
            </w:r>
          </w:p>
        </w:tc>
        <w:tc>
          <w:tcPr>
            <w:tcW w:w="4526" w:type="dxa"/>
            <w:shd w:val="clear" w:color="auto" w:fill="auto"/>
          </w:tcPr>
          <w:p w14:paraId="0B8B8CC3" w14:textId="77777777" w:rsidR="00047A8D" w:rsidRPr="00DE38AB" w:rsidRDefault="00047A8D" w:rsidP="0064444E">
            <w:pPr>
              <w:rPr>
                <w:rFonts w:asciiTheme="minorHAnsi" w:hAnsiTheme="minorHAnsi" w:cstheme="minorHAnsi"/>
                <w:lang w:val="sq-AL"/>
              </w:rPr>
            </w:pPr>
            <w:r w:rsidRPr="00DE38AB">
              <w:rPr>
                <w:rFonts w:asciiTheme="minorHAnsi" w:hAnsiTheme="minorHAnsi" w:cstheme="minorHAnsi"/>
                <w:lang w:val="sq-AL"/>
              </w:rPr>
              <w:t>III. VLERËSIMI I PASOJAVE FINANCIARE NGA PROPOZIM-LIGJI MBI BUXHETIN DHE MJETET E TJERA FINANCIARE PUBLIKE</w:t>
            </w:r>
          </w:p>
        </w:tc>
      </w:tr>
      <w:tr w:rsidR="00047A8D" w:rsidRPr="0021037A" w14:paraId="37866386" w14:textId="77777777" w:rsidTr="00047A8D">
        <w:tc>
          <w:tcPr>
            <w:tcW w:w="4500" w:type="dxa"/>
            <w:shd w:val="clear" w:color="auto" w:fill="auto"/>
          </w:tcPr>
          <w:p w14:paraId="404AFA70" w14:textId="77777777" w:rsidR="00047A8D" w:rsidRPr="0021037A" w:rsidRDefault="00047A8D" w:rsidP="0064444E">
            <w:pPr>
              <w:rPr>
                <w:rFonts w:asciiTheme="minorHAnsi" w:hAnsiTheme="minorHAnsi" w:cstheme="minorHAnsi"/>
              </w:rPr>
            </w:pPr>
          </w:p>
        </w:tc>
        <w:tc>
          <w:tcPr>
            <w:tcW w:w="4526" w:type="dxa"/>
            <w:shd w:val="clear" w:color="auto" w:fill="auto"/>
          </w:tcPr>
          <w:p w14:paraId="17767C2C" w14:textId="77777777" w:rsidR="00047A8D" w:rsidRPr="00DE38AB" w:rsidRDefault="00047A8D" w:rsidP="0064444E">
            <w:pPr>
              <w:rPr>
                <w:rFonts w:asciiTheme="minorHAnsi" w:hAnsiTheme="minorHAnsi" w:cstheme="minorHAnsi"/>
                <w:lang w:val="sq-AL"/>
              </w:rPr>
            </w:pPr>
          </w:p>
        </w:tc>
      </w:tr>
      <w:tr w:rsidR="00047A8D" w:rsidRPr="0021037A" w14:paraId="1161918E" w14:textId="77777777" w:rsidTr="00047A8D">
        <w:tc>
          <w:tcPr>
            <w:tcW w:w="4500" w:type="dxa"/>
            <w:shd w:val="clear" w:color="auto" w:fill="auto"/>
          </w:tcPr>
          <w:p w14:paraId="5D2AF7E3" w14:textId="77777777" w:rsidR="002D669F" w:rsidRPr="00611AE3" w:rsidRDefault="002D669F" w:rsidP="002D669F">
            <w:pPr>
              <w:rPr>
                <w:rFonts w:ascii="Arial" w:hAnsi="Arial" w:cs="Arial"/>
                <w:sz w:val="22"/>
                <w:szCs w:val="22"/>
              </w:rPr>
            </w:pPr>
            <w:r w:rsidRPr="00611AE3">
              <w:rPr>
                <w:rFonts w:ascii="Arial" w:hAnsi="Arial" w:cs="Arial"/>
                <w:sz w:val="22"/>
                <w:szCs w:val="22"/>
              </w:rPr>
              <w:t xml:space="preserve">Измените и дополнувањата на Законот за </w:t>
            </w:r>
            <w:r>
              <w:rPr>
                <w:rFonts w:ascii="Arial" w:hAnsi="Arial" w:cs="Arial"/>
                <w:sz w:val="22"/>
                <w:szCs w:val="22"/>
              </w:rPr>
              <w:t>утврдување на цените на водни услуги</w:t>
            </w:r>
            <w:r w:rsidRPr="00611AE3">
              <w:rPr>
                <w:rFonts w:ascii="Arial" w:hAnsi="Arial" w:cs="Arial"/>
                <w:sz w:val="22"/>
                <w:szCs w:val="22"/>
              </w:rPr>
              <w:t xml:space="preserve"> нема да има финансиски импликации врз буџетот и другите јавни финансиски средства.</w:t>
            </w:r>
          </w:p>
          <w:p w14:paraId="39A4E6B8" w14:textId="2DB39369" w:rsidR="00047A8D" w:rsidRPr="0021037A" w:rsidRDefault="00047A8D" w:rsidP="0064444E">
            <w:pPr>
              <w:rPr>
                <w:rFonts w:asciiTheme="minorHAnsi" w:hAnsiTheme="minorHAnsi" w:cstheme="minorHAnsi"/>
                <w:color w:val="FF0000"/>
                <w:lang w:val="ru-RU"/>
              </w:rPr>
            </w:pPr>
          </w:p>
        </w:tc>
        <w:tc>
          <w:tcPr>
            <w:tcW w:w="4526" w:type="dxa"/>
            <w:shd w:val="clear" w:color="auto" w:fill="auto"/>
          </w:tcPr>
          <w:p w14:paraId="1021C1E1" w14:textId="77777777" w:rsidR="00761411" w:rsidRPr="00DE38AB" w:rsidRDefault="00761411" w:rsidP="00761411">
            <w:pPr>
              <w:rPr>
                <w:rFonts w:ascii="Arial" w:hAnsi="Arial" w:cs="Arial"/>
                <w:sz w:val="22"/>
                <w:szCs w:val="22"/>
                <w:lang w:val="sq-AL"/>
              </w:rPr>
            </w:pPr>
            <w:r w:rsidRPr="00DE38AB">
              <w:rPr>
                <w:rFonts w:ascii="Arial" w:hAnsi="Arial" w:cs="Arial"/>
                <w:sz w:val="22"/>
                <w:szCs w:val="22"/>
                <w:lang w:val="sq-AL"/>
              </w:rPr>
              <w:t>Ndryshimet dhe Plotësimet në Ligjin për Përcaktimin e Çmimeve të Shërbimeve të Ujit nuk do të kenë implikime financiare për buxhetin dhe fondet e tjera publike</w:t>
            </w:r>
          </w:p>
          <w:p w14:paraId="0633EEEC" w14:textId="7FB10AB7" w:rsidR="00047A8D" w:rsidRPr="00DE38AB" w:rsidRDefault="00047A8D" w:rsidP="0064444E">
            <w:pPr>
              <w:rPr>
                <w:rFonts w:asciiTheme="minorHAnsi" w:hAnsiTheme="minorHAnsi" w:cstheme="minorHAnsi"/>
                <w:lang w:val="sq-AL"/>
              </w:rPr>
            </w:pPr>
          </w:p>
        </w:tc>
      </w:tr>
      <w:tr w:rsidR="00047A8D" w:rsidRPr="0021037A" w14:paraId="1F5C4BA4" w14:textId="77777777" w:rsidTr="00047A8D">
        <w:tc>
          <w:tcPr>
            <w:tcW w:w="4500" w:type="dxa"/>
            <w:shd w:val="clear" w:color="auto" w:fill="auto"/>
          </w:tcPr>
          <w:p w14:paraId="6719A271" w14:textId="77777777" w:rsidR="00047A8D" w:rsidRPr="0021037A" w:rsidRDefault="00047A8D" w:rsidP="0064444E">
            <w:pPr>
              <w:rPr>
                <w:rFonts w:asciiTheme="minorHAnsi" w:hAnsiTheme="minorHAnsi" w:cstheme="minorHAnsi"/>
              </w:rPr>
            </w:pPr>
          </w:p>
        </w:tc>
        <w:tc>
          <w:tcPr>
            <w:tcW w:w="4526" w:type="dxa"/>
            <w:shd w:val="clear" w:color="auto" w:fill="auto"/>
          </w:tcPr>
          <w:p w14:paraId="5D79A92F" w14:textId="77777777" w:rsidR="00047A8D" w:rsidRPr="00DE38AB" w:rsidRDefault="00047A8D" w:rsidP="0064444E">
            <w:pPr>
              <w:rPr>
                <w:rFonts w:asciiTheme="minorHAnsi" w:hAnsiTheme="minorHAnsi" w:cstheme="minorHAnsi"/>
                <w:lang w:val="sq-AL"/>
              </w:rPr>
            </w:pPr>
          </w:p>
        </w:tc>
      </w:tr>
      <w:tr w:rsidR="00047A8D" w:rsidRPr="0021037A" w14:paraId="3C72B1D6" w14:textId="77777777" w:rsidTr="00047A8D">
        <w:tc>
          <w:tcPr>
            <w:tcW w:w="4500" w:type="dxa"/>
            <w:shd w:val="clear" w:color="auto" w:fill="auto"/>
          </w:tcPr>
          <w:p w14:paraId="32CE84B5" w14:textId="2A4ACB5A" w:rsidR="00047A8D" w:rsidRPr="0021037A" w:rsidRDefault="00047A8D" w:rsidP="0064444E">
            <w:pPr>
              <w:rPr>
                <w:rFonts w:asciiTheme="minorHAnsi" w:hAnsiTheme="minorHAnsi" w:cstheme="minorHAnsi"/>
              </w:rPr>
            </w:pPr>
            <w:r w:rsidRPr="0021037A">
              <w:rPr>
                <w:rFonts w:asciiTheme="minorHAnsi" w:hAnsiTheme="minorHAnsi" w:cstheme="minorHAnsi"/>
              </w:rPr>
              <w:t>IV. 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tc>
        <w:tc>
          <w:tcPr>
            <w:tcW w:w="4526" w:type="dxa"/>
            <w:shd w:val="clear" w:color="auto" w:fill="auto"/>
          </w:tcPr>
          <w:p w14:paraId="37C5DB16" w14:textId="77777777" w:rsidR="00047A8D" w:rsidRPr="00DE38AB" w:rsidRDefault="00047A8D" w:rsidP="0064444E">
            <w:pPr>
              <w:rPr>
                <w:rFonts w:asciiTheme="minorHAnsi" w:hAnsiTheme="minorHAnsi" w:cstheme="minorHAnsi"/>
                <w:lang w:val="sq-AL"/>
              </w:rPr>
            </w:pPr>
            <w:r w:rsidRPr="00DE38AB">
              <w:rPr>
                <w:rFonts w:asciiTheme="minorHAnsi" w:hAnsiTheme="minorHAnsi" w:cstheme="minorHAnsi"/>
                <w:lang w:val="sq-AL"/>
              </w:rPr>
              <w:t>IV VLERËSIMI I MJETEVE FINANCIARE TË NEVOJSHME PËR ZBATIMIN E LIGJIT, MËNYRA E SIGURIMIT TË TYRE, TË DHËNA NËSE ZBATIMI I LIGJIT PËRFSHIN DETYRIME MATERIALE PËR SUBJEKTE TË CAKTUARA</w:t>
            </w:r>
          </w:p>
        </w:tc>
      </w:tr>
      <w:tr w:rsidR="00047A8D" w:rsidRPr="0021037A" w14:paraId="2553A3A7" w14:textId="77777777" w:rsidTr="00047A8D">
        <w:tc>
          <w:tcPr>
            <w:tcW w:w="4500" w:type="dxa"/>
            <w:shd w:val="clear" w:color="auto" w:fill="auto"/>
          </w:tcPr>
          <w:p w14:paraId="171D263A" w14:textId="77777777" w:rsidR="00047A8D" w:rsidRPr="0021037A" w:rsidRDefault="00047A8D" w:rsidP="0064444E">
            <w:pPr>
              <w:rPr>
                <w:rFonts w:asciiTheme="minorHAnsi" w:hAnsiTheme="minorHAnsi" w:cstheme="minorHAnsi"/>
                <w:b/>
                <w:lang w:val="ru-RU"/>
              </w:rPr>
            </w:pPr>
          </w:p>
        </w:tc>
        <w:tc>
          <w:tcPr>
            <w:tcW w:w="4526" w:type="dxa"/>
            <w:shd w:val="clear" w:color="auto" w:fill="auto"/>
          </w:tcPr>
          <w:p w14:paraId="54503D7C" w14:textId="77777777" w:rsidR="00047A8D" w:rsidRPr="00DE38AB" w:rsidRDefault="00047A8D" w:rsidP="0064444E">
            <w:pPr>
              <w:rPr>
                <w:rFonts w:asciiTheme="minorHAnsi" w:hAnsiTheme="minorHAnsi" w:cstheme="minorHAnsi"/>
                <w:b/>
                <w:lang w:val="sq-AL"/>
              </w:rPr>
            </w:pPr>
          </w:p>
        </w:tc>
      </w:tr>
      <w:tr w:rsidR="00047A8D" w:rsidRPr="0021037A" w14:paraId="395EBADE" w14:textId="77777777" w:rsidTr="00047A8D">
        <w:tc>
          <w:tcPr>
            <w:tcW w:w="4500" w:type="dxa"/>
            <w:shd w:val="clear" w:color="auto" w:fill="auto"/>
          </w:tcPr>
          <w:p w14:paraId="7CD7978C" w14:textId="77777777" w:rsidR="006B2479" w:rsidRPr="00611AE3" w:rsidRDefault="006B2479" w:rsidP="006B2479">
            <w:pPr>
              <w:rPr>
                <w:rFonts w:ascii="Arial" w:hAnsi="Arial" w:cs="Arial"/>
                <w:sz w:val="22"/>
                <w:szCs w:val="22"/>
              </w:rPr>
            </w:pPr>
            <w:r w:rsidRPr="00611AE3">
              <w:rPr>
                <w:rFonts w:ascii="Arial" w:hAnsi="Arial" w:cs="Arial"/>
                <w:sz w:val="22"/>
                <w:szCs w:val="22"/>
              </w:rPr>
              <w:t xml:space="preserve">За спроведување на предложените измени и дополнувања на Законот за </w:t>
            </w:r>
            <w:r>
              <w:rPr>
                <w:rFonts w:ascii="Arial" w:hAnsi="Arial" w:cs="Arial"/>
                <w:sz w:val="22"/>
                <w:szCs w:val="22"/>
              </w:rPr>
              <w:t>утврдување на цените на водни услуги</w:t>
            </w:r>
            <w:r w:rsidRPr="00611AE3">
              <w:rPr>
                <w:rFonts w:ascii="Arial" w:hAnsi="Arial" w:cs="Arial"/>
                <w:sz w:val="22"/>
                <w:szCs w:val="22"/>
              </w:rPr>
              <w:t xml:space="preserve"> не е потребно обезбедување на финансиски средства ниту материјални обврски.</w:t>
            </w:r>
          </w:p>
          <w:p w14:paraId="14B9FCD6" w14:textId="41308127" w:rsidR="00047A8D" w:rsidRPr="0021037A" w:rsidRDefault="00047A8D" w:rsidP="0064444E">
            <w:pPr>
              <w:rPr>
                <w:rFonts w:asciiTheme="minorHAnsi" w:hAnsiTheme="minorHAnsi" w:cstheme="minorHAnsi"/>
              </w:rPr>
            </w:pPr>
          </w:p>
        </w:tc>
        <w:tc>
          <w:tcPr>
            <w:tcW w:w="4526" w:type="dxa"/>
            <w:shd w:val="clear" w:color="auto" w:fill="auto"/>
          </w:tcPr>
          <w:p w14:paraId="2A28CD2A" w14:textId="77777777" w:rsidR="00E6261A" w:rsidRPr="00DE38AB" w:rsidRDefault="00E6261A" w:rsidP="00E6261A">
            <w:pPr>
              <w:rPr>
                <w:rFonts w:ascii="Arial" w:hAnsi="Arial" w:cs="Arial"/>
                <w:sz w:val="22"/>
                <w:szCs w:val="22"/>
                <w:lang w:val="sq-AL"/>
              </w:rPr>
            </w:pPr>
            <w:r w:rsidRPr="00DE38AB">
              <w:rPr>
                <w:rFonts w:ascii="Arial" w:hAnsi="Arial" w:cs="Arial"/>
                <w:sz w:val="22"/>
                <w:szCs w:val="22"/>
                <w:lang w:val="sq-AL"/>
              </w:rPr>
              <w:t>Për zbatimin e ndryshimeve dhe plotësimeve të Ligjit për Përcaktimin e Çmimeve të Shërbimeve të Ujit, nuk është e nevojshme të sigurohen burime financiare ose detyrime materiale.</w:t>
            </w:r>
          </w:p>
          <w:p w14:paraId="3E2555F0" w14:textId="7F4B7B14" w:rsidR="00047A8D" w:rsidRPr="00DE38AB" w:rsidRDefault="00047A8D" w:rsidP="0064444E">
            <w:pPr>
              <w:rPr>
                <w:rFonts w:asciiTheme="minorHAnsi" w:hAnsiTheme="minorHAnsi" w:cstheme="minorHAnsi"/>
                <w:lang w:val="sq-AL"/>
              </w:rPr>
            </w:pPr>
          </w:p>
        </w:tc>
      </w:tr>
      <w:tr w:rsidR="00047A8D" w:rsidRPr="0021037A" w14:paraId="050E25AB" w14:textId="77777777" w:rsidTr="00047A8D">
        <w:tc>
          <w:tcPr>
            <w:tcW w:w="4500" w:type="dxa"/>
            <w:shd w:val="clear" w:color="auto" w:fill="auto"/>
          </w:tcPr>
          <w:p w14:paraId="0233B8F5" w14:textId="77777777" w:rsidR="00047A8D" w:rsidRPr="0021037A" w:rsidRDefault="00047A8D" w:rsidP="0064444E">
            <w:pPr>
              <w:rPr>
                <w:rFonts w:asciiTheme="minorHAnsi" w:hAnsiTheme="minorHAnsi" w:cstheme="minorHAnsi"/>
              </w:rPr>
            </w:pPr>
          </w:p>
        </w:tc>
        <w:tc>
          <w:tcPr>
            <w:tcW w:w="4526" w:type="dxa"/>
            <w:shd w:val="clear" w:color="auto" w:fill="auto"/>
          </w:tcPr>
          <w:p w14:paraId="154B4E79" w14:textId="77777777" w:rsidR="00047A8D" w:rsidRPr="0021037A" w:rsidRDefault="00047A8D" w:rsidP="0064444E">
            <w:pPr>
              <w:rPr>
                <w:rFonts w:asciiTheme="minorHAnsi" w:hAnsiTheme="minorHAnsi" w:cstheme="minorHAnsi"/>
              </w:rPr>
            </w:pPr>
          </w:p>
        </w:tc>
      </w:tr>
      <w:tr w:rsidR="00047A8D" w:rsidRPr="0021037A" w14:paraId="425CA997" w14:textId="77777777" w:rsidTr="00047A8D">
        <w:tc>
          <w:tcPr>
            <w:tcW w:w="4500" w:type="dxa"/>
            <w:shd w:val="clear" w:color="auto" w:fill="auto"/>
          </w:tcPr>
          <w:p w14:paraId="0AC7D3F6" w14:textId="4B460244" w:rsidR="00047A8D" w:rsidRPr="00740BDF" w:rsidRDefault="00047A8D" w:rsidP="0064444E">
            <w:pPr>
              <w:rPr>
                <w:rFonts w:asciiTheme="minorHAnsi" w:hAnsiTheme="minorHAnsi" w:cstheme="minorHAnsi"/>
                <w:color w:val="000000"/>
                <w:highlight w:val="yellow"/>
                <w:lang w:eastAsia="mk-MK"/>
              </w:rPr>
            </w:pPr>
            <w:r w:rsidRPr="00740BDF">
              <w:rPr>
                <w:rFonts w:asciiTheme="minorHAnsi" w:hAnsiTheme="minorHAnsi" w:cstheme="minorHAnsi"/>
                <w:color w:val="000000"/>
              </w:rPr>
              <w:t>V.</w:t>
            </w:r>
            <w:r w:rsidR="00740BDF" w:rsidRPr="00740BDF">
              <w:rPr>
                <w:rFonts w:asciiTheme="minorHAnsi" w:hAnsiTheme="minorHAnsi" w:cstheme="minorHAnsi"/>
                <w:color w:val="000000"/>
              </w:rPr>
              <w:t xml:space="preserve"> </w:t>
            </w:r>
            <w:r w:rsidR="00740BDF" w:rsidRPr="00740BDF">
              <w:rPr>
                <w:rFonts w:eastAsia="StobiSerif Regular"/>
              </w:rPr>
              <w:t>ПРЕГЛЕД НА ПРОПИСИ ШТО ТРЕБА ДА СЕ ДОНЕСАТ ЗА СПРОВЕДУВАЊЕ НА ЗАКОНОТ</w:t>
            </w:r>
          </w:p>
        </w:tc>
        <w:tc>
          <w:tcPr>
            <w:tcW w:w="4526" w:type="dxa"/>
            <w:shd w:val="clear" w:color="auto" w:fill="auto"/>
          </w:tcPr>
          <w:p w14:paraId="69CA13D7" w14:textId="7DBD943D" w:rsidR="00740BDF" w:rsidRPr="00740BDF" w:rsidRDefault="00047A8D" w:rsidP="00740BDF">
            <w:pPr>
              <w:rPr>
                <w:rFonts w:ascii="Calibri" w:eastAsia="StobiSerif Regular" w:hAnsi="Calibri"/>
              </w:rPr>
            </w:pPr>
            <w:r w:rsidRPr="00740BDF">
              <w:rPr>
                <w:rFonts w:asciiTheme="minorHAnsi" w:hAnsiTheme="minorHAnsi" w:cstheme="minorHAnsi"/>
                <w:color w:val="000000"/>
              </w:rPr>
              <w:t xml:space="preserve">V. </w:t>
            </w:r>
            <w:r w:rsidR="00740BDF" w:rsidRPr="00740BDF">
              <w:rPr>
                <w:rFonts w:eastAsia="StobiSerif Regular"/>
              </w:rPr>
              <w:t>PASQYRË E RREGULLAVE QË DUHET TË MIRATOHEN PËR ZBATIMIN E LIGJIT</w:t>
            </w:r>
          </w:p>
          <w:p w14:paraId="2F1B38BE" w14:textId="0868199E" w:rsidR="00047A8D" w:rsidRPr="00740BDF" w:rsidRDefault="00047A8D" w:rsidP="0064444E">
            <w:pPr>
              <w:rPr>
                <w:rFonts w:asciiTheme="minorHAnsi" w:hAnsiTheme="minorHAnsi" w:cstheme="minorHAnsi"/>
                <w:b/>
                <w:bCs/>
                <w:color w:val="000000"/>
                <w:highlight w:val="yellow"/>
              </w:rPr>
            </w:pPr>
          </w:p>
        </w:tc>
      </w:tr>
      <w:tr w:rsidR="00047A8D" w:rsidRPr="0021037A" w14:paraId="7F8EE677" w14:textId="77777777" w:rsidTr="00047A8D">
        <w:tc>
          <w:tcPr>
            <w:tcW w:w="4500" w:type="dxa"/>
            <w:shd w:val="clear" w:color="auto" w:fill="auto"/>
          </w:tcPr>
          <w:p w14:paraId="77E2D427" w14:textId="45CB364B" w:rsidR="00047A8D" w:rsidRPr="0021037A" w:rsidRDefault="00CC0130" w:rsidP="0064444E">
            <w:pPr>
              <w:rPr>
                <w:rFonts w:asciiTheme="minorHAnsi" w:hAnsiTheme="minorHAnsi" w:cstheme="minorHAnsi"/>
                <w:color w:val="000000"/>
              </w:rPr>
            </w:pPr>
            <w:r>
              <w:rPr>
                <w:rFonts w:asciiTheme="minorHAnsi" w:hAnsiTheme="minorHAnsi" w:cstheme="minorHAnsi"/>
                <w:color w:val="000000"/>
              </w:rPr>
              <w:t>/</w:t>
            </w:r>
          </w:p>
        </w:tc>
        <w:tc>
          <w:tcPr>
            <w:tcW w:w="4526" w:type="dxa"/>
            <w:shd w:val="clear" w:color="auto" w:fill="auto"/>
          </w:tcPr>
          <w:p w14:paraId="53F1D540" w14:textId="1FEEAF52" w:rsidR="00047A8D" w:rsidRPr="0021037A" w:rsidRDefault="00CC0130" w:rsidP="0064444E">
            <w:pPr>
              <w:rPr>
                <w:rFonts w:asciiTheme="minorHAnsi" w:hAnsiTheme="minorHAnsi" w:cstheme="minorHAnsi"/>
                <w:color w:val="000000"/>
              </w:rPr>
            </w:pPr>
            <w:r>
              <w:rPr>
                <w:rFonts w:asciiTheme="minorHAnsi" w:hAnsiTheme="minorHAnsi" w:cstheme="minorHAnsi"/>
                <w:color w:val="000000"/>
              </w:rPr>
              <w:t>/</w:t>
            </w:r>
          </w:p>
        </w:tc>
      </w:tr>
    </w:tbl>
    <w:p w14:paraId="636B80FD" w14:textId="77777777" w:rsidR="00C413F9" w:rsidRDefault="00C413F9">
      <w:r>
        <w:br w:type="page"/>
      </w:r>
    </w:p>
    <w:tbl>
      <w:tblPr>
        <w:tblW w:w="0" w:type="auto"/>
        <w:tblLook w:val="04A0" w:firstRow="1" w:lastRow="0" w:firstColumn="1" w:lastColumn="0" w:noHBand="0" w:noVBand="1"/>
      </w:tblPr>
      <w:tblGrid>
        <w:gridCol w:w="4500"/>
        <w:gridCol w:w="4526"/>
      </w:tblGrid>
      <w:tr w:rsidR="00047A8D" w:rsidRPr="0021037A" w14:paraId="262944F2" w14:textId="77777777" w:rsidTr="00047A8D">
        <w:tc>
          <w:tcPr>
            <w:tcW w:w="4500" w:type="dxa"/>
            <w:shd w:val="clear" w:color="auto" w:fill="auto"/>
          </w:tcPr>
          <w:p w14:paraId="282C6ADA" w14:textId="24FEF0E0" w:rsidR="00047A8D" w:rsidRPr="0021037A" w:rsidRDefault="00047A8D" w:rsidP="0064444E">
            <w:pPr>
              <w:rPr>
                <w:rFonts w:asciiTheme="minorHAnsi" w:hAnsiTheme="minorHAnsi" w:cstheme="minorHAnsi"/>
              </w:rPr>
            </w:pPr>
          </w:p>
        </w:tc>
        <w:tc>
          <w:tcPr>
            <w:tcW w:w="4526" w:type="dxa"/>
            <w:shd w:val="clear" w:color="auto" w:fill="auto"/>
          </w:tcPr>
          <w:p w14:paraId="4B0BFE58" w14:textId="77777777" w:rsidR="00047A8D" w:rsidRPr="00DE38AB" w:rsidRDefault="00047A8D" w:rsidP="0064444E">
            <w:pPr>
              <w:rPr>
                <w:rFonts w:asciiTheme="minorHAnsi" w:hAnsiTheme="minorHAnsi" w:cstheme="minorHAnsi"/>
                <w:lang w:val="sq-AL"/>
              </w:rPr>
            </w:pPr>
          </w:p>
        </w:tc>
      </w:tr>
      <w:tr w:rsidR="00047A8D" w:rsidRPr="0021037A" w14:paraId="78B9153D" w14:textId="77777777" w:rsidTr="00047A8D">
        <w:tc>
          <w:tcPr>
            <w:tcW w:w="4500" w:type="dxa"/>
            <w:shd w:val="clear" w:color="auto" w:fill="auto"/>
          </w:tcPr>
          <w:p w14:paraId="1846BCA0" w14:textId="77777777" w:rsidR="00047A8D" w:rsidRPr="0021037A" w:rsidRDefault="00047A8D" w:rsidP="0064444E">
            <w:pPr>
              <w:jc w:val="center"/>
              <w:rPr>
                <w:rFonts w:asciiTheme="minorHAnsi" w:hAnsiTheme="minorHAnsi" w:cstheme="minorHAnsi"/>
              </w:rPr>
            </w:pPr>
            <w:bookmarkStart w:id="0" w:name="_Hlk73698935"/>
            <w:r w:rsidRPr="0021037A">
              <w:rPr>
                <w:rFonts w:asciiTheme="minorHAnsi" w:hAnsiTheme="minorHAnsi" w:cstheme="minorHAnsi"/>
              </w:rPr>
              <w:t>ПРЕДЛОГ НА ЗАКОН</w:t>
            </w:r>
          </w:p>
        </w:tc>
        <w:tc>
          <w:tcPr>
            <w:tcW w:w="4526" w:type="dxa"/>
            <w:shd w:val="clear" w:color="auto" w:fill="auto"/>
          </w:tcPr>
          <w:p w14:paraId="6CBF0F41" w14:textId="77777777" w:rsidR="00047A8D" w:rsidRPr="00DE38AB" w:rsidRDefault="00047A8D" w:rsidP="0064444E">
            <w:pPr>
              <w:jc w:val="center"/>
              <w:rPr>
                <w:rFonts w:asciiTheme="minorHAnsi" w:hAnsiTheme="minorHAnsi" w:cstheme="minorHAnsi"/>
                <w:lang w:val="sq-AL"/>
              </w:rPr>
            </w:pPr>
            <w:r w:rsidRPr="00DE38AB">
              <w:rPr>
                <w:rFonts w:asciiTheme="minorHAnsi" w:hAnsiTheme="minorHAnsi" w:cstheme="minorHAnsi"/>
                <w:lang w:val="sq-AL"/>
              </w:rPr>
              <w:t>PROPOZIM-LIGJ</w:t>
            </w:r>
          </w:p>
        </w:tc>
      </w:tr>
      <w:tr w:rsidR="00047A8D" w:rsidRPr="0021037A" w14:paraId="18C776E7" w14:textId="77777777" w:rsidTr="00047A8D">
        <w:tc>
          <w:tcPr>
            <w:tcW w:w="4500" w:type="dxa"/>
            <w:shd w:val="clear" w:color="auto" w:fill="auto"/>
          </w:tcPr>
          <w:p w14:paraId="415FC2CF" w14:textId="77777777" w:rsidR="000835DC" w:rsidRPr="00611AE3" w:rsidRDefault="000835DC" w:rsidP="000835DC">
            <w:pPr>
              <w:widowControl w:val="0"/>
              <w:autoSpaceDE w:val="0"/>
              <w:autoSpaceDN w:val="0"/>
              <w:adjustRightInd w:val="0"/>
              <w:spacing w:line="260" w:lineRule="exact"/>
              <w:jc w:val="center"/>
              <w:rPr>
                <w:rFonts w:ascii="Arial" w:hAnsi="Arial" w:cs="Arial"/>
                <w:sz w:val="22"/>
                <w:szCs w:val="22"/>
              </w:rPr>
            </w:pPr>
            <w:r w:rsidRPr="00611AE3">
              <w:rPr>
                <w:rFonts w:ascii="Arial" w:hAnsi="Arial" w:cs="Arial"/>
                <w:sz w:val="22"/>
                <w:szCs w:val="22"/>
              </w:rPr>
              <w:t xml:space="preserve">за изменување </w:t>
            </w:r>
            <w:r>
              <w:rPr>
                <w:rFonts w:ascii="Arial" w:hAnsi="Arial" w:cs="Arial"/>
                <w:sz w:val="22"/>
                <w:szCs w:val="22"/>
              </w:rPr>
              <w:t xml:space="preserve">и дополнување </w:t>
            </w:r>
            <w:r w:rsidRPr="00611AE3">
              <w:rPr>
                <w:rFonts w:ascii="Arial" w:hAnsi="Arial" w:cs="Arial"/>
                <w:sz w:val="22"/>
                <w:szCs w:val="22"/>
              </w:rPr>
              <w:t xml:space="preserve">на </w:t>
            </w:r>
            <w:r>
              <w:rPr>
                <w:rFonts w:ascii="Arial" w:hAnsi="Arial" w:cs="Arial"/>
                <w:sz w:val="22"/>
                <w:szCs w:val="22"/>
              </w:rPr>
              <w:t>З</w:t>
            </w:r>
            <w:r w:rsidRPr="00611AE3">
              <w:rPr>
                <w:rFonts w:ascii="Arial" w:hAnsi="Arial" w:cs="Arial"/>
                <w:sz w:val="22"/>
                <w:szCs w:val="22"/>
              </w:rPr>
              <w:t xml:space="preserve">аконот за </w:t>
            </w:r>
            <w:r>
              <w:rPr>
                <w:rFonts w:ascii="Arial" w:hAnsi="Arial" w:cs="Arial"/>
                <w:sz w:val="22"/>
                <w:szCs w:val="22"/>
              </w:rPr>
              <w:t>утврдување на цени на водните услуги</w:t>
            </w:r>
          </w:p>
          <w:p w14:paraId="6F70C343" w14:textId="52347455" w:rsidR="00047A8D" w:rsidRPr="0021037A" w:rsidRDefault="00047A8D" w:rsidP="0064444E">
            <w:pPr>
              <w:jc w:val="center"/>
              <w:rPr>
                <w:rFonts w:asciiTheme="minorHAnsi" w:hAnsiTheme="minorHAnsi" w:cstheme="minorHAnsi"/>
              </w:rPr>
            </w:pPr>
          </w:p>
        </w:tc>
        <w:tc>
          <w:tcPr>
            <w:tcW w:w="4526" w:type="dxa"/>
            <w:shd w:val="clear" w:color="auto" w:fill="auto"/>
          </w:tcPr>
          <w:p w14:paraId="19C4326C" w14:textId="77777777" w:rsidR="00C93C2F" w:rsidRPr="00DE38AB" w:rsidRDefault="00C93C2F" w:rsidP="00C93C2F">
            <w:pPr>
              <w:widowControl w:val="0"/>
              <w:autoSpaceDE w:val="0"/>
              <w:autoSpaceDN w:val="0"/>
              <w:adjustRightInd w:val="0"/>
              <w:spacing w:line="260" w:lineRule="exact"/>
              <w:jc w:val="center"/>
              <w:rPr>
                <w:rFonts w:ascii="Arial" w:hAnsi="Arial" w:cs="Arial"/>
                <w:sz w:val="22"/>
                <w:szCs w:val="22"/>
                <w:lang w:val="sq-AL"/>
              </w:rPr>
            </w:pPr>
            <w:r w:rsidRPr="00DE38AB">
              <w:rPr>
                <w:rFonts w:ascii="Arial" w:hAnsi="Arial" w:cs="Arial"/>
                <w:sz w:val="22"/>
                <w:szCs w:val="22"/>
                <w:lang w:val="sq-AL"/>
              </w:rPr>
              <w:t>për Ndryshimin dhe Plotësimin e Ligjit për Përcaktimin e Çmimeve të Shërbimeve të Ujit</w:t>
            </w:r>
          </w:p>
          <w:p w14:paraId="53FFD627" w14:textId="3CC62D4A" w:rsidR="00047A8D" w:rsidRPr="00DE38AB" w:rsidRDefault="00047A8D" w:rsidP="0064444E">
            <w:pPr>
              <w:jc w:val="center"/>
              <w:rPr>
                <w:rFonts w:asciiTheme="minorHAnsi" w:hAnsiTheme="minorHAnsi" w:cstheme="minorHAnsi"/>
                <w:lang w:val="sq-AL"/>
              </w:rPr>
            </w:pPr>
          </w:p>
        </w:tc>
      </w:tr>
      <w:tr w:rsidR="00047A8D" w:rsidRPr="0021037A" w14:paraId="3AA6CE4B" w14:textId="77777777" w:rsidTr="00047A8D">
        <w:tc>
          <w:tcPr>
            <w:tcW w:w="4500" w:type="dxa"/>
            <w:shd w:val="clear" w:color="auto" w:fill="auto"/>
          </w:tcPr>
          <w:p w14:paraId="37294280" w14:textId="77777777" w:rsidR="00047A8D" w:rsidRPr="0021037A" w:rsidRDefault="00047A8D" w:rsidP="0064444E">
            <w:pPr>
              <w:jc w:val="center"/>
              <w:rPr>
                <w:rFonts w:asciiTheme="minorHAnsi" w:hAnsiTheme="minorHAnsi" w:cstheme="minorHAnsi"/>
              </w:rPr>
            </w:pPr>
            <w:r w:rsidRPr="0021037A">
              <w:rPr>
                <w:rFonts w:asciiTheme="minorHAnsi" w:hAnsiTheme="minorHAnsi" w:cstheme="minorHAnsi"/>
              </w:rPr>
              <w:t>Член 1</w:t>
            </w:r>
          </w:p>
        </w:tc>
        <w:tc>
          <w:tcPr>
            <w:tcW w:w="4526" w:type="dxa"/>
            <w:shd w:val="clear" w:color="auto" w:fill="auto"/>
          </w:tcPr>
          <w:p w14:paraId="44E90663" w14:textId="77777777" w:rsidR="00047A8D" w:rsidRPr="00DE38AB" w:rsidRDefault="00047A8D" w:rsidP="0064444E">
            <w:pPr>
              <w:jc w:val="center"/>
              <w:rPr>
                <w:rFonts w:asciiTheme="minorHAnsi" w:hAnsiTheme="minorHAnsi" w:cstheme="minorHAnsi"/>
                <w:lang w:val="sq-AL"/>
              </w:rPr>
            </w:pPr>
            <w:bookmarkStart w:id="1" w:name="_Hlk73699143"/>
            <w:r w:rsidRPr="00DE38AB">
              <w:rPr>
                <w:rFonts w:asciiTheme="minorHAnsi" w:hAnsiTheme="minorHAnsi" w:cstheme="minorHAnsi"/>
                <w:lang w:val="sq-AL"/>
              </w:rPr>
              <w:t>Neni 1</w:t>
            </w:r>
            <w:bookmarkEnd w:id="1"/>
          </w:p>
        </w:tc>
      </w:tr>
      <w:tr w:rsidR="00047A8D" w:rsidRPr="0021037A" w14:paraId="26CDA6A7" w14:textId="77777777" w:rsidTr="00047A8D">
        <w:tc>
          <w:tcPr>
            <w:tcW w:w="4500" w:type="dxa"/>
            <w:shd w:val="clear" w:color="auto" w:fill="auto"/>
          </w:tcPr>
          <w:p w14:paraId="2C44F448" w14:textId="77777777" w:rsidR="00047A8D" w:rsidRPr="0021037A" w:rsidRDefault="00047A8D" w:rsidP="0064444E">
            <w:pPr>
              <w:rPr>
                <w:rFonts w:asciiTheme="minorHAnsi" w:hAnsiTheme="minorHAnsi" w:cstheme="minorHAnsi"/>
              </w:rPr>
            </w:pPr>
          </w:p>
        </w:tc>
        <w:tc>
          <w:tcPr>
            <w:tcW w:w="4526" w:type="dxa"/>
            <w:shd w:val="clear" w:color="auto" w:fill="auto"/>
          </w:tcPr>
          <w:p w14:paraId="6C5C2A3F" w14:textId="77777777" w:rsidR="00047A8D" w:rsidRPr="00DE38AB" w:rsidRDefault="00047A8D" w:rsidP="0064444E">
            <w:pPr>
              <w:rPr>
                <w:rFonts w:asciiTheme="minorHAnsi" w:hAnsiTheme="minorHAnsi" w:cstheme="minorHAnsi"/>
                <w:lang w:val="sq-AL"/>
              </w:rPr>
            </w:pPr>
          </w:p>
        </w:tc>
      </w:tr>
      <w:tr w:rsidR="00047A8D" w:rsidRPr="0021037A" w14:paraId="46DB1B48" w14:textId="77777777" w:rsidTr="00047A8D">
        <w:tc>
          <w:tcPr>
            <w:tcW w:w="4500" w:type="dxa"/>
            <w:shd w:val="clear" w:color="auto" w:fill="auto"/>
          </w:tcPr>
          <w:p w14:paraId="3A7F2092" w14:textId="77777777" w:rsidR="00047A8D" w:rsidRPr="0021037A" w:rsidRDefault="00047A8D" w:rsidP="00C910C8">
            <w:pPr>
              <w:rPr>
                <w:rFonts w:asciiTheme="minorHAnsi" w:hAnsiTheme="minorHAnsi" w:cstheme="minorHAnsi"/>
              </w:rPr>
            </w:pPr>
          </w:p>
        </w:tc>
        <w:tc>
          <w:tcPr>
            <w:tcW w:w="4526" w:type="dxa"/>
            <w:shd w:val="clear" w:color="auto" w:fill="auto"/>
          </w:tcPr>
          <w:p w14:paraId="3A115AF4" w14:textId="77777777" w:rsidR="00047A8D" w:rsidRPr="00DE38AB" w:rsidRDefault="00047A8D" w:rsidP="0064444E">
            <w:pPr>
              <w:jc w:val="center"/>
              <w:rPr>
                <w:rFonts w:asciiTheme="minorHAnsi" w:hAnsiTheme="minorHAnsi" w:cstheme="minorHAnsi"/>
                <w:lang w:val="sq-AL"/>
              </w:rPr>
            </w:pPr>
          </w:p>
        </w:tc>
      </w:tr>
      <w:tr w:rsidR="00047A8D" w:rsidRPr="0021037A" w14:paraId="6F50DEC1" w14:textId="77777777" w:rsidTr="00047A8D">
        <w:tc>
          <w:tcPr>
            <w:tcW w:w="4500" w:type="dxa"/>
            <w:shd w:val="clear" w:color="auto" w:fill="auto"/>
          </w:tcPr>
          <w:p w14:paraId="05A0E942" w14:textId="77777777" w:rsidR="00734371" w:rsidRPr="003B3FE5" w:rsidRDefault="00734371" w:rsidP="00734371">
            <w:pPr>
              <w:rPr>
                <w:rFonts w:ascii="Arial" w:hAnsi="Arial" w:cs="Arial"/>
                <w:sz w:val="22"/>
                <w:szCs w:val="22"/>
              </w:rPr>
            </w:pPr>
            <w:r w:rsidRPr="003B3FE5">
              <w:rPr>
                <w:rFonts w:ascii="Arial" w:hAnsi="Arial" w:cs="Arial"/>
                <w:sz w:val="22"/>
                <w:szCs w:val="22"/>
              </w:rPr>
              <w:t>Во Законот за утврдување на цени на водните услуги („Службен весник на Република Македонија“ бр.</w:t>
            </w:r>
            <w:r w:rsidRPr="003B3FE5">
              <w:rPr>
                <w:rFonts w:ascii="Arial" w:hAnsi="Arial" w:cs="Arial"/>
                <w:sz w:val="22"/>
                <w:szCs w:val="22"/>
                <w:lang w:val="en-GB"/>
              </w:rPr>
              <w:t xml:space="preserve"> </w:t>
            </w:r>
            <w:r w:rsidRPr="003B3FE5">
              <w:rPr>
                <w:rFonts w:ascii="Arial" w:hAnsi="Arial" w:cs="Arial"/>
                <w:sz w:val="22"/>
                <w:szCs w:val="22"/>
              </w:rPr>
              <w:t>7/16</w:t>
            </w:r>
            <w:r w:rsidRPr="003B3FE5">
              <w:rPr>
                <w:rFonts w:ascii="Arial" w:hAnsi="Arial" w:cs="Arial"/>
                <w:sz w:val="22"/>
                <w:szCs w:val="22"/>
                <w:lang w:val="en-GB"/>
              </w:rPr>
              <w:t>)</w:t>
            </w:r>
            <w:r w:rsidRPr="003B3FE5">
              <w:rPr>
                <w:rFonts w:ascii="Arial" w:hAnsi="Arial" w:cs="Arial"/>
                <w:sz w:val="22"/>
                <w:szCs w:val="22"/>
              </w:rPr>
              <w:t xml:space="preserve"> во член 27 во ставот (1) во воведната реченица зборовите „6000 евра во денарска противвредност“ се заменуваат со зборовите „9000 до 10.000 евра во денарска противвредност за даватели на услуги микро трговци, од 18.000 до 20.000 евра во денарска противвредност за мали трговци, од 53.000 до 59.000 евра во денарска противвредност за средни трговци и од 88.000 до 98.000 евра во денарска противвредност за големи трговци“.</w:t>
            </w:r>
          </w:p>
          <w:p w14:paraId="092131BE" w14:textId="77777777" w:rsidR="00734371" w:rsidRPr="003B3FE5" w:rsidRDefault="00734371" w:rsidP="00734371">
            <w:pPr>
              <w:rPr>
                <w:rFonts w:ascii="Arial" w:hAnsi="Arial" w:cs="Arial"/>
                <w:sz w:val="22"/>
                <w:szCs w:val="22"/>
              </w:rPr>
            </w:pPr>
            <w:r w:rsidRPr="003B3FE5">
              <w:rPr>
                <w:rFonts w:ascii="Arial" w:hAnsi="Arial" w:cs="Arial"/>
                <w:sz w:val="22"/>
                <w:szCs w:val="22"/>
              </w:rPr>
              <w:t>По ставот (1) се додава нов став (2) кој гласи:</w:t>
            </w:r>
          </w:p>
          <w:p w14:paraId="597DF24E" w14:textId="2DE669F3" w:rsidR="00734371" w:rsidRPr="003B3FE5" w:rsidRDefault="00734371" w:rsidP="00734371">
            <w:pPr>
              <w:rPr>
                <w:rFonts w:ascii="Arial" w:hAnsi="Arial" w:cs="Arial"/>
                <w:sz w:val="22"/>
                <w:szCs w:val="22"/>
              </w:rPr>
            </w:pPr>
            <w:r w:rsidRPr="003B3FE5">
              <w:rPr>
                <w:rFonts w:ascii="Arial" w:hAnsi="Arial" w:cs="Arial"/>
                <w:sz w:val="22"/>
                <w:szCs w:val="22"/>
              </w:rPr>
              <w:t xml:space="preserve">„(2) На одговорното лице во правното лице </w:t>
            </w:r>
            <w:r w:rsidR="00AD280C" w:rsidRPr="003B3FE5">
              <w:rPr>
                <w:rFonts w:ascii="Arial" w:hAnsi="Arial" w:cs="Arial"/>
                <w:sz w:val="22"/>
                <w:szCs w:val="22"/>
              </w:rPr>
              <w:t xml:space="preserve">за дејствијата </w:t>
            </w:r>
            <w:r w:rsidRPr="003B3FE5">
              <w:rPr>
                <w:rFonts w:ascii="Arial" w:hAnsi="Arial" w:cs="Arial"/>
                <w:sz w:val="22"/>
                <w:szCs w:val="22"/>
              </w:rPr>
              <w:t>од став (1)</w:t>
            </w:r>
            <w:r w:rsidR="00AD280C" w:rsidRPr="003B3FE5">
              <w:rPr>
                <w:rFonts w:ascii="Arial" w:hAnsi="Arial" w:cs="Arial"/>
                <w:sz w:val="22"/>
                <w:szCs w:val="22"/>
              </w:rPr>
              <w:t xml:space="preserve"> од овој член</w:t>
            </w:r>
            <w:r w:rsidRPr="003B3FE5">
              <w:rPr>
                <w:rFonts w:ascii="Arial" w:hAnsi="Arial" w:cs="Arial"/>
                <w:sz w:val="22"/>
                <w:szCs w:val="22"/>
              </w:rPr>
              <w:t xml:space="preserve"> ќе му се изрече глоба во износ од 500 евра во денарска противвредност кај микро трговци, 1000 евра во денарска противвредност кај  мали трговци, 3.000 евра во денарска противвредност кај средни трговци и 5.000 евра во денарска противвредност кај големи трговци</w:t>
            </w:r>
            <w:r w:rsidR="00AD280C" w:rsidRPr="003B3FE5">
              <w:rPr>
                <w:rFonts w:ascii="Arial" w:hAnsi="Arial" w:cs="Arial"/>
                <w:sz w:val="22"/>
                <w:szCs w:val="22"/>
              </w:rPr>
              <w:t>.</w:t>
            </w:r>
            <w:r w:rsidRPr="003B3FE5">
              <w:rPr>
                <w:rFonts w:ascii="Arial" w:hAnsi="Arial" w:cs="Arial"/>
                <w:sz w:val="22"/>
                <w:szCs w:val="22"/>
              </w:rPr>
              <w:t>“</w:t>
            </w:r>
          </w:p>
          <w:p w14:paraId="4FC58196" w14:textId="77777777" w:rsidR="00734371" w:rsidRPr="003B3FE5" w:rsidRDefault="00734371" w:rsidP="00734371">
            <w:pPr>
              <w:rPr>
                <w:rFonts w:ascii="Arial" w:hAnsi="Arial" w:cs="Arial"/>
                <w:sz w:val="22"/>
                <w:szCs w:val="22"/>
              </w:rPr>
            </w:pPr>
          </w:p>
          <w:p w14:paraId="67093CDE" w14:textId="0B0A8AEA" w:rsidR="00734371" w:rsidRPr="003B3FE5" w:rsidRDefault="00734371" w:rsidP="00734371">
            <w:pPr>
              <w:rPr>
                <w:rFonts w:ascii="Arial" w:hAnsi="Arial" w:cs="Arial"/>
                <w:sz w:val="22"/>
                <w:szCs w:val="22"/>
              </w:rPr>
            </w:pPr>
            <w:r w:rsidRPr="003B3FE5">
              <w:rPr>
                <w:rFonts w:ascii="Arial" w:hAnsi="Arial" w:cs="Arial"/>
                <w:sz w:val="22"/>
                <w:szCs w:val="22"/>
              </w:rPr>
              <w:t>Во ставот (2) кој станува став (3) зборовите „15.000 ера во денарска противвредност“ се заменуваат со зборовите „13.000 до 14.000 евра во денарска противвредност за даватели на услуги микро трговци, од 25.000 до 28.000 евра во денарска противвредност за мали трговци, од 76.000 до 84.000 евра во денарска противвредност за средни трговци и од 126.000 до 140.000 евра во денарска противвредност за големи трговци“.</w:t>
            </w:r>
          </w:p>
          <w:p w14:paraId="687107A2" w14:textId="77777777" w:rsidR="00734371" w:rsidRPr="003B3FE5" w:rsidRDefault="00734371" w:rsidP="00734371">
            <w:pPr>
              <w:rPr>
                <w:rFonts w:ascii="Arial" w:hAnsi="Arial" w:cs="Arial"/>
                <w:sz w:val="22"/>
                <w:szCs w:val="22"/>
              </w:rPr>
            </w:pPr>
          </w:p>
          <w:p w14:paraId="533EBCC6" w14:textId="77777777" w:rsidR="00734371" w:rsidRPr="003B3FE5" w:rsidRDefault="00734371" w:rsidP="00734371">
            <w:pPr>
              <w:rPr>
                <w:rFonts w:ascii="Arial" w:hAnsi="Arial" w:cs="Arial"/>
                <w:sz w:val="22"/>
                <w:szCs w:val="22"/>
              </w:rPr>
            </w:pPr>
            <w:r w:rsidRPr="003B3FE5">
              <w:rPr>
                <w:rFonts w:ascii="Arial" w:hAnsi="Arial" w:cs="Arial"/>
                <w:sz w:val="22"/>
                <w:szCs w:val="22"/>
              </w:rPr>
              <w:lastRenderedPageBreak/>
              <w:t>По ставот (3) се додава нов став (4) кој гласи:</w:t>
            </w:r>
          </w:p>
          <w:p w14:paraId="28DCD97D" w14:textId="4570DD23" w:rsidR="00734371" w:rsidRPr="003B3FE5" w:rsidRDefault="00734371" w:rsidP="00734371">
            <w:pPr>
              <w:rPr>
                <w:rFonts w:ascii="Arial" w:hAnsi="Arial" w:cs="Arial"/>
                <w:sz w:val="22"/>
                <w:szCs w:val="22"/>
              </w:rPr>
            </w:pPr>
            <w:r w:rsidRPr="003B3FE5">
              <w:rPr>
                <w:rFonts w:ascii="Arial" w:hAnsi="Arial" w:cs="Arial"/>
                <w:sz w:val="22"/>
                <w:szCs w:val="22"/>
              </w:rPr>
              <w:t xml:space="preserve">„(4) На одговорното лице во правното лице </w:t>
            </w:r>
            <w:r w:rsidR="00AD280C" w:rsidRPr="003B3FE5">
              <w:rPr>
                <w:rFonts w:ascii="Arial" w:hAnsi="Arial" w:cs="Arial"/>
                <w:sz w:val="22"/>
                <w:szCs w:val="22"/>
              </w:rPr>
              <w:t xml:space="preserve">за дејствијата од став (3) од овој член </w:t>
            </w:r>
            <w:r w:rsidRPr="003B3FE5">
              <w:rPr>
                <w:rFonts w:ascii="Arial" w:hAnsi="Arial" w:cs="Arial"/>
                <w:sz w:val="22"/>
                <w:szCs w:val="22"/>
              </w:rPr>
              <w:t>ќе му се изрече глоба во износ од 700 евра во денарска противвредност кај микро трговци, 1.500 евра во денарска противвредност кај  мали трговци, 4.000 евра во денарска противвредност кај средни трговци и 7.000 евра во денарска противвредност кај големи трговци</w:t>
            </w:r>
            <w:r w:rsidR="00AD280C" w:rsidRPr="003B3FE5">
              <w:rPr>
                <w:rFonts w:ascii="Arial" w:hAnsi="Arial" w:cs="Arial"/>
                <w:sz w:val="22"/>
                <w:szCs w:val="22"/>
              </w:rPr>
              <w:t>.</w:t>
            </w:r>
            <w:r w:rsidRPr="003B3FE5">
              <w:rPr>
                <w:rFonts w:ascii="Arial" w:hAnsi="Arial" w:cs="Arial"/>
                <w:sz w:val="22"/>
                <w:szCs w:val="22"/>
              </w:rPr>
              <w:t>“</w:t>
            </w:r>
          </w:p>
          <w:p w14:paraId="3B9056EB" w14:textId="5D3648CE" w:rsidR="00734371" w:rsidRPr="003B3FE5" w:rsidRDefault="00734371" w:rsidP="00734371">
            <w:pPr>
              <w:rPr>
                <w:rFonts w:ascii="Arial" w:hAnsi="Arial" w:cs="Arial"/>
                <w:sz w:val="22"/>
                <w:szCs w:val="22"/>
              </w:rPr>
            </w:pPr>
            <w:r w:rsidRPr="003B3FE5">
              <w:rPr>
                <w:rFonts w:ascii="Arial" w:hAnsi="Arial" w:cs="Arial"/>
                <w:sz w:val="22"/>
                <w:szCs w:val="22"/>
              </w:rPr>
              <w:t>Во ставот (3) кој станува став (5) зборовите „25.000 евра во денарска противвредност“ се заменуваат со зборовите „од 18.000 до 20.000 евра во денарска противвредност за даватели на услуги микро трговци, од 36.000 до 40.000 евра во денарска противвредност за мали трговци, од 110.000 до 120.000 евра во денарска противвредност за средни трговци и од 180.000 до 200.000 евра во денарска противвредност за големи трговци“.</w:t>
            </w:r>
          </w:p>
          <w:p w14:paraId="2B634C4A" w14:textId="06940000" w:rsidR="00734371" w:rsidRPr="003B3FE5" w:rsidRDefault="00734371" w:rsidP="00734371">
            <w:pPr>
              <w:rPr>
                <w:rFonts w:ascii="Arial" w:hAnsi="Arial" w:cs="Arial"/>
                <w:sz w:val="22"/>
                <w:szCs w:val="22"/>
              </w:rPr>
            </w:pPr>
            <w:r w:rsidRPr="003B3FE5">
              <w:rPr>
                <w:rFonts w:ascii="Arial" w:hAnsi="Arial" w:cs="Arial"/>
                <w:sz w:val="22"/>
                <w:szCs w:val="22"/>
              </w:rPr>
              <w:t>Ставот (4) кој станува став (6) се менува и гласи:</w:t>
            </w:r>
          </w:p>
          <w:p w14:paraId="1B728156" w14:textId="641DED83" w:rsidR="00734371" w:rsidRPr="003B3FE5" w:rsidRDefault="00734371" w:rsidP="00734371">
            <w:pPr>
              <w:rPr>
                <w:rFonts w:ascii="Arial" w:hAnsi="Arial" w:cs="Arial"/>
                <w:sz w:val="22"/>
                <w:szCs w:val="22"/>
              </w:rPr>
            </w:pPr>
            <w:r w:rsidRPr="003B3FE5">
              <w:rPr>
                <w:rFonts w:ascii="Arial" w:hAnsi="Arial" w:cs="Arial"/>
                <w:sz w:val="22"/>
                <w:szCs w:val="22"/>
              </w:rPr>
              <w:t xml:space="preserve">„На одговорното лице во правното лице </w:t>
            </w:r>
            <w:r w:rsidR="00AD280C" w:rsidRPr="003B3FE5">
              <w:rPr>
                <w:rFonts w:ascii="Arial" w:hAnsi="Arial" w:cs="Arial"/>
                <w:sz w:val="22"/>
                <w:szCs w:val="22"/>
              </w:rPr>
              <w:t xml:space="preserve">за дејствијата од став (5) од овој член </w:t>
            </w:r>
            <w:r w:rsidRPr="003B3FE5">
              <w:rPr>
                <w:rFonts w:ascii="Arial" w:hAnsi="Arial" w:cs="Arial"/>
                <w:sz w:val="22"/>
                <w:szCs w:val="22"/>
              </w:rPr>
              <w:t>ќе му се изрече глоба во износ од 1.000 евра во денарска противвредност кај микро трговци, од 2.000 евра во денарска противвредност кај  мали трговци, од 6.000 евра во денарска противвредност кај средни трговци од 10.000 евра во денарска противвредност кај големи трговци</w:t>
            </w:r>
            <w:r w:rsidR="00AD280C" w:rsidRPr="003B3FE5">
              <w:rPr>
                <w:rFonts w:ascii="Arial" w:hAnsi="Arial" w:cs="Arial"/>
                <w:sz w:val="22"/>
                <w:szCs w:val="22"/>
              </w:rPr>
              <w:t>.</w:t>
            </w:r>
            <w:r w:rsidRPr="003B3FE5">
              <w:rPr>
                <w:rFonts w:ascii="Arial" w:hAnsi="Arial" w:cs="Arial"/>
                <w:sz w:val="22"/>
                <w:szCs w:val="22"/>
              </w:rPr>
              <w:t>“</w:t>
            </w:r>
          </w:p>
          <w:p w14:paraId="12D87A8A" w14:textId="77777777" w:rsidR="00734371" w:rsidRPr="003B3FE5" w:rsidRDefault="00734371" w:rsidP="00734371">
            <w:pPr>
              <w:rPr>
                <w:rFonts w:ascii="Arial" w:hAnsi="Arial" w:cs="Arial"/>
                <w:sz w:val="22"/>
                <w:szCs w:val="22"/>
              </w:rPr>
            </w:pPr>
            <w:r w:rsidRPr="003B3FE5">
              <w:rPr>
                <w:rFonts w:ascii="Arial" w:hAnsi="Arial" w:cs="Arial"/>
                <w:sz w:val="22"/>
                <w:szCs w:val="22"/>
              </w:rPr>
              <w:t>Ставот (5) кој станува став (7) се менува и гласи:</w:t>
            </w:r>
          </w:p>
          <w:p w14:paraId="15E1BFC0" w14:textId="77777777" w:rsidR="00734371" w:rsidRPr="003B3FE5" w:rsidRDefault="00734371" w:rsidP="00734371">
            <w:pPr>
              <w:autoSpaceDE w:val="0"/>
              <w:autoSpaceDN w:val="0"/>
              <w:adjustRightInd w:val="0"/>
              <w:rPr>
                <w:rFonts w:ascii="Arial" w:hAnsi="Arial" w:cs="Arial"/>
                <w:sz w:val="22"/>
                <w:szCs w:val="22"/>
              </w:rPr>
            </w:pPr>
            <w:r w:rsidRPr="003B3FE5">
              <w:rPr>
                <w:rFonts w:ascii="Arial" w:hAnsi="Arial" w:cs="Arial"/>
                <w:sz w:val="22"/>
                <w:szCs w:val="22"/>
              </w:rPr>
              <w:t>„</w:t>
            </w:r>
            <w:r w:rsidRPr="003B3FE5">
              <w:rPr>
                <w:rFonts w:ascii="Arial" w:eastAsiaTheme="minorHAnsi" w:hAnsi="Arial" w:cs="Arial"/>
                <w:sz w:val="22"/>
                <w:szCs w:val="22"/>
                <w:lang w:eastAsia="en-US"/>
              </w:rPr>
              <w:t>Прекршочна постапка води и прекршочна санкција за прекршоците од овој член  изрекува надлежниот суд</w:t>
            </w:r>
            <w:r w:rsidRPr="003B3FE5">
              <w:rPr>
                <w:rFonts w:ascii="Arial" w:hAnsi="Arial" w:cs="Arial"/>
                <w:sz w:val="22"/>
                <w:szCs w:val="22"/>
              </w:rPr>
              <w:t xml:space="preserve"> “.</w:t>
            </w:r>
          </w:p>
          <w:p w14:paraId="5EB26E6C" w14:textId="0F9942B6" w:rsidR="00047A8D" w:rsidRPr="003B3FE5" w:rsidRDefault="00047A8D" w:rsidP="0064444E">
            <w:pPr>
              <w:rPr>
                <w:rFonts w:asciiTheme="minorHAnsi" w:hAnsiTheme="minorHAnsi" w:cstheme="minorHAnsi"/>
              </w:rPr>
            </w:pPr>
          </w:p>
        </w:tc>
        <w:tc>
          <w:tcPr>
            <w:tcW w:w="4526" w:type="dxa"/>
            <w:shd w:val="clear" w:color="auto" w:fill="auto"/>
          </w:tcPr>
          <w:p w14:paraId="47789659" w14:textId="77777777" w:rsidR="009F3808" w:rsidRPr="00DE38AB" w:rsidRDefault="009F3808" w:rsidP="009F3808">
            <w:pPr>
              <w:rPr>
                <w:rFonts w:ascii="Arial" w:hAnsi="Arial" w:cs="Arial"/>
                <w:sz w:val="22"/>
                <w:szCs w:val="22"/>
                <w:lang w:val="sq-AL"/>
              </w:rPr>
            </w:pPr>
            <w:bookmarkStart w:id="2" w:name="_Hlk73699072"/>
            <w:r w:rsidRPr="00DE38AB">
              <w:rPr>
                <w:rFonts w:ascii="Arial" w:hAnsi="Arial" w:cs="Arial"/>
                <w:sz w:val="22"/>
                <w:szCs w:val="22"/>
                <w:lang w:val="sq-AL"/>
              </w:rPr>
              <w:lastRenderedPageBreak/>
              <w:t>Në Ligjin për Përcaktimin e Çmimeve të Shërbimeve të Ujit ("Gazeta Zyrtare e Republikës së Maqedonisë" Nr. 7/16) në Nenin 27 në paragrafin (1) në fjalinë hyrëse fjalët "6000 euro në kundërvlerë të denarit" zëvendësohen me fjalët "9000 deri në 10,000" euro në kundërvlerë të denarit për ofruesit e shërbimeve mikro tregtarët, nga 18,000 deri në 20,000 euro në kundërvlerë të denarit për tregtarët e vegjël, nga 53,000 deri në 59,000 euro në kundërvlerë të denarit për tregtarët e mesëm dhe nga 88,000 deri në 98,000 euro në kundërvlerë të denarit për tregtarët e mëdhenj.</w:t>
            </w:r>
          </w:p>
          <w:p w14:paraId="782CA7BA" w14:textId="77777777" w:rsidR="009F3808" w:rsidRPr="00DE38AB" w:rsidRDefault="009F3808" w:rsidP="009F3808">
            <w:pPr>
              <w:rPr>
                <w:rFonts w:ascii="Arial" w:hAnsi="Arial" w:cs="Arial"/>
                <w:sz w:val="22"/>
                <w:szCs w:val="22"/>
                <w:lang w:val="sq-AL"/>
              </w:rPr>
            </w:pPr>
            <w:r w:rsidRPr="00DE38AB">
              <w:rPr>
                <w:rFonts w:ascii="Arial" w:hAnsi="Arial" w:cs="Arial"/>
                <w:sz w:val="22"/>
                <w:szCs w:val="22"/>
                <w:lang w:val="sq-AL"/>
              </w:rPr>
              <w:t>Pas paragrafit (1) shtohet një paragraf i ri (2) i cili thotë:</w:t>
            </w:r>
          </w:p>
          <w:p w14:paraId="642B81C8" w14:textId="1329C55B" w:rsidR="009F3808" w:rsidRPr="00DE38AB" w:rsidRDefault="009F3808" w:rsidP="009F3808">
            <w:pPr>
              <w:rPr>
                <w:rFonts w:ascii="Arial" w:hAnsi="Arial" w:cs="Arial"/>
                <w:sz w:val="22"/>
                <w:szCs w:val="22"/>
                <w:lang w:val="sq-AL"/>
              </w:rPr>
            </w:pPr>
            <w:r w:rsidRPr="00DE38AB">
              <w:rPr>
                <w:rFonts w:ascii="Arial" w:hAnsi="Arial" w:cs="Arial"/>
                <w:sz w:val="22"/>
                <w:szCs w:val="22"/>
                <w:lang w:val="sq-AL"/>
              </w:rPr>
              <w:t xml:space="preserve">(2) Personi përgjegjës në personin </w:t>
            </w:r>
            <w:r w:rsidR="00DE38AB" w:rsidRPr="00DE38AB">
              <w:rPr>
                <w:rFonts w:ascii="Arial" w:hAnsi="Arial" w:cs="Arial"/>
                <w:sz w:val="22"/>
                <w:szCs w:val="22"/>
                <w:lang w:val="sq-AL"/>
              </w:rPr>
              <w:t>juridik</w:t>
            </w:r>
            <w:r w:rsidR="00DE38AB">
              <w:rPr>
                <w:rFonts w:ascii="Arial" w:hAnsi="Arial" w:cs="Arial"/>
                <w:sz w:val="22"/>
                <w:szCs w:val="22"/>
                <w:lang w:val="sq-AL"/>
              </w:rPr>
              <w:t xml:space="preserve"> për veprimin</w:t>
            </w:r>
            <w:r w:rsidR="00DE38AB" w:rsidRPr="00DE38AB">
              <w:rPr>
                <w:rFonts w:ascii="Arial" w:hAnsi="Arial" w:cs="Arial"/>
                <w:sz w:val="22"/>
                <w:szCs w:val="22"/>
                <w:lang w:val="sq-AL"/>
              </w:rPr>
              <w:t xml:space="preserve"> </w:t>
            </w:r>
            <w:r w:rsidRPr="00DE38AB">
              <w:rPr>
                <w:rFonts w:ascii="Arial" w:hAnsi="Arial" w:cs="Arial"/>
                <w:sz w:val="22"/>
                <w:szCs w:val="22"/>
                <w:lang w:val="sq-AL"/>
              </w:rPr>
              <w:t>nga paragrafi (1)</w:t>
            </w:r>
            <w:r w:rsidR="00DE38AB" w:rsidRPr="00DE38AB">
              <w:rPr>
                <w:rFonts w:ascii="Arial" w:hAnsi="Arial" w:cs="Arial"/>
                <w:sz w:val="22"/>
                <w:szCs w:val="22"/>
                <w:lang w:val="sq-AL"/>
              </w:rPr>
              <w:t xml:space="preserve"> i këtij neni </w:t>
            </w:r>
            <w:r w:rsidRPr="00DE38AB">
              <w:rPr>
                <w:rFonts w:ascii="Arial" w:hAnsi="Arial" w:cs="Arial"/>
                <w:sz w:val="22"/>
                <w:szCs w:val="22"/>
                <w:lang w:val="sq-AL"/>
              </w:rPr>
              <w:t>gjobitet në shumë prej 500 euro në kundërvlerë të denarit për mikro tregtarët, 1000 euro në kundërvlerë të denarit për tregtarët e vegjël, 3.000 euro në kundërvlerë të denarit për tregtarët e mesëm dhe 5.000 euro në kundërvlerë të denarit për tregtarët e mëdhenj".</w:t>
            </w:r>
          </w:p>
          <w:bookmarkEnd w:id="2"/>
          <w:p w14:paraId="741EAF31" w14:textId="77777777" w:rsidR="009F3808" w:rsidRPr="00DE38AB" w:rsidRDefault="009F3808" w:rsidP="009F3808">
            <w:pPr>
              <w:rPr>
                <w:rFonts w:ascii="Arial" w:hAnsi="Arial" w:cs="Arial"/>
                <w:sz w:val="22"/>
                <w:szCs w:val="22"/>
                <w:lang w:val="sq-AL"/>
              </w:rPr>
            </w:pPr>
          </w:p>
          <w:p w14:paraId="5833ED53" w14:textId="77777777" w:rsidR="009F3808" w:rsidRPr="00DE38AB" w:rsidRDefault="009F3808" w:rsidP="009F3808">
            <w:pPr>
              <w:rPr>
                <w:rFonts w:ascii="Arial" w:hAnsi="Arial" w:cs="Arial"/>
                <w:sz w:val="22"/>
                <w:szCs w:val="22"/>
                <w:lang w:val="sq-AL"/>
              </w:rPr>
            </w:pPr>
          </w:p>
          <w:p w14:paraId="5B24732D" w14:textId="77777777" w:rsidR="009F3808" w:rsidRPr="00DE38AB" w:rsidRDefault="009F3808" w:rsidP="009F3808">
            <w:pPr>
              <w:rPr>
                <w:rFonts w:ascii="Arial" w:hAnsi="Arial" w:cs="Arial"/>
                <w:sz w:val="22"/>
                <w:szCs w:val="22"/>
                <w:lang w:val="sq-AL"/>
              </w:rPr>
            </w:pPr>
            <w:bookmarkStart w:id="3" w:name="_Hlk73699086"/>
            <w:r w:rsidRPr="00DE38AB">
              <w:rPr>
                <w:rFonts w:ascii="Arial" w:hAnsi="Arial" w:cs="Arial"/>
                <w:sz w:val="22"/>
                <w:szCs w:val="22"/>
                <w:lang w:val="sq-AL"/>
              </w:rPr>
              <w:t xml:space="preserve">Në paragrafin (2) i cili bëhet paragrafi (3) fjalët "15.000 </w:t>
            </w:r>
            <w:bookmarkStart w:id="4" w:name="_Hlk66429919"/>
            <w:r w:rsidRPr="00DE38AB">
              <w:rPr>
                <w:rFonts w:ascii="Arial" w:hAnsi="Arial" w:cs="Arial"/>
                <w:sz w:val="22"/>
                <w:szCs w:val="22"/>
                <w:lang w:val="sq-AL"/>
              </w:rPr>
              <w:t>euro në kundërvlerë të denarit</w:t>
            </w:r>
            <w:bookmarkEnd w:id="4"/>
            <w:r w:rsidRPr="00DE38AB">
              <w:rPr>
                <w:rFonts w:ascii="Arial" w:hAnsi="Arial" w:cs="Arial"/>
                <w:sz w:val="22"/>
                <w:szCs w:val="22"/>
                <w:lang w:val="sq-AL"/>
              </w:rPr>
              <w:t>" zëvendësohen me fjalët "13.000 deri në 14.000 euro në kundërvlerë të denarit për ofruesit e shërbimeve mikro tregtarët, nga 25.000 deri në 28.000 euro në kundërvlerë të denarit për tregtarët e vegjël, nga 76.000 deri në 84.000 euro në kundërvlerë të denarit për tregtarët e mesëm dhe nga 126.000 deri në 140.000 euro në kundërvlerë të denarit për tregtarët e mëdhenj.</w:t>
            </w:r>
          </w:p>
          <w:bookmarkEnd w:id="3"/>
          <w:p w14:paraId="20636003" w14:textId="77777777" w:rsidR="009F3808" w:rsidRPr="00DE38AB" w:rsidRDefault="009F3808" w:rsidP="009F3808">
            <w:pPr>
              <w:rPr>
                <w:rFonts w:ascii="Arial" w:hAnsi="Arial" w:cs="Arial"/>
                <w:sz w:val="22"/>
                <w:szCs w:val="22"/>
                <w:lang w:val="sq-AL"/>
              </w:rPr>
            </w:pPr>
          </w:p>
          <w:p w14:paraId="1F6724B0" w14:textId="77777777" w:rsidR="009F3808" w:rsidRPr="00DE38AB" w:rsidRDefault="009F3808" w:rsidP="009F3808">
            <w:pPr>
              <w:autoSpaceDE w:val="0"/>
              <w:autoSpaceDN w:val="0"/>
              <w:adjustRightInd w:val="0"/>
              <w:rPr>
                <w:rFonts w:ascii="Arial" w:hAnsi="Arial" w:cs="Arial"/>
                <w:sz w:val="22"/>
                <w:szCs w:val="22"/>
                <w:lang w:val="sq-AL"/>
              </w:rPr>
            </w:pPr>
          </w:p>
          <w:p w14:paraId="52F7465C" w14:textId="77777777" w:rsidR="009F3808" w:rsidRPr="00DE38AB" w:rsidRDefault="009F3808" w:rsidP="009F3808">
            <w:pPr>
              <w:rPr>
                <w:rFonts w:ascii="Arial" w:hAnsi="Arial" w:cs="Arial"/>
                <w:sz w:val="22"/>
                <w:szCs w:val="22"/>
                <w:lang w:val="sq-AL"/>
              </w:rPr>
            </w:pPr>
            <w:bookmarkStart w:id="5" w:name="_Hlk73699107"/>
            <w:r w:rsidRPr="00DE38AB">
              <w:rPr>
                <w:rFonts w:ascii="Arial" w:hAnsi="Arial" w:cs="Arial"/>
                <w:sz w:val="22"/>
                <w:szCs w:val="22"/>
                <w:lang w:val="sq-AL"/>
              </w:rPr>
              <w:lastRenderedPageBreak/>
              <w:t>Pas paragrafit (3) shtohet një paragraf i ri (4) i cili thotë:</w:t>
            </w:r>
          </w:p>
          <w:p w14:paraId="735309C4" w14:textId="0E9ACD5E" w:rsidR="009F3808" w:rsidRPr="00DE38AB" w:rsidRDefault="009F3808" w:rsidP="009F3808">
            <w:pPr>
              <w:rPr>
                <w:rFonts w:ascii="Arial" w:hAnsi="Arial" w:cs="Arial"/>
                <w:sz w:val="22"/>
                <w:szCs w:val="22"/>
                <w:lang w:val="sq-AL"/>
              </w:rPr>
            </w:pPr>
            <w:r w:rsidRPr="00DE38AB">
              <w:rPr>
                <w:rFonts w:ascii="Arial" w:hAnsi="Arial" w:cs="Arial"/>
                <w:sz w:val="22"/>
                <w:szCs w:val="22"/>
                <w:lang w:val="sq-AL"/>
              </w:rPr>
              <w:t>(4) Personi përgjegjës në personin juridik</w:t>
            </w:r>
            <w:r w:rsidR="00DE38AB" w:rsidRPr="00DE38AB">
              <w:rPr>
                <w:rFonts w:ascii="Arial" w:hAnsi="Arial" w:cs="Arial"/>
                <w:sz w:val="22"/>
                <w:szCs w:val="22"/>
                <w:lang w:val="sq-AL"/>
              </w:rPr>
              <w:t xml:space="preserve"> për veprimin</w:t>
            </w:r>
            <w:r w:rsidRPr="00DE38AB">
              <w:rPr>
                <w:rFonts w:ascii="Arial" w:hAnsi="Arial" w:cs="Arial"/>
                <w:sz w:val="22"/>
                <w:szCs w:val="22"/>
                <w:lang w:val="sq-AL"/>
              </w:rPr>
              <w:t xml:space="preserve"> nga paragrafi (</w:t>
            </w:r>
            <w:r w:rsidR="005E0BD1" w:rsidRPr="00DE38AB">
              <w:rPr>
                <w:rFonts w:ascii="Arial" w:hAnsi="Arial" w:cs="Arial"/>
                <w:sz w:val="22"/>
                <w:szCs w:val="22"/>
                <w:lang w:val="sq-AL"/>
              </w:rPr>
              <w:t>3</w:t>
            </w:r>
            <w:r w:rsidRPr="00DE38AB">
              <w:rPr>
                <w:rFonts w:ascii="Arial" w:hAnsi="Arial" w:cs="Arial"/>
                <w:sz w:val="22"/>
                <w:szCs w:val="22"/>
                <w:lang w:val="sq-AL"/>
              </w:rPr>
              <w:t>)</w:t>
            </w:r>
            <w:r w:rsidR="00DE38AB" w:rsidRPr="00DE38AB">
              <w:rPr>
                <w:rFonts w:ascii="Arial" w:hAnsi="Arial" w:cs="Arial"/>
                <w:sz w:val="22"/>
                <w:szCs w:val="22"/>
                <w:lang w:val="sq-AL"/>
              </w:rPr>
              <w:t xml:space="preserve"> i këtij neni </w:t>
            </w:r>
            <w:r w:rsidRPr="00DE38AB">
              <w:rPr>
                <w:rFonts w:ascii="Arial" w:hAnsi="Arial" w:cs="Arial"/>
                <w:sz w:val="22"/>
                <w:szCs w:val="22"/>
                <w:lang w:val="sq-AL"/>
              </w:rPr>
              <w:t>dënohet me gjobë prej 700 euro në kundërvlerë të denarit për mikro tregtarët, 1.500 euro në kundërvlerë të denarit për tregtarët e vegjël, 4.000 euro në kundërvlerë të denarit për tregtarët e mesëm dhe 7.000 euro në kundërvlerë të denarit për tregtarët e mëdhenj".</w:t>
            </w:r>
          </w:p>
          <w:p w14:paraId="53AA95F2" w14:textId="77777777" w:rsidR="009F3808" w:rsidRPr="00DE38AB" w:rsidRDefault="009F3808" w:rsidP="009F3808">
            <w:pPr>
              <w:rPr>
                <w:rFonts w:ascii="Arial" w:hAnsi="Arial" w:cs="Arial"/>
                <w:sz w:val="22"/>
                <w:szCs w:val="22"/>
                <w:lang w:val="sq-AL"/>
              </w:rPr>
            </w:pPr>
            <w:r w:rsidRPr="00DE38AB">
              <w:rPr>
                <w:rFonts w:ascii="Arial" w:hAnsi="Arial" w:cs="Arial"/>
                <w:sz w:val="22"/>
                <w:szCs w:val="22"/>
                <w:lang w:val="sq-AL"/>
              </w:rPr>
              <w:t xml:space="preserve">Në paragrafin (3) i cili bëhet paragrafi (5) fjalët "25,000 euro në kundërvlerë të denarit" zëvendësohen me fjalët "nga 18,000 deri në 20.000 euro në kundërvlerë të denarit për ofruesit e shërbimeve mikro tregtarët, nga 36.000 deri në 40.000 euro në kundërvlerë të denarit për tregtarët e vegjël "nga 110,000 deri në 120,000 euro në kundërvlerë të denarit për tregtarët e mesëm dhe nga 180,000 deri në 200,000 euro në euro në kundërvlerë të denarit për tregtarët e mëdhenj". </w:t>
            </w:r>
          </w:p>
          <w:p w14:paraId="52473490" w14:textId="77777777" w:rsidR="009F3808" w:rsidRPr="00DE38AB" w:rsidRDefault="009F3808" w:rsidP="009F3808">
            <w:pPr>
              <w:rPr>
                <w:rFonts w:ascii="Arial" w:hAnsi="Arial" w:cs="Arial"/>
                <w:sz w:val="22"/>
                <w:szCs w:val="22"/>
                <w:lang w:val="sq-AL"/>
              </w:rPr>
            </w:pPr>
            <w:bookmarkStart w:id="6" w:name="_Hlk73699122"/>
            <w:bookmarkEnd w:id="5"/>
            <w:r w:rsidRPr="00DE38AB">
              <w:rPr>
                <w:rFonts w:ascii="Arial" w:hAnsi="Arial" w:cs="Arial"/>
                <w:sz w:val="22"/>
                <w:szCs w:val="22"/>
                <w:lang w:val="sq-AL"/>
              </w:rPr>
              <w:t>Paragrafi (4) i cili bëhet paragrafi (6) ndryshohet dhe thotë:</w:t>
            </w:r>
          </w:p>
          <w:p w14:paraId="10B85560" w14:textId="4D3BDCC7" w:rsidR="009F3808" w:rsidRPr="00DE38AB" w:rsidRDefault="009F3808" w:rsidP="009F3808">
            <w:pPr>
              <w:rPr>
                <w:rFonts w:ascii="Arial" w:hAnsi="Arial" w:cs="Arial"/>
                <w:sz w:val="22"/>
                <w:szCs w:val="22"/>
                <w:lang w:val="sq-AL"/>
              </w:rPr>
            </w:pPr>
            <w:r w:rsidRPr="00DE38AB">
              <w:rPr>
                <w:rFonts w:ascii="Arial" w:hAnsi="Arial" w:cs="Arial"/>
                <w:sz w:val="22"/>
                <w:szCs w:val="22"/>
                <w:lang w:val="sq-AL"/>
              </w:rPr>
              <w:t>"Personi përgjegjës në personin juridik nga paragrafi (</w:t>
            </w:r>
            <w:r w:rsidR="005E0BD1" w:rsidRPr="00DE38AB">
              <w:rPr>
                <w:rFonts w:ascii="Arial" w:hAnsi="Arial" w:cs="Arial"/>
                <w:sz w:val="22"/>
                <w:szCs w:val="22"/>
                <w:lang w:val="sq-AL"/>
              </w:rPr>
              <w:t>5</w:t>
            </w:r>
            <w:r w:rsidRPr="00DE38AB">
              <w:rPr>
                <w:rFonts w:ascii="Arial" w:hAnsi="Arial" w:cs="Arial"/>
                <w:sz w:val="22"/>
                <w:szCs w:val="22"/>
                <w:lang w:val="sq-AL"/>
              </w:rPr>
              <w:t>) i këtij neni do të gjobitet në shumë prej 1.000 euro në kundërvlerë të denarit për mikro tregtarët, nga 2.000 euro në kundërvlerë të denarit për tregtarët e vegjël, nga 6.000 euro në kundërvlerë të  denarit për tregtarët e mesëm prej 10.000 euro në kundërvlerë të denarit për tregtarët e mëdhenj.</w:t>
            </w:r>
          </w:p>
          <w:p w14:paraId="0AB00E48" w14:textId="77777777" w:rsidR="009F3808" w:rsidRPr="00DE38AB" w:rsidRDefault="009F3808" w:rsidP="009F3808">
            <w:pPr>
              <w:rPr>
                <w:rFonts w:ascii="Arial" w:hAnsi="Arial" w:cs="Arial"/>
                <w:sz w:val="22"/>
                <w:szCs w:val="22"/>
                <w:lang w:val="sq-AL"/>
              </w:rPr>
            </w:pPr>
            <w:r w:rsidRPr="00DE38AB">
              <w:rPr>
                <w:rFonts w:ascii="Arial" w:hAnsi="Arial" w:cs="Arial"/>
                <w:sz w:val="22"/>
                <w:szCs w:val="22"/>
                <w:lang w:val="sq-AL"/>
              </w:rPr>
              <w:t>Paragrafi (5) i cili bëhet paragrafi (7) ndryshohet dhe thotë:</w:t>
            </w:r>
          </w:p>
          <w:p w14:paraId="1F20A1CC" w14:textId="77777777" w:rsidR="009F3808" w:rsidRPr="00DE38AB" w:rsidRDefault="009F3808" w:rsidP="009F3808">
            <w:pPr>
              <w:rPr>
                <w:lang w:val="sq-AL"/>
              </w:rPr>
            </w:pPr>
            <w:r w:rsidRPr="00DE38AB">
              <w:rPr>
                <w:rFonts w:ascii="Arial" w:hAnsi="Arial" w:cs="Arial"/>
                <w:sz w:val="22"/>
                <w:szCs w:val="22"/>
                <w:lang w:val="sq-AL"/>
              </w:rPr>
              <w:t>"Procedura e kundërvajtjes udhëheq dhe sanksioni kundërvajtës për kundërvajtjet nga ky nen shqiptohet nga gjykata kompetente."</w:t>
            </w:r>
            <w:r w:rsidRPr="00DE38AB">
              <w:rPr>
                <w:lang w:val="sq-AL"/>
              </w:rPr>
              <w:t xml:space="preserve"> </w:t>
            </w:r>
          </w:p>
          <w:bookmarkEnd w:id="6"/>
          <w:p w14:paraId="7E431A32" w14:textId="07C65E80" w:rsidR="00047A8D" w:rsidRPr="00DE38AB" w:rsidRDefault="00047A8D" w:rsidP="0064444E">
            <w:pPr>
              <w:rPr>
                <w:rFonts w:asciiTheme="minorHAnsi" w:hAnsiTheme="minorHAnsi" w:cstheme="minorHAnsi"/>
                <w:lang w:val="sq-AL"/>
              </w:rPr>
            </w:pPr>
          </w:p>
        </w:tc>
      </w:tr>
      <w:bookmarkEnd w:id="0"/>
      <w:tr w:rsidR="00047A8D" w:rsidRPr="0021037A" w14:paraId="3CFA9DA8" w14:textId="77777777" w:rsidTr="00047A8D">
        <w:tc>
          <w:tcPr>
            <w:tcW w:w="4500" w:type="dxa"/>
            <w:shd w:val="clear" w:color="auto" w:fill="auto"/>
          </w:tcPr>
          <w:p w14:paraId="0C7E9637" w14:textId="77777777" w:rsidR="00047A8D" w:rsidRPr="003B3FE5" w:rsidRDefault="00047A8D" w:rsidP="00671166">
            <w:pPr>
              <w:rPr>
                <w:rFonts w:asciiTheme="minorHAnsi" w:hAnsiTheme="minorHAnsi" w:cstheme="minorHAnsi"/>
              </w:rPr>
            </w:pPr>
          </w:p>
        </w:tc>
        <w:tc>
          <w:tcPr>
            <w:tcW w:w="4526" w:type="dxa"/>
            <w:shd w:val="clear" w:color="auto" w:fill="auto"/>
          </w:tcPr>
          <w:p w14:paraId="6F557872" w14:textId="77777777" w:rsidR="00047A8D" w:rsidRPr="00DE38AB" w:rsidRDefault="00047A8D" w:rsidP="0002446B">
            <w:pPr>
              <w:rPr>
                <w:rFonts w:asciiTheme="minorHAnsi" w:hAnsiTheme="minorHAnsi" w:cstheme="minorHAnsi"/>
                <w:lang w:val="sq-AL"/>
              </w:rPr>
            </w:pPr>
          </w:p>
        </w:tc>
      </w:tr>
      <w:tr w:rsidR="00047A8D" w:rsidRPr="0021037A" w14:paraId="7DFE286D" w14:textId="77777777" w:rsidTr="00047A8D">
        <w:tc>
          <w:tcPr>
            <w:tcW w:w="4500" w:type="dxa"/>
            <w:shd w:val="clear" w:color="auto" w:fill="auto"/>
          </w:tcPr>
          <w:p w14:paraId="757F13C3" w14:textId="77777777" w:rsidR="00047A8D" w:rsidRPr="003B3FE5" w:rsidRDefault="00047A8D" w:rsidP="0064444E">
            <w:pPr>
              <w:jc w:val="center"/>
              <w:rPr>
                <w:rFonts w:asciiTheme="minorHAnsi" w:hAnsiTheme="minorHAnsi" w:cstheme="minorHAnsi"/>
              </w:rPr>
            </w:pPr>
            <w:bookmarkStart w:id="7" w:name="_Hlk73699174"/>
            <w:r w:rsidRPr="003B3FE5">
              <w:rPr>
                <w:rFonts w:asciiTheme="minorHAnsi" w:hAnsiTheme="minorHAnsi" w:cstheme="minorHAnsi"/>
              </w:rPr>
              <w:t>Член 2</w:t>
            </w:r>
            <w:bookmarkEnd w:id="7"/>
          </w:p>
        </w:tc>
        <w:tc>
          <w:tcPr>
            <w:tcW w:w="4526" w:type="dxa"/>
            <w:shd w:val="clear" w:color="auto" w:fill="auto"/>
          </w:tcPr>
          <w:p w14:paraId="272628F6" w14:textId="77777777" w:rsidR="00047A8D" w:rsidRPr="00DE38AB" w:rsidRDefault="00047A8D" w:rsidP="0064444E">
            <w:pPr>
              <w:jc w:val="center"/>
              <w:rPr>
                <w:rFonts w:asciiTheme="minorHAnsi" w:hAnsiTheme="minorHAnsi" w:cstheme="minorHAnsi"/>
                <w:lang w:val="sq-AL"/>
              </w:rPr>
            </w:pPr>
            <w:bookmarkStart w:id="8" w:name="_Hlk73699185"/>
            <w:r w:rsidRPr="00DE38AB">
              <w:rPr>
                <w:rFonts w:asciiTheme="minorHAnsi" w:hAnsiTheme="minorHAnsi" w:cstheme="minorHAnsi"/>
                <w:lang w:val="sq-AL"/>
              </w:rPr>
              <w:t>Neni</w:t>
            </w:r>
            <w:bookmarkEnd w:id="8"/>
            <w:r w:rsidRPr="00DE38AB">
              <w:rPr>
                <w:rFonts w:asciiTheme="minorHAnsi" w:hAnsiTheme="minorHAnsi" w:cstheme="minorHAnsi"/>
                <w:lang w:val="sq-AL"/>
              </w:rPr>
              <w:t xml:space="preserve"> 2</w:t>
            </w:r>
          </w:p>
        </w:tc>
      </w:tr>
      <w:tr w:rsidR="00047A8D" w:rsidRPr="0021037A" w14:paraId="179B61BD" w14:textId="77777777" w:rsidTr="00047A8D">
        <w:tc>
          <w:tcPr>
            <w:tcW w:w="4500" w:type="dxa"/>
            <w:shd w:val="clear" w:color="auto" w:fill="auto"/>
          </w:tcPr>
          <w:p w14:paraId="2A1B580B" w14:textId="42FEDF62" w:rsidR="00047A8D" w:rsidRPr="003B3FE5" w:rsidRDefault="00047A8D" w:rsidP="0064444E">
            <w:pPr>
              <w:rPr>
                <w:rFonts w:asciiTheme="minorHAnsi" w:hAnsiTheme="minorHAnsi" w:cstheme="minorHAnsi"/>
              </w:rPr>
            </w:pPr>
          </w:p>
          <w:p w14:paraId="760D6E9E" w14:textId="77777777" w:rsidR="0003710A" w:rsidRPr="003B3FE5" w:rsidRDefault="0003710A" w:rsidP="0003710A">
            <w:pPr>
              <w:autoSpaceDE w:val="0"/>
              <w:autoSpaceDN w:val="0"/>
              <w:adjustRightInd w:val="0"/>
              <w:rPr>
                <w:rFonts w:ascii="Arial" w:hAnsi="Arial" w:cs="Arial"/>
                <w:sz w:val="22"/>
                <w:szCs w:val="22"/>
              </w:rPr>
            </w:pPr>
            <w:bookmarkStart w:id="9" w:name="_Hlk73699163"/>
            <w:r w:rsidRPr="003B3FE5">
              <w:rPr>
                <w:rFonts w:ascii="Arial" w:hAnsi="Arial" w:cs="Arial"/>
                <w:sz w:val="22"/>
                <w:szCs w:val="22"/>
              </w:rPr>
              <w:t>Овој закон влегува во сила наредниот ден од денот на објавувањето во "Службен весник на Република Северна Македонија".</w:t>
            </w:r>
          </w:p>
          <w:bookmarkEnd w:id="9"/>
          <w:p w14:paraId="1A61CD3E" w14:textId="473A7EB2" w:rsidR="0003710A" w:rsidRPr="003B3FE5" w:rsidRDefault="0003710A" w:rsidP="0003710A">
            <w:pPr>
              <w:ind w:firstLine="680"/>
              <w:rPr>
                <w:rFonts w:asciiTheme="minorHAnsi" w:hAnsiTheme="minorHAnsi" w:cstheme="minorHAnsi"/>
              </w:rPr>
            </w:pPr>
          </w:p>
        </w:tc>
        <w:tc>
          <w:tcPr>
            <w:tcW w:w="4526" w:type="dxa"/>
            <w:shd w:val="clear" w:color="auto" w:fill="auto"/>
          </w:tcPr>
          <w:p w14:paraId="01E9DF9C" w14:textId="16645189" w:rsidR="00DB41DF" w:rsidRPr="00DE38AB" w:rsidRDefault="00DB41DF" w:rsidP="00DB41DF">
            <w:pPr>
              <w:autoSpaceDE w:val="0"/>
              <w:autoSpaceDN w:val="0"/>
              <w:adjustRightInd w:val="0"/>
              <w:rPr>
                <w:rFonts w:ascii="Arial" w:hAnsi="Arial" w:cs="Arial"/>
                <w:sz w:val="22"/>
                <w:szCs w:val="22"/>
                <w:lang w:val="sq-AL"/>
              </w:rPr>
            </w:pPr>
            <w:r w:rsidRPr="00DE38AB">
              <w:rPr>
                <w:rFonts w:ascii="Arial" w:hAnsi="Arial" w:cs="Arial"/>
                <w:sz w:val="22"/>
                <w:szCs w:val="22"/>
                <w:lang w:val="sq-AL"/>
              </w:rPr>
              <w:t>Ky ligj hyn në fuqi ditën e nesërme të ditës së botimit në "Gazetën Zyrtare të Republikës së Maqedonisë së Veriut</w:t>
            </w:r>
            <w:r w:rsidR="00073245" w:rsidRPr="00DE38AB">
              <w:rPr>
                <w:rFonts w:ascii="Arial" w:hAnsi="Arial" w:cs="Arial"/>
                <w:sz w:val="22"/>
                <w:szCs w:val="22"/>
                <w:lang w:val="sq-AL"/>
              </w:rPr>
              <w:t>.</w:t>
            </w:r>
          </w:p>
          <w:p w14:paraId="350B8FE0" w14:textId="52EA4F1D" w:rsidR="00047A8D" w:rsidRPr="00DE38AB" w:rsidRDefault="00047A8D" w:rsidP="0064444E">
            <w:pPr>
              <w:rPr>
                <w:rFonts w:asciiTheme="minorHAnsi" w:hAnsiTheme="minorHAnsi" w:cstheme="minorHAnsi"/>
                <w:lang w:val="sq-AL"/>
              </w:rPr>
            </w:pPr>
          </w:p>
        </w:tc>
      </w:tr>
      <w:tr w:rsidR="00047A8D" w:rsidRPr="0021037A" w14:paraId="0428C435" w14:textId="77777777" w:rsidTr="00047A8D">
        <w:tc>
          <w:tcPr>
            <w:tcW w:w="4500" w:type="dxa"/>
            <w:shd w:val="clear" w:color="auto" w:fill="auto"/>
          </w:tcPr>
          <w:p w14:paraId="3F014F93" w14:textId="611F3A05" w:rsidR="00047A8D" w:rsidRPr="0021037A" w:rsidRDefault="00047A8D" w:rsidP="0064444E">
            <w:pPr>
              <w:jc w:val="center"/>
              <w:rPr>
                <w:rFonts w:asciiTheme="minorHAnsi" w:hAnsiTheme="minorHAnsi" w:cstheme="minorHAnsi"/>
              </w:rPr>
            </w:pPr>
          </w:p>
        </w:tc>
        <w:tc>
          <w:tcPr>
            <w:tcW w:w="4526" w:type="dxa"/>
            <w:shd w:val="clear" w:color="auto" w:fill="auto"/>
          </w:tcPr>
          <w:p w14:paraId="305691EB" w14:textId="3744AFF6" w:rsidR="00047A8D" w:rsidRPr="00DE38AB" w:rsidRDefault="00047A8D" w:rsidP="0064444E">
            <w:pPr>
              <w:jc w:val="center"/>
              <w:rPr>
                <w:rFonts w:asciiTheme="minorHAnsi" w:hAnsiTheme="minorHAnsi" w:cstheme="minorHAnsi"/>
                <w:lang w:val="sq-AL"/>
              </w:rPr>
            </w:pPr>
          </w:p>
        </w:tc>
      </w:tr>
      <w:tr w:rsidR="00047A8D" w:rsidRPr="0021037A" w14:paraId="15EE32E1" w14:textId="77777777" w:rsidTr="00047A8D">
        <w:tc>
          <w:tcPr>
            <w:tcW w:w="4500" w:type="dxa"/>
            <w:shd w:val="clear" w:color="auto" w:fill="auto"/>
          </w:tcPr>
          <w:p w14:paraId="2AFBE4F2" w14:textId="77777777" w:rsidR="00047A8D" w:rsidRPr="0021037A" w:rsidRDefault="00047A8D" w:rsidP="0064444E">
            <w:pPr>
              <w:jc w:val="center"/>
              <w:rPr>
                <w:rFonts w:asciiTheme="minorHAnsi" w:hAnsiTheme="minorHAnsi" w:cstheme="minorHAnsi"/>
              </w:rPr>
            </w:pPr>
          </w:p>
        </w:tc>
        <w:tc>
          <w:tcPr>
            <w:tcW w:w="4526" w:type="dxa"/>
            <w:shd w:val="clear" w:color="auto" w:fill="auto"/>
          </w:tcPr>
          <w:p w14:paraId="1C8ADA87" w14:textId="77777777" w:rsidR="00047A8D" w:rsidRPr="00DE38AB" w:rsidRDefault="00047A8D" w:rsidP="0064444E">
            <w:pPr>
              <w:jc w:val="center"/>
              <w:rPr>
                <w:rFonts w:asciiTheme="minorHAnsi" w:hAnsiTheme="minorHAnsi" w:cstheme="minorHAnsi"/>
                <w:lang w:val="sq-AL"/>
              </w:rPr>
            </w:pPr>
          </w:p>
        </w:tc>
      </w:tr>
      <w:tr w:rsidR="00047A8D" w:rsidRPr="0021037A" w14:paraId="7EE38806" w14:textId="77777777" w:rsidTr="00047A8D">
        <w:tc>
          <w:tcPr>
            <w:tcW w:w="4500" w:type="dxa"/>
            <w:shd w:val="clear" w:color="auto" w:fill="auto"/>
          </w:tcPr>
          <w:p w14:paraId="6E22A04D" w14:textId="730DC083" w:rsidR="00047A8D" w:rsidRPr="0021037A" w:rsidRDefault="00047A8D" w:rsidP="0064444E">
            <w:pPr>
              <w:rPr>
                <w:rFonts w:asciiTheme="minorHAnsi" w:hAnsiTheme="minorHAnsi" w:cstheme="minorHAnsi"/>
              </w:rPr>
            </w:pPr>
          </w:p>
        </w:tc>
        <w:tc>
          <w:tcPr>
            <w:tcW w:w="4526" w:type="dxa"/>
            <w:shd w:val="clear" w:color="auto" w:fill="auto"/>
          </w:tcPr>
          <w:p w14:paraId="416C9D83" w14:textId="1D020F32" w:rsidR="00047A8D" w:rsidRPr="00DE38AB" w:rsidRDefault="00047A8D" w:rsidP="0064444E">
            <w:pPr>
              <w:rPr>
                <w:rFonts w:asciiTheme="minorHAnsi" w:hAnsiTheme="minorHAnsi" w:cstheme="minorHAnsi"/>
                <w:lang w:val="sq-AL"/>
              </w:rPr>
            </w:pPr>
          </w:p>
        </w:tc>
      </w:tr>
      <w:tr w:rsidR="00047A8D" w:rsidRPr="0021037A" w14:paraId="7D138B4B" w14:textId="77777777" w:rsidTr="00047A8D">
        <w:tc>
          <w:tcPr>
            <w:tcW w:w="4500" w:type="dxa"/>
            <w:shd w:val="clear" w:color="auto" w:fill="auto"/>
          </w:tcPr>
          <w:p w14:paraId="79E63B6C" w14:textId="77777777" w:rsidR="00047A8D" w:rsidRPr="0021037A" w:rsidRDefault="00047A8D" w:rsidP="0064444E">
            <w:pPr>
              <w:rPr>
                <w:rFonts w:asciiTheme="minorHAnsi" w:hAnsiTheme="minorHAnsi" w:cstheme="minorHAnsi"/>
                <w:lang w:val="ru-RU"/>
              </w:rPr>
            </w:pPr>
          </w:p>
        </w:tc>
        <w:tc>
          <w:tcPr>
            <w:tcW w:w="4526" w:type="dxa"/>
            <w:shd w:val="clear" w:color="auto" w:fill="auto"/>
          </w:tcPr>
          <w:p w14:paraId="10829825" w14:textId="77777777" w:rsidR="00047A8D" w:rsidRPr="00DE38AB" w:rsidRDefault="00047A8D" w:rsidP="0064444E">
            <w:pPr>
              <w:rPr>
                <w:rFonts w:asciiTheme="minorHAnsi" w:hAnsiTheme="minorHAnsi" w:cstheme="minorHAnsi"/>
                <w:lang w:val="sq-AL"/>
              </w:rPr>
            </w:pPr>
          </w:p>
        </w:tc>
      </w:tr>
      <w:tr w:rsidR="00047A8D" w:rsidRPr="0021037A" w14:paraId="05421D2A" w14:textId="77777777" w:rsidTr="00047A8D">
        <w:tc>
          <w:tcPr>
            <w:tcW w:w="4500" w:type="dxa"/>
            <w:shd w:val="clear" w:color="auto" w:fill="auto"/>
          </w:tcPr>
          <w:p w14:paraId="71D3C3DD" w14:textId="77777777" w:rsidR="00047A8D" w:rsidRPr="0021037A" w:rsidRDefault="00047A8D" w:rsidP="0064444E">
            <w:pPr>
              <w:rPr>
                <w:rFonts w:asciiTheme="minorHAnsi" w:hAnsiTheme="minorHAnsi" w:cstheme="minorHAnsi"/>
              </w:rPr>
            </w:pPr>
            <w:r w:rsidRPr="0021037A">
              <w:rPr>
                <w:rFonts w:asciiTheme="minorHAnsi" w:hAnsiTheme="minorHAnsi" w:cstheme="minorHAnsi"/>
              </w:rPr>
              <w:t>ОБРАЗЛОЖЕНИЕ НА ПРЕДЛОГ НА ЗАКОНОТ</w:t>
            </w:r>
          </w:p>
        </w:tc>
        <w:tc>
          <w:tcPr>
            <w:tcW w:w="4526" w:type="dxa"/>
            <w:shd w:val="clear" w:color="auto" w:fill="auto"/>
          </w:tcPr>
          <w:p w14:paraId="640DECCB" w14:textId="77777777" w:rsidR="00047A8D" w:rsidRPr="00DE38AB" w:rsidRDefault="00047A8D" w:rsidP="0064444E">
            <w:pPr>
              <w:rPr>
                <w:rFonts w:asciiTheme="minorHAnsi" w:hAnsiTheme="minorHAnsi" w:cstheme="minorHAnsi"/>
                <w:lang w:val="sq-AL"/>
              </w:rPr>
            </w:pPr>
            <w:r w:rsidRPr="00DE38AB">
              <w:rPr>
                <w:rFonts w:asciiTheme="minorHAnsi" w:hAnsiTheme="minorHAnsi" w:cstheme="minorHAnsi"/>
                <w:lang w:val="sq-AL"/>
              </w:rPr>
              <w:t>ARSYETIMI I PROPOZIM-LIGJIT</w:t>
            </w:r>
          </w:p>
        </w:tc>
      </w:tr>
      <w:tr w:rsidR="00047A8D" w:rsidRPr="0021037A" w14:paraId="1609BE27" w14:textId="77777777" w:rsidTr="00047A8D">
        <w:tc>
          <w:tcPr>
            <w:tcW w:w="4500" w:type="dxa"/>
            <w:shd w:val="clear" w:color="auto" w:fill="auto"/>
          </w:tcPr>
          <w:p w14:paraId="54657992" w14:textId="77777777" w:rsidR="00047A8D" w:rsidRPr="0021037A" w:rsidRDefault="00047A8D" w:rsidP="0064444E">
            <w:pPr>
              <w:rPr>
                <w:rFonts w:asciiTheme="minorHAnsi" w:hAnsiTheme="minorHAnsi" w:cstheme="minorHAnsi"/>
              </w:rPr>
            </w:pPr>
          </w:p>
        </w:tc>
        <w:tc>
          <w:tcPr>
            <w:tcW w:w="4526" w:type="dxa"/>
            <w:shd w:val="clear" w:color="auto" w:fill="auto"/>
          </w:tcPr>
          <w:p w14:paraId="53F5C169" w14:textId="77777777" w:rsidR="00047A8D" w:rsidRPr="00DE38AB" w:rsidRDefault="00047A8D" w:rsidP="0064444E">
            <w:pPr>
              <w:rPr>
                <w:rFonts w:asciiTheme="minorHAnsi" w:hAnsiTheme="minorHAnsi" w:cstheme="minorHAnsi"/>
                <w:lang w:val="sq-AL"/>
              </w:rPr>
            </w:pPr>
          </w:p>
        </w:tc>
      </w:tr>
      <w:tr w:rsidR="00047A8D" w:rsidRPr="0021037A" w14:paraId="195148BD" w14:textId="77777777" w:rsidTr="00047A8D">
        <w:tc>
          <w:tcPr>
            <w:tcW w:w="4500" w:type="dxa"/>
            <w:shd w:val="clear" w:color="auto" w:fill="auto"/>
          </w:tcPr>
          <w:p w14:paraId="0ED08BF4" w14:textId="77777777" w:rsidR="00047A8D" w:rsidRPr="0021037A" w:rsidRDefault="00047A8D" w:rsidP="0064444E">
            <w:pPr>
              <w:rPr>
                <w:rFonts w:asciiTheme="minorHAnsi" w:hAnsiTheme="minorHAnsi" w:cstheme="minorHAnsi"/>
              </w:rPr>
            </w:pPr>
            <w:r w:rsidRPr="0021037A">
              <w:rPr>
                <w:rFonts w:asciiTheme="minorHAnsi" w:hAnsiTheme="minorHAnsi" w:cstheme="minorHAnsi"/>
              </w:rPr>
              <w:t>I. ОБЈАСНУВАЊЕ НА СОДРЖИНАТА НА ОДРЕДБИТЕ НА ПРЕДЛОГ НА ЗАКОНОТ</w:t>
            </w:r>
          </w:p>
        </w:tc>
        <w:tc>
          <w:tcPr>
            <w:tcW w:w="4526" w:type="dxa"/>
            <w:shd w:val="clear" w:color="auto" w:fill="auto"/>
          </w:tcPr>
          <w:p w14:paraId="7195C270" w14:textId="77777777" w:rsidR="00047A8D" w:rsidRPr="00DE38AB" w:rsidRDefault="00047A8D" w:rsidP="0064444E">
            <w:pPr>
              <w:rPr>
                <w:rFonts w:asciiTheme="minorHAnsi" w:hAnsiTheme="minorHAnsi" w:cstheme="minorHAnsi"/>
                <w:lang w:val="sq-AL"/>
              </w:rPr>
            </w:pPr>
            <w:r w:rsidRPr="00DE38AB">
              <w:rPr>
                <w:rFonts w:asciiTheme="minorHAnsi" w:hAnsiTheme="minorHAnsi" w:cstheme="minorHAnsi"/>
                <w:lang w:val="sq-AL"/>
              </w:rPr>
              <w:t>I. SHPJEGIMI I PËRMBAJTJES SË DISPOZITAVE TË PROPOZIM-LIGJIT</w:t>
            </w:r>
          </w:p>
        </w:tc>
      </w:tr>
      <w:tr w:rsidR="00047A8D" w:rsidRPr="0021037A" w14:paraId="127883C3" w14:textId="77777777" w:rsidTr="00047A8D">
        <w:tc>
          <w:tcPr>
            <w:tcW w:w="4500" w:type="dxa"/>
            <w:shd w:val="clear" w:color="auto" w:fill="auto"/>
          </w:tcPr>
          <w:p w14:paraId="5E602C7C" w14:textId="77777777" w:rsidR="00047A8D" w:rsidRPr="0021037A" w:rsidRDefault="00047A8D" w:rsidP="0064444E">
            <w:pPr>
              <w:rPr>
                <w:rFonts w:asciiTheme="minorHAnsi" w:hAnsiTheme="minorHAnsi" w:cstheme="minorHAnsi"/>
              </w:rPr>
            </w:pPr>
          </w:p>
        </w:tc>
        <w:tc>
          <w:tcPr>
            <w:tcW w:w="4526" w:type="dxa"/>
            <w:shd w:val="clear" w:color="auto" w:fill="auto"/>
          </w:tcPr>
          <w:p w14:paraId="2A97893C" w14:textId="77777777" w:rsidR="00047A8D" w:rsidRPr="00DE38AB" w:rsidRDefault="00047A8D" w:rsidP="0064444E">
            <w:pPr>
              <w:rPr>
                <w:rFonts w:asciiTheme="minorHAnsi" w:hAnsiTheme="minorHAnsi" w:cstheme="minorHAnsi"/>
                <w:lang w:val="sq-AL"/>
              </w:rPr>
            </w:pPr>
          </w:p>
        </w:tc>
      </w:tr>
      <w:tr w:rsidR="00047A8D" w:rsidRPr="0021037A" w14:paraId="64489F77" w14:textId="77777777" w:rsidTr="00047A8D">
        <w:tc>
          <w:tcPr>
            <w:tcW w:w="4500" w:type="dxa"/>
            <w:shd w:val="clear" w:color="auto" w:fill="auto"/>
          </w:tcPr>
          <w:p w14:paraId="21DC5467" w14:textId="77777777" w:rsidR="00076C4D" w:rsidRPr="00611AE3" w:rsidRDefault="00076C4D" w:rsidP="00076C4D">
            <w:pPr>
              <w:pStyle w:val="NormalMACCTimes"/>
              <w:jc w:val="both"/>
              <w:rPr>
                <w:rFonts w:ascii="Arial" w:hAnsi="Arial" w:cs="Arial"/>
                <w:b w:val="0"/>
                <w:sz w:val="22"/>
                <w:szCs w:val="22"/>
                <w:lang w:val="ru-RU"/>
              </w:rPr>
            </w:pPr>
            <w:r w:rsidRPr="00611AE3">
              <w:rPr>
                <w:rFonts w:ascii="Arial" w:hAnsi="Arial" w:cs="Arial"/>
                <w:b w:val="0"/>
                <w:bCs w:val="0"/>
                <w:sz w:val="22"/>
                <w:szCs w:val="22"/>
                <w:lang w:val="mk-MK"/>
              </w:rPr>
              <w:t xml:space="preserve">Предложените измени и дополнувања на Законот за </w:t>
            </w:r>
            <w:r>
              <w:rPr>
                <w:rFonts w:ascii="Arial" w:hAnsi="Arial" w:cs="Arial"/>
                <w:b w:val="0"/>
                <w:bCs w:val="0"/>
                <w:sz w:val="22"/>
                <w:szCs w:val="22"/>
                <w:lang w:val="mk-MK"/>
              </w:rPr>
              <w:t>утврдување на цените на водните услуги</w:t>
            </w:r>
            <w:r w:rsidRPr="00611AE3">
              <w:rPr>
                <w:rFonts w:ascii="Arial" w:hAnsi="Arial" w:cs="Arial"/>
                <w:b w:val="0"/>
                <w:bCs w:val="0"/>
                <w:sz w:val="22"/>
                <w:szCs w:val="22"/>
                <w:lang w:val="mk-MK"/>
              </w:rPr>
              <w:t xml:space="preserve"> 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општите глоби согласно Законот за прекршоците. </w:t>
            </w:r>
            <w:r w:rsidRPr="00611AE3">
              <w:rPr>
                <w:rFonts w:ascii="Arial" w:hAnsi="Arial" w:cs="Arial"/>
                <w:b w:val="0"/>
                <w:sz w:val="22"/>
                <w:szCs w:val="22"/>
                <w:lang w:val="ru-RU"/>
              </w:rPr>
              <w:t>Со тоа ќе се овозможи изрекувањето на глобите, водењето на прекршочната постапка и нивната наплата.</w:t>
            </w:r>
          </w:p>
          <w:p w14:paraId="1C9EC338" w14:textId="77777777" w:rsidR="00076C4D" w:rsidRPr="00611AE3" w:rsidRDefault="00076C4D" w:rsidP="00076C4D">
            <w:pPr>
              <w:pStyle w:val="NormalMACCTimes"/>
              <w:jc w:val="both"/>
              <w:rPr>
                <w:rFonts w:ascii="Arial" w:hAnsi="Arial" w:cs="Arial"/>
                <w:b w:val="0"/>
                <w:bCs w:val="0"/>
                <w:sz w:val="22"/>
                <w:szCs w:val="22"/>
                <w:lang w:val="mk-MK"/>
              </w:rPr>
            </w:pPr>
            <w:r w:rsidRPr="00611AE3">
              <w:rPr>
                <w:rFonts w:ascii="Arial" w:hAnsi="Arial" w:cs="Arial"/>
                <w:b w:val="0"/>
                <w:sz w:val="22"/>
                <w:szCs w:val="22"/>
                <w:lang w:val="ru-RU"/>
              </w:rPr>
              <w:t>Покрај тоа, со сразмерното утврдување на износот на глобата, ќе се овозможи правична наплата, додека истовремено се обезбедува превентивниот ефект на казните.</w:t>
            </w:r>
          </w:p>
          <w:p w14:paraId="11B3FFFB" w14:textId="77777777" w:rsidR="00076C4D" w:rsidRPr="00611AE3" w:rsidRDefault="00076C4D" w:rsidP="00076C4D">
            <w:pPr>
              <w:pStyle w:val="NormalMACCTimes"/>
              <w:jc w:val="both"/>
              <w:rPr>
                <w:rFonts w:ascii="Arial" w:hAnsi="Arial" w:cs="Arial"/>
                <w:b w:val="0"/>
                <w:bCs w:val="0"/>
                <w:sz w:val="22"/>
                <w:szCs w:val="22"/>
                <w:lang w:val="mk-MK"/>
              </w:rPr>
            </w:pPr>
            <w:r w:rsidRPr="00611AE3">
              <w:rPr>
                <w:rFonts w:ascii="Arial" w:hAnsi="Arial" w:cs="Arial"/>
                <w:b w:val="0"/>
                <w:bCs w:val="0"/>
                <w:sz w:val="22"/>
                <w:szCs w:val="22"/>
                <w:lang w:val="mk-MK"/>
              </w:rPr>
              <w:t>Со членот</w:t>
            </w:r>
            <w:r>
              <w:rPr>
                <w:rFonts w:ascii="Arial" w:hAnsi="Arial" w:cs="Arial"/>
                <w:b w:val="0"/>
                <w:bCs w:val="0"/>
                <w:sz w:val="22"/>
                <w:szCs w:val="22"/>
                <w:lang w:val="mk-MK"/>
              </w:rPr>
              <w:t xml:space="preserve"> 1 </w:t>
            </w:r>
            <w:r w:rsidRPr="00611AE3">
              <w:rPr>
                <w:rFonts w:ascii="Arial" w:hAnsi="Arial" w:cs="Arial"/>
                <w:b w:val="0"/>
                <w:bCs w:val="0"/>
                <w:sz w:val="22"/>
                <w:szCs w:val="22"/>
                <w:lang w:val="mk-MK"/>
              </w:rPr>
              <w:t>од овој закон се врши измена на членот 2</w:t>
            </w:r>
            <w:r>
              <w:rPr>
                <w:rFonts w:ascii="Arial" w:hAnsi="Arial" w:cs="Arial"/>
                <w:b w:val="0"/>
                <w:bCs w:val="0"/>
                <w:sz w:val="22"/>
                <w:szCs w:val="22"/>
                <w:lang w:val="mk-MK"/>
              </w:rPr>
              <w:t xml:space="preserve">7 </w:t>
            </w:r>
            <w:r w:rsidRPr="00611AE3">
              <w:rPr>
                <w:rFonts w:ascii="Arial" w:hAnsi="Arial" w:cs="Arial"/>
                <w:b w:val="0"/>
                <w:bCs w:val="0"/>
                <w:sz w:val="22"/>
                <w:szCs w:val="22"/>
                <w:lang w:val="mk-MK"/>
              </w:rPr>
              <w:t xml:space="preserve">од законот, заради усогласување на висина на глобата за правните лица и физичките лица, во согласност со утврдениот распон на глобите во Законот за прекршоци. </w:t>
            </w:r>
          </w:p>
          <w:p w14:paraId="346395D3" w14:textId="06C5C51F" w:rsidR="00047A8D" w:rsidRPr="0021037A" w:rsidRDefault="00047A8D" w:rsidP="0064444E">
            <w:pPr>
              <w:rPr>
                <w:rFonts w:asciiTheme="minorHAnsi" w:hAnsiTheme="minorHAnsi" w:cstheme="minorHAnsi"/>
              </w:rPr>
            </w:pPr>
          </w:p>
        </w:tc>
        <w:tc>
          <w:tcPr>
            <w:tcW w:w="4526" w:type="dxa"/>
            <w:shd w:val="clear" w:color="auto" w:fill="auto"/>
          </w:tcPr>
          <w:p w14:paraId="21A002A3" w14:textId="77777777" w:rsidR="007028B4" w:rsidRPr="00DE38AB" w:rsidRDefault="007028B4" w:rsidP="007028B4">
            <w:pPr>
              <w:pStyle w:val="NormalMACCTimes"/>
              <w:jc w:val="both"/>
              <w:rPr>
                <w:rFonts w:ascii="Arial" w:hAnsi="Arial" w:cs="Arial"/>
                <w:b w:val="0"/>
                <w:bCs w:val="0"/>
                <w:sz w:val="22"/>
                <w:szCs w:val="22"/>
                <w:lang w:val="sq-AL"/>
              </w:rPr>
            </w:pPr>
            <w:r w:rsidRPr="00DE38AB">
              <w:rPr>
                <w:rFonts w:ascii="Arial" w:hAnsi="Arial" w:cs="Arial"/>
                <w:b w:val="0"/>
                <w:bCs w:val="0"/>
                <w:sz w:val="22"/>
                <w:szCs w:val="22"/>
                <w:lang w:val="sq-AL"/>
              </w:rPr>
              <w:t>Ndryshimet dhe plotësimet e propozuara në Ligjin për Përcaktimin e Çmimeve të Shërbimeve të Ujit rregullojnë dispozitat për kundërvajtje, të cilat do të jenë në përputhje me politikën e re kombëtare të kundërvajtjes. Gama e gjobave shprehet brenda mundësisë së parashikuar për shqiptimin e gjobave të përgjithshme në përputhje me Ligjin për Kundërvajtjet. Kjo do të mundësojë vendosjen e gjobave, kryerjen e procedurave për kundërvajtje dhe mbledhjen e tyre.</w:t>
            </w:r>
          </w:p>
          <w:p w14:paraId="1291DF1D" w14:textId="77777777" w:rsidR="007028B4" w:rsidRPr="00DE38AB" w:rsidRDefault="007028B4" w:rsidP="007028B4">
            <w:pPr>
              <w:pStyle w:val="NormalMACCTimes"/>
              <w:jc w:val="both"/>
              <w:rPr>
                <w:rFonts w:ascii="Arial" w:hAnsi="Arial" w:cs="Arial"/>
                <w:b w:val="0"/>
                <w:sz w:val="22"/>
                <w:szCs w:val="22"/>
                <w:lang w:val="sq-AL"/>
              </w:rPr>
            </w:pPr>
            <w:r w:rsidRPr="00DE38AB">
              <w:rPr>
                <w:rFonts w:ascii="Arial" w:hAnsi="Arial" w:cs="Arial"/>
                <w:b w:val="0"/>
                <w:sz w:val="22"/>
                <w:szCs w:val="22"/>
                <w:lang w:val="sq-AL"/>
              </w:rPr>
              <w:t>Krahas kësaj, me përcaktim proporcional të shumës së gjobës do të mundësohet mbledhje e drejtë, ndërsa në të njëjtën kohë sigurohet efekti parandalues ​​i gjobave.</w:t>
            </w:r>
          </w:p>
          <w:p w14:paraId="01292259" w14:textId="77777777" w:rsidR="007028B4" w:rsidRPr="00DE38AB" w:rsidRDefault="007028B4" w:rsidP="007028B4">
            <w:pPr>
              <w:pStyle w:val="NormalMACCTimes"/>
              <w:jc w:val="both"/>
              <w:rPr>
                <w:rFonts w:ascii="Arial" w:hAnsi="Arial" w:cs="Arial"/>
                <w:b w:val="0"/>
                <w:sz w:val="22"/>
                <w:szCs w:val="22"/>
                <w:lang w:val="sq-AL"/>
              </w:rPr>
            </w:pPr>
            <w:r w:rsidRPr="00DE38AB">
              <w:rPr>
                <w:rFonts w:ascii="Arial" w:hAnsi="Arial" w:cs="Arial"/>
                <w:b w:val="0"/>
                <w:sz w:val="22"/>
                <w:szCs w:val="22"/>
                <w:lang w:val="sq-AL"/>
              </w:rPr>
              <w:t>Neni 1 i këtij Ligji ndryshon nenin 27 të Ligjit, në mënyrë që të harmonizojë shumën e gjobës për personat juridikë dhe fizikë, në përputhje me diapazonin e përcaktuar të gjobave në Ligjin për Kundërvajtjet.</w:t>
            </w:r>
          </w:p>
          <w:p w14:paraId="6B778C27" w14:textId="719F4923" w:rsidR="00047A8D" w:rsidRPr="00DE38AB" w:rsidRDefault="00047A8D" w:rsidP="0064444E">
            <w:pPr>
              <w:rPr>
                <w:rFonts w:asciiTheme="minorHAnsi" w:hAnsiTheme="minorHAnsi" w:cstheme="minorHAnsi"/>
                <w:lang w:val="sq-AL"/>
              </w:rPr>
            </w:pPr>
          </w:p>
        </w:tc>
      </w:tr>
      <w:tr w:rsidR="00047A8D" w:rsidRPr="0021037A" w14:paraId="1EA490E3" w14:textId="77777777" w:rsidTr="00047A8D">
        <w:tc>
          <w:tcPr>
            <w:tcW w:w="4500" w:type="dxa"/>
            <w:shd w:val="clear" w:color="auto" w:fill="auto"/>
          </w:tcPr>
          <w:p w14:paraId="511A7644" w14:textId="77777777" w:rsidR="00047A8D" w:rsidRPr="0021037A" w:rsidRDefault="00047A8D" w:rsidP="0064444E">
            <w:pPr>
              <w:rPr>
                <w:rFonts w:asciiTheme="minorHAnsi" w:hAnsiTheme="minorHAnsi" w:cstheme="minorHAnsi"/>
              </w:rPr>
            </w:pPr>
          </w:p>
        </w:tc>
        <w:tc>
          <w:tcPr>
            <w:tcW w:w="4526" w:type="dxa"/>
            <w:shd w:val="clear" w:color="auto" w:fill="auto"/>
          </w:tcPr>
          <w:p w14:paraId="7F37E6F7" w14:textId="77777777" w:rsidR="00047A8D" w:rsidRPr="0021037A" w:rsidRDefault="00047A8D" w:rsidP="0064444E">
            <w:pPr>
              <w:rPr>
                <w:rFonts w:asciiTheme="minorHAnsi" w:hAnsiTheme="minorHAnsi" w:cstheme="minorHAnsi"/>
              </w:rPr>
            </w:pPr>
          </w:p>
        </w:tc>
      </w:tr>
      <w:tr w:rsidR="00047A8D" w:rsidRPr="0021037A" w14:paraId="3D7DD452" w14:textId="77777777" w:rsidTr="00047A8D">
        <w:tc>
          <w:tcPr>
            <w:tcW w:w="4500" w:type="dxa"/>
            <w:shd w:val="clear" w:color="auto" w:fill="auto"/>
          </w:tcPr>
          <w:p w14:paraId="2A571162" w14:textId="77777777" w:rsidR="00047A8D" w:rsidRPr="0021037A" w:rsidRDefault="00047A8D" w:rsidP="0064444E">
            <w:pPr>
              <w:rPr>
                <w:rFonts w:asciiTheme="minorHAnsi" w:hAnsiTheme="minorHAnsi" w:cstheme="minorHAnsi"/>
              </w:rPr>
            </w:pPr>
          </w:p>
        </w:tc>
        <w:tc>
          <w:tcPr>
            <w:tcW w:w="4526" w:type="dxa"/>
            <w:shd w:val="clear" w:color="auto" w:fill="auto"/>
          </w:tcPr>
          <w:p w14:paraId="6942A9ED" w14:textId="77777777" w:rsidR="00047A8D" w:rsidRPr="0021037A" w:rsidRDefault="00047A8D" w:rsidP="0064444E">
            <w:pPr>
              <w:rPr>
                <w:rFonts w:asciiTheme="minorHAnsi" w:hAnsiTheme="minorHAnsi" w:cstheme="minorHAnsi"/>
              </w:rPr>
            </w:pPr>
          </w:p>
        </w:tc>
      </w:tr>
      <w:tr w:rsidR="00047A8D" w:rsidRPr="0021037A" w14:paraId="32E63955" w14:textId="77777777" w:rsidTr="00047A8D">
        <w:tc>
          <w:tcPr>
            <w:tcW w:w="4500" w:type="dxa"/>
            <w:shd w:val="clear" w:color="auto" w:fill="auto"/>
          </w:tcPr>
          <w:p w14:paraId="1F4724DC" w14:textId="77777777" w:rsidR="00047A8D" w:rsidRPr="0021037A" w:rsidRDefault="00047A8D" w:rsidP="0064444E">
            <w:pPr>
              <w:rPr>
                <w:rFonts w:asciiTheme="minorHAnsi" w:hAnsiTheme="minorHAnsi" w:cstheme="minorHAnsi"/>
              </w:rPr>
            </w:pPr>
            <w:r w:rsidRPr="0021037A">
              <w:rPr>
                <w:rFonts w:asciiTheme="minorHAnsi" w:hAnsiTheme="minorHAnsi" w:cstheme="minorHAnsi"/>
              </w:rPr>
              <w:t xml:space="preserve"> II</w:t>
            </w:r>
            <w:r w:rsidRPr="0021037A">
              <w:rPr>
                <w:rFonts w:asciiTheme="minorHAnsi" w:hAnsiTheme="minorHAnsi" w:cstheme="minorHAnsi"/>
                <w:lang w:val="ru-RU"/>
              </w:rPr>
              <w:t xml:space="preserve">. </w:t>
            </w:r>
            <w:r w:rsidRPr="0021037A">
              <w:rPr>
                <w:rFonts w:asciiTheme="minorHAnsi" w:hAnsiTheme="minorHAnsi" w:cstheme="minorHAnsi"/>
              </w:rPr>
              <w:t>МЕЃУСЕБНА ПОВРЗАНОСТ НА РЕШЕНИЈАТА СОДРЖАНИ ВО ПРЕДЛОЖЕНИТЕ ОДРЕДБИ</w:t>
            </w:r>
          </w:p>
        </w:tc>
        <w:tc>
          <w:tcPr>
            <w:tcW w:w="4526" w:type="dxa"/>
            <w:shd w:val="clear" w:color="auto" w:fill="auto"/>
          </w:tcPr>
          <w:p w14:paraId="075DC1F3" w14:textId="77777777" w:rsidR="00047A8D" w:rsidRPr="0021037A" w:rsidRDefault="00047A8D" w:rsidP="0064444E">
            <w:pPr>
              <w:rPr>
                <w:rFonts w:asciiTheme="minorHAnsi" w:hAnsiTheme="minorHAnsi" w:cstheme="minorHAnsi"/>
              </w:rPr>
            </w:pPr>
            <w:r w:rsidRPr="0021037A">
              <w:rPr>
                <w:rFonts w:asciiTheme="minorHAnsi" w:hAnsiTheme="minorHAnsi" w:cstheme="minorHAnsi"/>
              </w:rPr>
              <w:t>II. NDËRLIDHJA E ZGJIDHJEVE TË PËRFSHIRA NË DISPOZITAT E PROPOZUARA</w:t>
            </w:r>
          </w:p>
        </w:tc>
      </w:tr>
      <w:tr w:rsidR="00047A8D" w:rsidRPr="0021037A" w14:paraId="6CFC3584" w14:textId="77777777" w:rsidTr="00047A8D">
        <w:tc>
          <w:tcPr>
            <w:tcW w:w="4500" w:type="dxa"/>
            <w:shd w:val="clear" w:color="auto" w:fill="auto"/>
          </w:tcPr>
          <w:p w14:paraId="4532323E" w14:textId="77777777" w:rsidR="00047A8D" w:rsidRPr="0021037A" w:rsidRDefault="00047A8D" w:rsidP="0064444E">
            <w:pPr>
              <w:rPr>
                <w:rFonts w:asciiTheme="minorHAnsi" w:hAnsiTheme="minorHAnsi" w:cstheme="minorHAnsi"/>
              </w:rPr>
            </w:pPr>
          </w:p>
        </w:tc>
        <w:tc>
          <w:tcPr>
            <w:tcW w:w="4526" w:type="dxa"/>
            <w:shd w:val="clear" w:color="auto" w:fill="auto"/>
          </w:tcPr>
          <w:p w14:paraId="31BE4F7D" w14:textId="77777777" w:rsidR="00047A8D" w:rsidRPr="0021037A" w:rsidRDefault="00047A8D" w:rsidP="0064444E">
            <w:pPr>
              <w:rPr>
                <w:rFonts w:asciiTheme="minorHAnsi" w:hAnsiTheme="minorHAnsi" w:cstheme="minorHAnsi"/>
              </w:rPr>
            </w:pPr>
          </w:p>
        </w:tc>
      </w:tr>
      <w:tr w:rsidR="00047A8D" w:rsidRPr="0021037A" w14:paraId="63C65228" w14:textId="77777777" w:rsidTr="00047A8D">
        <w:tc>
          <w:tcPr>
            <w:tcW w:w="4500" w:type="dxa"/>
            <w:shd w:val="clear" w:color="auto" w:fill="auto"/>
          </w:tcPr>
          <w:p w14:paraId="62D28CEA" w14:textId="77777777" w:rsidR="002B7BD8" w:rsidRPr="00611AE3" w:rsidRDefault="002B7BD8" w:rsidP="002B7BD8">
            <w:pPr>
              <w:rPr>
                <w:rFonts w:ascii="Arial" w:hAnsi="Arial" w:cs="Arial"/>
                <w:sz w:val="22"/>
                <w:szCs w:val="22"/>
              </w:rPr>
            </w:pPr>
            <w:r w:rsidRPr="00611AE3">
              <w:rPr>
                <w:rFonts w:ascii="Arial" w:hAnsi="Arial" w:cs="Arial"/>
                <w:sz w:val="22"/>
                <w:szCs w:val="22"/>
              </w:rPr>
              <w:t xml:space="preserve">Предложените решенија со овој </w:t>
            </w:r>
            <w:r>
              <w:rPr>
                <w:rFonts w:ascii="Arial" w:hAnsi="Arial" w:cs="Arial"/>
                <w:sz w:val="22"/>
                <w:szCs w:val="22"/>
              </w:rPr>
              <w:t>п</w:t>
            </w:r>
            <w:r w:rsidRPr="00611AE3">
              <w:rPr>
                <w:rFonts w:ascii="Arial" w:hAnsi="Arial" w:cs="Arial"/>
                <w:sz w:val="22"/>
                <w:szCs w:val="22"/>
              </w:rPr>
              <w:t xml:space="preserve">редлог </w:t>
            </w:r>
            <w:r>
              <w:rPr>
                <w:rFonts w:ascii="Arial" w:hAnsi="Arial" w:cs="Arial"/>
                <w:sz w:val="22"/>
                <w:szCs w:val="22"/>
              </w:rPr>
              <w:t xml:space="preserve">- </w:t>
            </w:r>
            <w:r w:rsidRPr="00611AE3">
              <w:rPr>
                <w:rFonts w:ascii="Arial" w:hAnsi="Arial" w:cs="Arial"/>
                <w:sz w:val="22"/>
                <w:szCs w:val="22"/>
              </w:rPr>
              <w:t>закон, меѓусебно се поврзани и се надополнуваат.</w:t>
            </w:r>
          </w:p>
          <w:p w14:paraId="229DF141" w14:textId="468120C2" w:rsidR="00047A8D" w:rsidRPr="0021037A" w:rsidRDefault="00047A8D" w:rsidP="0064444E">
            <w:pPr>
              <w:rPr>
                <w:rFonts w:asciiTheme="minorHAnsi" w:hAnsiTheme="minorHAnsi" w:cstheme="minorHAnsi"/>
              </w:rPr>
            </w:pPr>
          </w:p>
        </w:tc>
        <w:tc>
          <w:tcPr>
            <w:tcW w:w="4526" w:type="dxa"/>
            <w:shd w:val="clear" w:color="auto" w:fill="auto"/>
          </w:tcPr>
          <w:p w14:paraId="324A5379" w14:textId="77777777" w:rsidR="0034263A" w:rsidRPr="000D5FDC" w:rsidRDefault="0034263A" w:rsidP="0034263A">
            <w:pPr>
              <w:rPr>
                <w:rFonts w:ascii="Arial" w:hAnsi="Arial" w:cs="Arial"/>
                <w:sz w:val="22"/>
                <w:szCs w:val="22"/>
                <w:lang w:val="sq-AL"/>
              </w:rPr>
            </w:pPr>
            <w:r w:rsidRPr="000D5FDC">
              <w:rPr>
                <w:rFonts w:ascii="Arial" w:hAnsi="Arial" w:cs="Arial"/>
                <w:sz w:val="22"/>
                <w:szCs w:val="22"/>
                <w:lang w:val="sq-AL"/>
              </w:rPr>
              <w:t>Zgjidhjet e propozuara me këtë propozim- ligj janë të ndërlidhura mes vete dhe e plotësojnë njëra-tjetrën.</w:t>
            </w:r>
          </w:p>
          <w:p w14:paraId="203D1E76" w14:textId="5DF9AB70" w:rsidR="00047A8D" w:rsidRPr="0021037A" w:rsidRDefault="00047A8D" w:rsidP="0064444E">
            <w:pPr>
              <w:rPr>
                <w:rFonts w:asciiTheme="minorHAnsi" w:hAnsiTheme="minorHAnsi" w:cstheme="minorHAnsi"/>
              </w:rPr>
            </w:pPr>
          </w:p>
        </w:tc>
      </w:tr>
      <w:tr w:rsidR="00047A8D" w:rsidRPr="0021037A" w14:paraId="22266FE2" w14:textId="77777777" w:rsidTr="00047A8D">
        <w:tc>
          <w:tcPr>
            <w:tcW w:w="4500" w:type="dxa"/>
            <w:shd w:val="clear" w:color="auto" w:fill="auto"/>
          </w:tcPr>
          <w:p w14:paraId="4A4AB8B3" w14:textId="77777777" w:rsidR="00047A8D" w:rsidRPr="0021037A" w:rsidRDefault="00047A8D" w:rsidP="0064444E">
            <w:pPr>
              <w:rPr>
                <w:rFonts w:asciiTheme="minorHAnsi" w:hAnsiTheme="minorHAnsi" w:cstheme="minorHAnsi"/>
              </w:rPr>
            </w:pPr>
          </w:p>
        </w:tc>
        <w:tc>
          <w:tcPr>
            <w:tcW w:w="4526" w:type="dxa"/>
            <w:shd w:val="clear" w:color="auto" w:fill="auto"/>
          </w:tcPr>
          <w:p w14:paraId="2F9C81A5" w14:textId="77777777" w:rsidR="00047A8D" w:rsidRPr="0021037A" w:rsidRDefault="00047A8D" w:rsidP="0064444E">
            <w:pPr>
              <w:rPr>
                <w:rFonts w:asciiTheme="minorHAnsi" w:hAnsiTheme="minorHAnsi" w:cstheme="minorHAnsi"/>
              </w:rPr>
            </w:pPr>
          </w:p>
        </w:tc>
      </w:tr>
      <w:tr w:rsidR="00047A8D" w:rsidRPr="0021037A" w14:paraId="364DED13" w14:textId="77777777" w:rsidTr="00047A8D">
        <w:tc>
          <w:tcPr>
            <w:tcW w:w="4500" w:type="dxa"/>
            <w:shd w:val="clear" w:color="auto" w:fill="auto"/>
          </w:tcPr>
          <w:p w14:paraId="379EFBE1" w14:textId="77777777" w:rsidR="00047A8D" w:rsidRPr="0021037A" w:rsidRDefault="00047A8D" w:rsidP="0064444E">
            <w:pPr>
              <w:rPr>
                <w:rFonts w:asciiTheme="minorHAnsi" w:hAnsiTheme="minorHAnsi" w:cstheme="minorHAnsi"/>
              </w:rPr>
            </w:pPr>
            <w:r w:rsidRPr="0021037A">
              <w:rPr>
                <w:rFonts w:asciiTheme="minorHAnsi" w:hAnsiTheme="minorHAnsi" w:cstheme="minorHAnsi"/>
              </w:rPr>
              <w:t>III</w:t>
            </w:r>
            <w:r w:rsidRPr="0021037A">
              <w:rPr>
                <w:rFonts w:asciiTheme="minorHAnsi" w:hAnsiTheme="minorHAnsi" w:cstheme="minorHAnsi"/>
                <w:lang w:val="ru-RU"/>
              </w:rPr>
              <w:t>.</w:t>
            </w:r>
            <w:r w:rsidRPr="0021037A">
              <w:rPr>
                <w:rFonts w:asciiTheme="minorHAnsi" w:hAnsiTheme="minorHAnsi" w:cstheme="minorHAnsi"/>
              </w:rPr>
              <w:t xml:space="preserve"> ПОСЛЕДИЦИ ШТО ЌЕ ПРОИЗЛЕЗАТ</w:t>
            </w:r>
            <w:r w:rsidRPr="0021037A">
              <w:rPr>
                <w:rFonts w:asciiTheme="minorHAnsi" w:hAnsiTheme="minorHAnsi" w:cstheme="minorHAnsi"/>
                <w:lang w:val="ru-RU"/>
              </w:rPr>
              <w:t xml:space="preserve"> </w:t>
            </w:r>
            <w:r w:rsidRPr="0021037A">
              <w:rPr>
                <w:rFonts w:asciiTheme="minorHAnsi" w:hAnsiTheme="minorHAnsi" w:cstheme="minorHAnsi"/>
              </w:rPr>
              <w:t>ОД ПРЕДЛОЖЕНИТЕ РЕШЕНИЈА</w:t>
            </w:r>
          </w:p>
        </w:tc>
        <w:tc>
          <w:tcPr>
            <w:tcW w:w="4526" w:type="dxa"/>
            <w:shd w:val="clear" w:color="auto" w:fill="auto"/>
          </w:tcPr>
          <w:p w14:paraId="6931CB37" w14:textId="77777777" w:rsidR="00047A8D" w:rsidRPr="0021037A" w:rsidRDefault="00047A8D" w:rsidP="0064444E">
            <w:pPr>
              <w:rPr>
                <w:rFonts w:asciiTheme="minorHAnsi" w:hAnsiTheme="minorHAnsi" w:cstheme="minorHAnsi"/>
              </w:rPr>
            </w:pPr>
            <w:r w:rsidRPr="0021037A">
              <w:rPr>
                <w:rFonts w:asciiTheme="minorHAnsi" w:hAnsiTheme="minorHAnsi" w:cstheme="minorHAnsi"/>
              </w:rPr>
              <w:t>III PASOJAT QË DO TË DALIN NGA ZGJIDHJET E PROPOZUARA</w:t>
            </w:r>
          </w:p>
        </w:tc>
      </w:tr>
      <w:tr w:rsidR="00047A8D" w:rsidRPr="0021037A" w14:paraId="702589EC" w14:textId="77777777" w:rsidTr="00047A8D">
        <w:tc>
          <w:tcPr>
            <w:tcW w:w="4500" w:type="dxa"/>
            <w:shd w:val="clear" w:color="auto" w:fill="auto"/>
          </w:tcPr>
          <w:p w14:paraId="668CC18D" w14:textId="77777777" w:rsidR="00047A8D" w:rsidRPr="0021037A" w:rsidRDefault="00047A8D" w:rsidP="0064444E">
            <w:pPr>
              <w:rPr>
                <w:rFonts w:asciiTheme="minorHAnsi" w:hAnsiTheme="minorHAnsi" w:cstheme="minorHAnsi"/>
                <w:b/>
              </w:rPr>
            </w:pPr>
          </w:p>
        </w:tc>
        <w:tc>
          <w:tcPr>
            <w:tcW w:w="4526" w:type="dxa"/>
            <w:shd w:val="clear" w:color="auto" w:fill="auto"/>
          </w:tcPr>
          <w:p w14:paraId="40EA1B49" w14:textId="77777777" w:rsidR="00047A8D" w:rsidRPr="0021037A" w:rsidRDefault="00047A8D" w:rsidP="0064444E">
            <w:pPr>
              <w:rPr>
                <w:rFonts w:asciiTheme="minorHAnsi" w:hAnsiTheme="minorHAnsi" w:cstheme="minorHAnsi"/>
                <w:b/>
              </w:rPr>
            </w:pPr>
          </w:p>
        </w:tc>
      </w:tr>
      <w:tr w:rsidR="00047A8D" w:rsidRPr="0021037A" w14:paraId="762490B3" w14:textId="77777777" w:rsidTr="00047A8D">
        <w:tc>
          <w:tcPr>
            <w:tcW w:w="4500" w:type="dxa"/>
            <w:shd w:val="clear" w:color="auto" w:fill="auto"/>
          </w:tcPr>
          <w:p w14:paraId="373C2887" w14:textId="0937C66E" w:rsidR="002C406A" w:rsidRDefault="00047A8D" w:rsidP="002C406A">
            <w:pPr>
              <w:rPr>
                <w:rFonts w:ascii="Arial" w:hAnsi="Arial" w:cs="Arial"/>
                <w:sz w:val="22"/>
                <w:szCs w:val="22"/>
              </w:rPr>
            </w:pPr>
            <w:r w:rsidRPr="0021037A">
              <w:rPr>
                <w:rFonts w:asciiTheme="minorHAnsi" w:hAnsiTheme="minorHAnsi" w:cstheme="minorHAnsi"/>
              </w:rPr>
              <w:t xml:space="preserve"> </w:t>
            </w:r>
            <w:r w:rsidR="002C406A" w:rsidRPr="00611AE3">
              <w:rPr>
                <w:rFonts w:ascii="Arial" w:hAnsi="Arial" w:cs="Arial"/>
                <w:sz w:val="22"/>
                <w:szCs w:val="22"/>
              </w:rPr>
              <w:t>Законот за изменување</w:t>
            </w:r>
            <w:r w:rsidR="002C406A">
              <w:rPr>
                <w:rFonts w:ascii="Arial" w:hAnsi="Arial" w:cs="Arial"/>
                <w:sz w:val="22"/>
                <w:szCs w:val="22"/>
              </w:rPr>
              <w:t xml:space="preserve"> и дополнување</w:t>
            </w:r>
            <w:r w:rsidR="002C406A" w:rsidRPr="00611AE3">
              <w:rPr>
                <w:rFonts w:ascii="Arial" w:hAnsi="Arial" w:cs="Arial"/>
                <w:sz w:val="22"/>
                <w:szCs w:val="22"/>
              </w:rPr>
              <w:t xml:space="preserve">  на Законот за</w:t>
            </w:r>
            <w:r w:rsidR="002C406A">
              <w:rPr>
                <w:rFonts w:ascii="Arial" w:hAnsi="Arial" w:cs="Arial"/>
                <w:sz w:val="22"/>
                <w:szCs w:val="22"/>
              </w:rPr>
              <w:t xml:space="preserve"> утврдување на цените на водните услуги</w:t>
            </w:r>
            <w:r w:rsidR="002C406A" w:rsidRPr="00611AE3">
              <w:rPr>
                <w:rFonts w:ascii="Arial" w:hAnsi="Arial" w:cs="Arial"/>
                <w:sz w:val="22"/>
                <w:szCs w:val="22"/>
              </w:rPr>
              <w:t xml:space="preserve"> ќе овозможи воспоставување на воедначена прекршочна политика, со која ќе се оствари превентивната улога на казните, со цел </w:t>
            </w:r>
            <w:r w:rsidR="002C406A">
              <w:rPr>
                <w:rFonts w:ascii="Arial" w:hAnsi="Arial" w:cs="Arial"/>
                <w:sz w:val="22"/>
                <w:szCs w:val="22"/>
              </w:rPr>
              <w:t xml:space="preserve">обезбедување на финансиски </w:t>
            </w:r>
            <w:proofErr w:type="spellStart"/>
            <w:r w:rsidR="002C406A">
              <w:rPr>
                <w:rFonts w:ascii="Arial" w:hAnsi="Arial" w:cs="Arial"/>
                <w:sz w:val="22"/>
                <w:szCs w:val="22"/>
              </w:rPr>
              <w:t>самоодржлив</w:t>
            </w:r>
            <w:proofErr w:type="spellEnd"/>
            <w:r w:rsidR="002C406A">
              <w:rPr>
                <w:rFonts w:ascii="Arial" w:hAnsi="Arial" w:cs="Arial"/>
                <w:sz w:val="22"/>
                <w:szCs w:val="22"/>
              </w:rPr>
              <w:t xml:space="preserve"> систем</w:t>
            </w:r>
            <w:r w:rsidR="002C406A" w:rsidRPr="00611AE3">
              <w:rPr>
                <w:rFonts w:ascii="Arial" w:hAnsi="Arial" w:cs="Arial"/>
                <w:sz w:val="22"/>
                <w:szCs w:val="22"/>
              </w:rPr>
              <w:t>. Пропорционалната казнена политика овозможува спроведување на материјалниот закон и наплата на глобите во случај на сторување на прекршок.</w:t>
            </w:r>
          </w:p>
          <w:p w14:paraId="3BC4108D" w14:textId="6BBBB99A" w:rsidR="00EE04E8" w:rsidRDefault="00EE04E8" w:rsidP="002C406A">
            <w:pPr>
              <w:rPr>
                <w:rFonts w:ascii="Arial" w:hAnsi="Arial" w:cs="Arial"/>
                <w:sz w:val="22"/>
                <w:szCs w:val="22"/>
              </w:rPr>
            </w:pPr>
          </w:p>
          <w:p w14:paraId="1BCC349F" w14:textId="040B6BFE" w:rsidR="00EE04E8" w:rsidRDefault="00EE04E8" w:rsidP="002C406A">
            <w:pPr>
              <w:rPr>
                <w:rFonts w:ascii="Arial" w:hAnsi="Arial" w:cs="Arial"/>
                <w:sz w:val="22"/>
                <w:szCs w:val="22"/>
              </w:rPr>
            </w:pPr>
          </w:p>
          <w:p w14:paraId="453A938A" w14:textId="33296549" w:rsidR="00EE04E8" w:rsidRDefault="00EE04E8" w:rsidP="002C406A">
            <w:pPr>
              <w:rPr>
                <w:rFonts w:ascii="StobiSerif Regular" w:hAnsi="StobiSerif Regular" w:cs="Arial"/>
                <w:b/>
              </w:rPr>
            </w:pPr>
            <w:r>
              <w:rPr>
                <w:rFonts w:ascii="StobiSerif Regular" w:hAnsi="StobiSerif Regular" w:cs="Arial"/>
                <w:b/>
              </w:rPr>
              <w:t>ОДРЕДБИ ШТО СЕ МЕНУВААТ И ДОПОЛНУВААТ</w:t>
            </w:r>
          </w:p>
          <w:p w14:paraId="561F6687" w14:textId="0DAD2E0D" w:rsidR="00EE04E8" w:rsidRDefault="00EE04E8" w:rsidP="002C406A">
            <w:pPr>
              <w:rPr>
                <w:rFonts w:ascii="StobiSerif Regular" w:hAnsi="StobiSerif Regular" w:cs="Arial"/>
                <w:b/>
              </w:rPr>
            </w:pPr>
          </w:p>
          <w:p w14:paraId="47CC5681" w14:textId="0CFDD4C9" w:rsidR="00EE04E8" w:rsidRDefault="00EE04E8" w:rsidP="002C406A">
            <w:pPr>
              <w:rPr>
                <w:rFonts w:ascii="StobiSerif Regular" w:hAnsi="StobiSerif Regular" w:cs="Arial"/>
                <w:b/>
              </w:rPr>
            </w:pPr>
            <w:r>
              <w:rPr>
                <w:rFonts w:ascii="StobiSerif Regular" w:hAnsi="StobiSerif Regular" w:cs="Arial"/>
                <w:b/>
              </w:rPr>
              <w:t>VI. ПРЕКРШОЧНИ ОДРЕДБИ</w:t>
            </w:r>
          </w:p>
          <w:p w14:paraId="00D8D6A6" w14:textId="19AF578D" w:rsidR="00EE04E8" w:rsidRDefault="00EE04E8" w:rsidP="002C406A">
            <w:pPr>
              <w:rPr>
                <w:rFonts w:ascii="StobiSerif Regular" w:hAnsi="StobiSerif Regular" w:cs="Arial"/>
                <w:b/>
              </w:rPr>
            </w:pPr>
          </w:p>
          <w:p w14:paraId="76BE8D5E" w14:textId="07424FFE" w:rsidR="00EE04E8" w:rsidRDefault="00EE04E8" w:rsidP="002C406A">
            <w:pPr>
              <w:rPr>
                <w:rFonts w:ascii="StobiSerif Regular" w:hAnsi="StobiSerif Regular" w:cs="Arial"/>
                <w:b/>
              </w:rPr>
            </w:pPr>
          </w:p>
          <w:p w14:paraId="19BAB237" w14:textId="77777777" w:rsidR="00EE04E8" w:rsidRDefault="00EE04E8" w:rsidP="00EE04E8">
            <w:pPr>
              <w:jc w:val="center"/>
              <w:rPr>
                <w:rFonts w:ascii="StobiSerif Regular" w:hAnsi="StobiSerif Regular" w:cs="Arial"/>
                <w:b/>
              </w:rPr>
            </w:pPr>
            <w:r>
              <w:rPr>
                <w:rFonts w:ascii="StobiSerif Regular" w:hAnsi="StobiSerif Regular" w:cs="Arial"/>
                <w:b/>
              </w:rPr>
              <w:t>Член 27</w:t>
            </w:r>
          </w:p>
          <w:p w14:paraId="2A53AFB0" w14:textId="77777777" w:rsidR="00EE04E8" w:rsidRDefault="00EE04E8" w:rsidP="00EE04E8">
            <w:pPr>
              <w:rPr>
                <w:rFonts w:ascii="StobiSerif Regular" w:hAnsi="StobiSerif Regular" w:cs="Arial"/>
                <w:bCs/>
              </w:rPr>
            </w:pPr>
            <w:r>
              <w:rPr>
                <w:rFonts w:ascii="StobiSerif Regular" w:hAnsi="StobiSerif Regular" w:cs="Arial"/>
                <w:bCs/>
              </w:rPr>
              <w:t xml:space="preserve">Прекршочни санкции за </w:t>
            </w:r>
            <w:proofErr w:type="spellStart"/>
            <w:r>
              <w:rPr>
                <w:rFonts w:ascii="StobiSerif Regular" w:hAnsi="StobiSerif Regular" w:cs="Arial"/>
                <w:bCs/>
              </w:rPr>
              <w:t>правнте</w:t>
            </w:r>
            <w:proofErr w:type="spellEnd"/>
            <w:r>
              <w:rPr>
                <w:rFonts w:ascii="StobiSerif Regular" w:hAnsi="StobiSerif Regular" w:cs="Arial"/>
                <w:bCs/>
              </w:rPr>
              <w:t xml:space="preserve"> лица даватели на водни услуги</w:t>
            </w:r>
          </w:p>
          <w:p w14:paraId="6787C641" w14:textId="77777777" w:rsidR="00EE04E8" w:rsidRDefault="00EE04E8" w:rsidP="00EE04E8">
            <w:pPr>
              <w:rPr>
                <w:rFonts w:ascii="StobiSerif Regular" w:hAnsi="StobiSerif Regular" w:cs="Arial"/>
                <w:bCs/>
              </w:rPr>
            </w:pPr>
            <w:r>
              <w:rPr>
                <w:rFonts w:ascii="StobiSerif Regular" w:hAnsi="StobiSerif Regular" w:cs="Arial"/>
                <w:bCs/>
              </w:rPr>
              <w:t>(1) Глоба во износ од 6.000 евра во денарска противвредност ќе му се изрече за сторен</w:t>
            </w:r>
          </w:p>
          <w:p w14:paraId="5ECDAB37" w14:textId="77777777" w:rsidR="00EE04E8" w:rsidRDefault="00EE04E8" w:rsidP="00EE04E8">
            <w:pPr>
              <w:rPr>
                <w:rFonts w:ascii="StobiSerif Regular" w:hAnsi="StobiSerif Regular" w:cs="Arial"/>
                <w:bCs/>
              </w:rPr>
            </w:pPr>
            <w:r>
              <w:rPr>
                <w:rFonts w:ascii="StobiSerif Regular" w:hAnsi="StobiSerif Regular" w:cs="Arial"/>
                <w:bCs/>
              </w:rPr>
              <w:t>прекршок на давател на водната услуга, ако:</w:t>
            </w:r>
          </w:p>
          <w:p w14:paraId="132E43A3" w14:textId="77777777" w:rsidR="00EE04E8" w:rsidRDefault="00EE04E8" w:rsidP="00EE04E8">
            <w:r>
              <w:rPr>
                <w:rFonts w:ascii="StobiSerif Regular" w:hAnsi="StobiSerif Regular" w:cs="Arial"/>
                <w:bCs/>
              </w:rPr>
              <w:t>- нема доставено барање за утврдување на тарифи за водни услуги до Регулаторната комисија согласно со членот 11 од овој закон,</w:t>
            </w:r>
          </w:p>
          <w:p w14:paraId="70E571D8" w14:textId="77777777" w:rsidR="00EE04E8" w:rsidRDefault="00EE04E8" w:rsidP="00EE04E8">
            <w:r>
              <w:rPr>
                <w:rFonts w:ascii="StobiSerif Regular" w:hAnsi="StobiSerif Regular" w:cs="Arial"/>
                <w:bCs/>
              </w:rPr>
              <w:t>- одлуката од членот 13 став (11) од овој закон не е донесена во рок 15 дена од денот на прием на решението за утврдување на тарифи за водни услуги,</w:t>
            </w:r>
          </w:p>
          <w:p w14:paraId="2D4D5D10" w14:textId="77777777" w:rsidR="00EE04E8" w:rsidRDefault="00EE04E8" w:rsidP="00EE04E8">
            <w:pPr>
              <w:rPr>
                <w:rFonts w:ascii="StobiSerif Regular" w:hAnsi="StobiSerif Regular" w:cs="Arial"/>
                <w:bCs/>
              </w:rPr>
            </w:pPr>
            <w:r>
              <w:rPr>
                <w:rFonts w:ascii="StobiSerif Regular" w:hAnsi="StobiSerif Regular" w:cs="Arial"/>
                <w:bCs/>
              </w:rPr>
              <w:lastRenderedPageBreak/>
              <w:t>- одлуката од членот 13 став (11) од овој закон не е доставена во рок од осум дена од</w:t>
            </w:r>
          </w:p>
          <w:p w14:paraId="0BF7F061" w14:textId="77777777" w:rsidR="00EE04E8" w:rsidRDefault="00EE04E8" w:rsidP="00EE04E8">
            <w:r>
              <w:rPr>
                <w:rFonts w:ascii="StobiSerif Regular" w:hAnsi="StobiSerif Regular" w:cs="Arial"/>
                <w:bCs/>
              </w:rPr>
              <w:t>денот на донесувањето до градоначалникот на општината, општината во град Скопје, односно на градот Скопје заради давање согласност на одлуката,</w:t>
            </w:r>
          </w:p>
          <w:p w14:paraId="41CD6A3E" w14:textId="77777777" w:rsidR="00EE04E8" w:rsidRDefault="00EE04E8" w:rsidP="00EE04E8">
            <w:pPr>
              <w:rPr>
                <w:rFonts w:ascii="StobiSerif Regular" w:hAnsi="StobiSerif Regular" w:cs="Arial"/>
                <w:bCs/>
              </w:rPr>
            </w:pPr>
            <w:r>
              <w:rPr>
                <w:rFonts w:ascii="StobiSerif Regular" w:hAnsi="StobiSerif Regular" w:cs="Arial"/>
                <w:bCs/>
              </w:rPr>
              <w:t>- не е донесена одлука за утврдување на тарифата за водна услуга (член 13 став (13),</w:t>
            </w:r>
          </w:p>
          <w:p w14:paraId="00719E6D" w14:textId="77777777" w:rsidR="00EE04E8" w:rsidRDefault="00EE04E8" w:rsidP="00EE04E8">
            <w:r>
              <w:rPr>
                <w:rFonts w:ascii="StobiSerif Regular" w:hAnsi="StobiSerif Regular" w:cs="Arial"/>
                <w:bCs/>
              </w:rPr>
              <w:t>- примената на регулаторната тарифа за водни услуги не започнала да се применува во рок од 45 дена (член 14 став (2), член 15 став (10)) од овој закон,</w:t>
            </w:r>
          </w:p>
          <w:p w14:paraId="21D75D2B" w14:textId="77777777" w:rsidR="00EE04E8" w:rsidRDefault="00EE04E8" w:rsidP="00EE04E8">
            <w:pPr>
              <w:rPr>
                <w:rFonts w:ascii="StobiSerif Regular" w:hAnsi="StobiSerif Regular" w:cs="Arial"/>
                <w:bCs/>
              </w:rPr>
            </w:pPr>
            <w:r>
              <w:rPr>
                <w:rFonts w:ascii="StobiSerif Regular" w:hAnsi="StobiSerif Regular" w:cs="Arial"/>
                <w:bCs/>
              </w:rPr>
              <w:t>- не ги усогласил одлуките со решенијата донесени од страна на Регулаторната</w:t>
            </w:r>
          </w:p>
          <w:p w14:paraId="5E1DFC7C" w14:textId="77777777" w:rsidR="00EE04E8" w:rsidRDefault="00EE04E8" w:rsidP="00EE04E8">
            <w:pPr>
              <w:rPr>
                <w:rFonts w:ascii="StobiSerif Regular" w:hAnsi="StobiSerif Regular" w:cs="Arial"/>
                <w:bCs/>
              </w:rPr>
            </w:pPr>
            <w:r>
              <w:rPr>
                <w:rFonts w:ascii="StobiSerif Regular" w:hAnsi="StobiSerif Regular" w:cs="Arial"/>
                <w:bCs/>
              </w:rPr>
              <w:t>комисија (член 14 став (3)) и</w:t>
            </w:r>
          </w:p>
          <w:p w14:paraId="3F6BF96D" w14:textId="77777777" w:rsidR="00EE04E8" w:rsidRDefault="00EE04E8" w:rsidP="00EE04E8">
            <w:pPr>
              <w:rPr>
                <w:rFonts w:ascii="StobiSerif Regular" w:hAnsi="StobiSerif Regular" w:cs="Arial"/>
                <w:bCs/>
              </w:rPr>
            </w:pPr>
            <w:r>
              <w:rPr>
                <w:rFonts w:ascii="StobiSerif Regular" w:hAnsi="StobiSerif Regular" w:cs="Arial"/>
                <w:bCs/>
              </w:rPr>
              <w:t>- не ги стави на располагање сите податоци и информации кои се потребни за</w:t>
            </w:r>
          </w:p>
          <w:p w14:paraId="2C4C9A9F" w14:textId="77777777" w:rsidR="00EE04E8" w:rsidRDefault="00EE04E8" w:rsidP="00EE04E8">
            <w:pPr>
              <w:rPr>
                <w:rFonts w:ascii="StobiSerif Regular" w:hAnsi="StobiSerif Regular" w:cs="Arial"/>
                <w:bCs/>
              </w:rPr>
            </w:pPr>
            <w:r>
              <w:rPr>
                <w:rFonts w:ascii="StobiSerif Regular" w:hAnsi="StobiSerif Regular" w:cs="Arial"/>
                <w:bCs/>
              </w:rPr>
              <w:t>подготовка на План за прилагодување (член 15 став (3)).</w:t>
            </w:r>
          </w:p>
          <w:p w14:paraId="11D49F4E" w14:textId="77777777" w:rsidR="00EE04E8" w:rsidRDefault="00EE04E8" w:rsidP="00EE04E8">
            <w:pPr>
              <w:rPr>
                <w:rFonts w:ascii="StobiSerif Regular" w:hAnsi="StobiSerif Regular" w:cs="Arial"/>
                <w:bCs/>
              </w:rPr>
            </w:pPr>
            <w:r>
              <w:rPr>
                <w:rFonts w:ascii="StobiSerif Regular" w:hAnsi="StobiSerif Regular" w:cs="Arial"/>
                <w:bCs/>
              </w:rPr>
              <w:t>(2) Глоба во износ од 15.000 ера во денарска противвредност ќе му се изрече за сторен</w:t>
            </w:r>
          </w:p>
          <w:p w14:paraId="24F02923" w14:textId="77777777" w:rsidR="00EE04E8" w:rsidRDefault="00EE04E8" w:rsidP="00EE04E8">
            <w:pPr>
              <w:rPr>
                <w:rFonts w:ascii="StobiSerif Regular" w:hAnsi="StobiSerif Regular" w:cs="Arial"/>
                <w:bCs/>
              </w:rPr>
            </w:pPr>
            <w:r>
              <w:rPr>
                <w:rFonts w:ascii="StobiSerif Regular" w:hAnsi="StobiSerif Regular" w:cs="Arial"/>
                <w:bCs/>
              </w:rPr>
              <w:t>прекршок на давател на водната услуга, ако:</w:t>
            </w:r>
          </w:p>
          <w:p w14:paraId="2C66E73A" w14:textId="77777777" w:rsidR="00EE04E8" w:rsidRDefault="00EE04E8" w:rsidP="00EE04E8">
            <w:r>
              <w:rPr>
                <w:rFonts w:ascii="StobiSerif Regular" w:hAnsi="StobiSerif Regular" w:cs="Arial"/>
                <w:bCs/>
              </w:rPr>
              <w:t xml:space="preserve">- податоците во Планот за прилагодување и податоците и </w:t>
            </w:r>
            <w:proofErr w:type="spellStart"/>
            <w:r>
              <w:rPr>
                <w:rFonts w:ascii="StobiSerif Regular" w:hAnsi="StobiSerif Regular" w:cs="Arial"/>
                <w:bCs/>
              </w:rPr>
              <w:t>извешаите</w:t>
            </w:r>
            <w:proofErr w:type="spellEnd"/>
            <w:r>
              <w:rPr>
                <w:rFonts w:ascii="StobiSerif Regular" w:hAnsi="StobiSerif Regular" w:cs="Arial"/>
                <w:bCs/>
              </w:rPr>
              <w:t xml:space="preserve"> од бизнис планот не се точни и веродостојни и не се во согласност со сметководствената и другата документација на </w:t>
            </w:r>
            <w:r>
              <w:rPr>
                <w:rFonts w:ascii="StobiSerif Regular" w:hAnsi="StobiSerif Regular" w:cs="Arial"/>
                <w:bCs/>
              </w:rPr>
              <w:lastRenderedPageBreak/>
              <w:t>давателот на водната услуга (член 11 став 10),</w:t>
            </w:r>
          </w:p>
          <w:p w14:paraId="02C168CD" w14:textId="77777777" w:rsidR="00EE04E8" w:rsidRDefault="00EE04E8" w:rsidP="00EE04E8">
            <w:pPr>
              <w:rPr>
                <w:rFonts w:ascii="StobiSerif Regular" w:hAnsi="StobiSerif Regular" w:cs="Arial"/>
                <w:bCs/>
              </w:rPr>
            </w:pPr>
            <w:r>
              <w:rPr>
                <w:rFonts w:ascii="StobiSerif Regular" w:hAnsi="StobiSerif Regular" w:cs="Arial"/>
                <w:bCs/>
              </w:rPr>
              <w:t>- не ги почитува условите под кои е утврдена тарифата за водни услуги, (член 14 став</w:t>
            </w:r>
          </w:p>
          <w:p w14:paraId="50DE33F3" w14:textId="77777777" w:rsidR="00EE04E8" w:rsidRDefault="00EE04E8" w:rsidP="00EE04E8">
            <w:pPr>
              <w:rPr>
                <w:rFonts w:ascii="StobiSerif Regular" w:hAnsi="StobiSerif Regular" w:cs="Arial"/>
                <w:bCs/>
              </w:rPr>
            </w:pPr>
            <w:r>
              <w:rPr>
                <w:rFonts w:ascii="StobiSerif Regular" w:hAnsi="StobiSerif Regular" w:cs="Arial"/>
                <w:bCs/>
              </w:rPr>
              <w:t>(4)) и</w:t>
            </w:r>
          </w:p>
          <w:p w14:paraId="777BC2F3" w14:textId="77777777" w:rsidR="00EE04E8" w:rsidRDefault="00EE04E8" w:rsidP="00EE04E8">
            <w:pPr>
              <w:rPr>
                <w:rFonts w:ascii="StobiSerif Regular" w:hAnsi="StobiSerif Regular" w:cs="Arial"/>
                <w:bCs/>
              </w:rPr>
            </w:pPr>
            <w:r>
              <w:rPr>
                <w:rFonts w:ascii="StobiSerif Regular" w:hAnsi="StobiSerif Regular" w:cs="Arial"/>
                <w:bCs/>
              </w:rPr>
              <w:t>- не и обезбедил пристап во сопствените простории за вршење на увид на</w:t>
            </w:r>
          </w:p>
          <w:p w14:paraId="61F2D4AB" w14:textId="77777777" w:rsidR="00EE04E8" w:rsidRDefault="00EE04E8" w:rsidP="00EE04E8">
            <w:r>
              <w:rPr>
                <w:rFonts w:ascii="StobiSerif Regular" w:hAnsi="StobiSerif Regular" w:cs="Arial"/>
                <w:bCs/>
              </w:rPr>
              <w:t>Регулаторната комисија и не ја достави на увид целокупната документација потребна за вршење на увидот (член 24 став (2)).</w:t>
            </w:r>
          </w:p>
          <w:p w14:paraId="3BD58FA5" w14:textId="77777777" w:rsidR="00EE04E8" w:rsidRDefault="00EE04E8" w:rsidP="00EE04E8">
            <w:r>
              <w:rPr>
                <w:rFonts w:ascii="StobiSerif Regular" w:hAnsi="StobiSerif Regular" w:cs="Arial"/>
                <w:bCs/>
              </w:rPr>
              <w:t>(3) Глоба во износ од 25.000 евра во денарска противвредност ќе му се изрече за сторен прекршок на давател на водната услуга, ако:</w:t>
            </w:r>
          </w:p>
          <w:p w14:paraId="0AF47986" w14:textId="77777777" w:rsidR="00EE04E8" w:rsidRDefault="00EE04E8" w:rsidP="00EE04E8">
            <w:r>
              <w:rPr>
                <w:rFonts w:ascii="StobiSerif Regular" w:hAnsi="StobiSerif Regular" w:cs="Arial"/>
                <w:bCs/>
              </w:rPr>
              <w:t>- наплаќа цена за водна услуга во која тарифата за водна услуга не одобрена од страна на Регулаторната комисија (член 6 став 2) и</w:t>
            </w:r>
          </w:p>
          <w:p w14:paraId="5FE6AF38" w14:textId="77777777" w:rsidR="00EE04E8" w:rsidRDefault="00EE04E8" w:rsidP="00EE04E8">
            <w:r>
              <w:rPr>
                <w:rFonts w:ascii="StobiSerif Regular" w:hAnsi="StobiSerif Regular" w:cs="Arial"/>
                <w:bCs/>
              </w:rPr>
              <w:t>- не започнал со примена на одобрената тарифа за водна услуга во период подолг од шест месеци од денот кога требал да започне со примена на одобрената тарифа за водна услуга (член 14 став (2), член 15 став (10)).</w:t>
            </w:r>
          </w:p>
          <w:p w14:paraId="2FDCD142" w14:textId="77777777" w:rsidR="00EE04E8" w:rsidRDefault="00EE04E8" w:rsidP="00EE04E8">
            <w:r>
              <w:rPr>
                <w:rFonts w:ascii="StobiSerif Regular" w:hAnsi="StobiSerif Regular" w:cs="Arial"/>
                <w:bCs/>
              </w:rPr>
              <w:t>(4) Глоба во износ од 30% од одмерената глоба за давателот на водната услуга ќе му се изрече на одговорното лице кај давателот за дејствијата од ставот (1), (2) и (3) на овој член.</w:t>
            </w:r>
          </w:p>
          <w:p w14:paraId="1603704F" w14:textId="4554A99E" w:rsidR="00EE04E8" w:rsidRDefault="00EE04E8" w:rsidP="00EE04E8">
            <w:pPr>
              <w:rPr>
                <w:rFonts w:ascii="Arial" w:hAnsi="Arial" w:cs="Arial"/>
                <w:sz w:val="22"/>
                <w:szCs w:val="22"/>
              </w:rPr>
            </w:pPr>
            <w:r>
              <w:rPr>
                <w:rFonts w:ascii="StobiSerif Regular" w:hAnsi="StobiSerif Regular" w:cs="Arial"/>
                <w:bCs/>
              </w:rPr>
              <w:t xml:space="preserve">(5) Прекршочна постапка води и прекршочна </w:t>
            </w:r>
            <w:proofErr w:type="spellStart"/>
            <w:r>
              <w:rPr>
                <w:rFonts w:ascii="StobiSerif Regular" w:hAnsi="StobiSerif Regular" w:cs="Arial"/>
                <w:bCs/>
              </w:rPr>
              <w:t>сакнција</w:t>
            </w:r>
            <w:proofErr w:type="spellEnd"/>
            <w:r>
              <w:rPr>
                <w:rFonts w:ascii="StobiSerif Regular" w:hAnsi="StobiSerif Regular" w:cs="Arial"/>
                <w:bCs/>
              </w:rPr>
              <w:t xml:space="preserve"> за </w:t>
            </w:r>
            <w:r>
              <w:rPr>
                <w:rFonts w:ascii="StobiSerif Regular" w:hAnsi="StobiSerif Regular" w:cs="Arial"/>
                <w:bCs/>
              </w:rPr>
              <w:lastRenderedPageBreak/>
              <w:t>прекршоците од ставовите (1) до (4) на овој член изрекува надлежниот суд.</w:t>
            </w:r>
          </w:p>
          <w:p w14:paraId="04BD0E5E" w14:textId="63DCCC4A" w:rsidR="00EE04E8" w:rsidRDefault="00EE04E8" w:rsidP="002C406A">
            <w:pPr>
              <w:rPr>
                <w:rFonts w:ascii="Arial" w:hAnsi="Arial" w:cs="Arial"/>
                <w:sz w:val="22"/>
                <w:szCs w:val="22"/>
              </w:rPr>
            </w:pPr>
          </w:p>
          <w:p w14:paraId="2896302A" w14:textId="24C289B6" w:rsidR="00EE04E8" w:rsidRDefault="00EE04E8" w:rsidP="002C406A">
            <w:pPr>
              <w:rPr>
                <w:rFonts w:ascii="Arial" w:hAnsi="Arial" w:cs="Arial"/>
                <w:sz w:val="22"/>
                <w:szCs w:val="22"/>
              </w:rPr>
            </w:pPr>
          </w:p>
          <w:p w14:paraId="5629C569" w14:textId="77777777" w:rsidR="00EE04E8" w:rsidRPr="00611AE3" w:rsidRDefault="00EE04E8" w:rsidP="002C406A">
            <w:pPr>
              <w:rPr>
                <w:rFonts w:ascii="Arial" w:hAnsi="Arial" w:cs="Arial"/>
                <w:sz w:val="22"/>
                <w:szCs w:val="22"/>
              </w:rPr>
            </w:pPr>
          </w:p>
          <w:p w14:paraId="6B290ABC" w14:textId="19EBA700" w:rsidR="00047A8D" w:rsidRPr="0021037A" w:rsidRDefault="00047A8D" w:rsidP="0064444E">
            <w:pPr>
              <w:rPr>
                <w:rFonts w:asciiTheme="minorHAnsi" w:hAnsiTheme="minorHAnsi" w:cstheme="minorHAnsi"/>
              </w:rPr>
            </w:pPr>
          </w:p>
        </w:tc>
        <w:tc>
          <w:tcPr>
            <w:tcW w:w="4526" w:type="dxa"/>
            <w:shd w:val="clear" w:color="auto" w:fill="auto"/>
          </w:tcPr>
          <w:p w14:paraId="157152F8" w14:textId="77777777" w:rsidR="00BB00D3" w:rsidRPr="00DE38AB" w:rsidRDefault="00BB00D3" w:rsidP="00BB00D3">
            <w:pPr>
              <w:rPr>
                <w:rFonts w:ascii="Arial" w:hAnsi="Arial" w:cs="Arial"/>
                <w:sz w:val="22"/>
                <w:szCs w:val="22"/>
                <w:lang w:val="sq-AL"/>
              </w:rPr>
            </w:pPr>
            <w:r w:rsidRPr="00DE38AB">
              <w:rPr>
                <w:rFonts w:ascii="Arial" w:hAnsi="Arial" w:cs="Arial"/>
                <w:sz w:val="22"/>
                <w:szCs w:val="22"/>
                <w:lang w:val="sq-AL"/>
              </w:rPr>
              <w:lastRenderedPageBreak/>
              <w:t>Ligji për Ndryshimin dhe Plotësimin e Ligjit për Përcaktimin e Çmimeve të Shërbimeve të Ujit do të mundësojë krijimin e politikës harmonizuese për kundërvajtje, me të cilën do të realizohet roli parandalues ​​i gjobave, në mënyrë që të sigurojë sistem financiarisht të vetë-qëndrueshëm. Politika penale proporcionale e mundëson zbatimin e ligjit material dhe mbledhjen e gjobave në rast të kryerjes së një kundërvajtje.</w:t>
            </w:r>
          </w:p>
          <w:p w14:paraId="6764294A" w14:textId="77777777" w:rsidR="00047A8D" w:rsidRPr="00DE38AB" w:rsidRDefault="00047A8D" w:rsidP="0064444E">
            <w:pPr>
              <w:rPr>
                <w:rFonts w:asciiTheme="minorHAnsi" w:hAnsiTheme="minorHAnsi" w:cstheme="minorHAnsi"/>
                <w:lang w:val="sq-AL"/>
              </w:rPr>
            </w:pPr>
          </w:p>
          <w:p w14:paraId="3A076D7D" w14:textId="77777777" w:rsidR="00EE04E8" w:rsidRPr="00DE38AB" w:rsidRDefault="00EE04E8" w:rsidP="0064444E">
            <w:pPr>
              <w:rPr>
                <w:rFonts w:asciiTheme="minorHAnsi" w:hAnsiTheme="minorHAnsi" w:cstheme="minorHAnsi"/>
                <w:lang w:val="sq-AL"/>
              </w:rPr>
            </w:pPr>
          </w:p>
          <w:p w14:paraId="02828FDE" w14:textId="77777777" w:rsidR="00EE04E8" w:rsidRPr="00DE38AB" w:rsidRDefault="00EE04E8" w:rsidP="0064444E">
            <w:pPr>
              <w:rPr>
                <w:rFonts w:asciiTheme="minorHAnsi" w:hAnsiTheme="minorHAnsi" w:cstheme="minorHAnsi"/>
                <w:lang w:val="sq-AL"/>
              </w:rPr>
            </w:pPr>
          </w:p>
          <w:p w14:paraId="557E34B2" w14:textId="77777777" w:rsidR="00EE04E8" w:rsidRPr="00DE38AB" w:rsidRDefault="00EE04E8" w:rsidP="0064444E">
            <w:pPr>
              <w:rPr>
                <w:rFonts w:ascii="StobiSerif Regular" w:hAnsi="StobiSerif Regular" w:cs="Arial"/>
                <w:b/>
                <w:lang w:val="sq-AL"/>
              </w:rPr>
            </w:pPr>
            <w:r w:rsidRPr="00DE38AB">
              <w:rPr>
                <w:rFonts w:ascii="StobiSerif Regular" w:hAnsi="StobiSerif Regular" w:cs="Arial"/>
                <w:b/>
                <w:lang w:val="sq-AL"/>
              </w:rPr>
              <w:t>DISPOZITAT QË NDRYSHOHEN DHE PLOTËSOHEN</w:t>
            </w:r>
          </w:p>
          <w:p w14:paraId="6EC68970" w14:textId="77777777" w:rsidR="00EE04E8" w:rsidRPr="00DE38AB" w:rsidRDefault="00EE04E8" w:rsidP="0064444E">
            <w:pPr>
              <w:rPr>
                <w:rFonts w:ascii="StobiSerif Regular" w:hAnsi="StobiSerif Regular" w:cs="Arial"/>
                <w:b/>
                <w:lang w:val="sq-AL"/>
              </w:rPr>
            </w:pPr>
          </w:p>
          <w:p w14:paraId="69F359B8" w14:textId="77777777" w:rsidR="00EE04E8" w:rsidRPr="00DE38AB" w:rsidRDefault="00EE04E8" w:rsidP="0064444E">
            <w:pPr>
              <w:rPr>
                <w:rFonts w:ascii="StobiSerif Regular" w:hAnsi="StobiSerif Regular" w:cs="Arial"/>
                <w:b/>
                <w:lang w:val="sq-AL"/>
              </w:rPr>
            </w:pPr>
            <w:r w:rsidRPr="00DE38AB">
              <w:rPr>
                <w:rFonts w:ascii="StobiSerif Regular" w:hAnsi="StobiSerif Regular" w:cs="Arial"/>
                <w:b/>
                <w:lang w:val="sq-AL"/>
              </w:rPr>
              <w:t>VI. DISPOZITAT PËR KUNDËRVAJTJE</w:t>
            </w:r>
          </w:p>
          <w:p w14:paraId="3BC0646C" w14:textId="77777777" w:rsidR="00EE04E8" w:rsidRPr="00DE38AB" w:rsidRDefault="00EE04E8" w:rsidP="0064444E">
            <w:pPr>
              <w:rPr>
                <w:rFonts w:ascii="StobiSerif Regular" w:hAnsi="StobiSerif Regular" w:cs="Arial"/>
                <w:b/>
                <w:lang w:val="sq-AL"/>
              </w:rPr>
            </w:pPr>
          </w:p>
          <w:p w14:paraId="4E382329" w14:textId="77777777" w:rsidR="00EE04E8" w:rsidRPr="00DE38AB" w:rsidRDefault="00EE04E8" w:rsidP="00EE04E8">
            <w:pPr>
              <w:jc w:val="center"/>
              <w:rPr>
                <w:rFonts w:ascii="StobiSerif Regular" w:hAnsi="StobiSerif Regular" w:cs="Arial"/>
                <w:b/>
                <w:lang w:val="sq-AL"/>
              </w:rPr>
            </w:pPr>
            <w:r w:rsidRPr="00DE38AB">
              <w:rPr>
                <w:rFonts w:ascii="StobiSerif Regular" w:hAnsi="StobiSerif Regular" w:cs="Arial"/>
                <w:b/>
                <w:lang w:val="sq-AL"/>
              </w:rPr>
              <w:t>Neni 27</w:t>
            </w:r>
          </w:p>
          <w:p w14:paraId="5AA9C28C" w14:textId="77777777" w:rsidR="00EE04E8" w:rsidRPr="00DE38AB" w:rsidRDefault="00EE04E8" w:rsidP="00EE04E8">
            <w:pPr>
              <w:rPr>
                <w:lang w:val="sq-AL"/>
              </w:rPr>
            </w:pPr>
            <w:r w:rsidRPr="00DE38AB">
              <w:rPr>
                <w:rFonts w:ascii="StobiSerif Regular" w:hAnsi="StobiSerif Regular" w:cs="Arial"/>
                <w:lang w:val="sq-AL"/>
              </w:rPr>
              <w:t xml:space="preserve">Sanksionet për kundërvajtje për personat juridikë ofrues të shërbimeve të ujit </w:t>
            </w:r>
          </w:p>
          <w:p w14:paraId="3D9948DB" w14:textId="77777777" w:rsidR="00EE04E8" w:rsidRPr="00DE38AB" w:rsidRDefault="00EE04E8" w:rsidP="00EE04E8">
            <w:pPr>
              <w:pStyle w:val="ListParagraph"/>
              <w:numPr>
                <w:ilvl w:val="0"/>
                <w:numId w:val="25"/>
              </w:numPr>
              <w:autoSpaceDN w:val="0"/>
              <w:spacing w:after="0" w:line="244" w:lineRule="auto"/>
              <w:contextualSpacing w:val="0"/>
              <w:jc w:val="left"/>
              <w:textAlignment w:val="baseline"/>
              <w:rPr>
                <w:rFonts w:ascii="StobiSerif Regular" w:hAnsi="StobiSerif Regular" w:cs="Arial"/>
                <w:lang w:val="sq-AL"/>
              </w:rPr>
            </w:pPr>
            <w:r w:rsidRPr="00DE38AB">
              <w:rPr>
                <w:rFonts w:ascii="StobiSerif Regular" w:hAnsi="StobiSerif Regular" w:cs="Arial"/>
                <w:lang w:val="sq-AL"/>
              </w:rPr>
              <w:t>Gjoba në vlerë prej 6.000 euro në kundërvlerë të denarit do t'i shqiptohet për kundërvajtje të kryer një ofruesi të shërbimit të ujit, nëse:</w:t>
            </w:r>
          </w:p>
          <w:p w14:paraId="3C8CC4CA"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 nuk ka paraqitur kërkesë për përcaktimin e tarifave për shërbimet e ujit deri te Komisioni Rregullator në përputhje me nenin 11 të këtij ligji,</w:t>
            </w:r>
          </w:p>
          <w:p w14:paraId="7F663AF1"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 vendimi nga neni 13 paragrafi (11) i këtij ligji nuk është miratuar brenda 15 ditëve nga dita e marrjes së vendimit për caktimin e tarifave për shërbimet e ujit,</w:t>
            </w:r>
          </w:p>
          <w:p w14:paraId="0FF02D49"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lastRenderedPageBreak/>
              <w:t>- vendimi nga neni 13 paragrafi (11) i këtij ligji nuk është dorëzuar brenda tetë ditëve nga dita e miratimit te kryetari i komunës, komuna në qytetin e Shkupit, përkatësisht në qytetin e Shkupit për shkak të dhënies së pëlqimit të vendimit,</w:t>
            </w:r>
          </w:p>
          <w:p w14:paraId="0C05F535"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 nuk është marrë asnjë vendim për përcaktimin e tarifës për shërbimin e ujit (neni 13 paragrafi (13), - aplikimi i tarifës rregullatore për shërbimet e ujit nuk ka filluar të zbatohet brenda 45 ditëve (neni 14 paragrafi (2), neni 15 paragrafi (10) i këtij ligji,</w:t>
            </w:r>
          </w:p>
          <w:p w14:paraId="5B9CA1C2"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 nuk i ka harmonizuar vendimet me zgjidhjet e miratuara nga Komisioni Rregullator (neni 14 paragrafi (3)) dhe</w:t>
            </w:r>
          </w:p>
          <w:p w14:paraId="22F66F76"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 nuk i vë në dispozicion të gjitha të dhënat dhe informacionet që janë të  nevojshme për përgatitjen e Planit Rregullator (neni 15 paragrafi (3)).</w:t>
            </w:r>
          </w:p>
          <w:p w14:paraId="631ECF7E"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(2) Gjobë në vlerë prej 15.000 euro në kundërvlerë të denarit, do t'i shqiptohet për kundërvajtje të kryer furnizuesit të shërbimit të ujit, nëse:</w:t>
            </w:r>
          </w:p>
          <w:p w14:paraId="300AF582"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 të dhënat në Planin Rregullator dhe të dhënat dhe raportet nga plani i biznesit nuk janë të sakta dhe të besueshme dhe nuk janë në përputhje me kontabilitetin dhe dokumentacionin tjetër të siguruesit të shërbimit të ujit (neni 11 paragrafi 10),</w:t>
            </w:r>
          </w:p>
          <w:p w14:paraId="2F7942CF"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 nuk respekton kushtet në të cilat përcaktohet tarifa për shërbimet e ujit (neni 14 paragrafi (4)) dhe</w:t>
            </w:r>
          </w:p>
          <w:p w14:paraId="5A04DD15"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lastRenderedPageBreak/>
              <w:t xml:space="preserve">- nuk siguroi qasje në ambientet e veta për kryerjen e inspektimit për Komisionin Rregullator dhe nuk e paraqiti për inspektim të gjithë dokumentacionin e nevojshëm për inspektim (neni 24 paragrafi (2)). </w:t>
            </w:r>
          </w:p>
          <w:p w14:paraId="07A25F53"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(3) Gjoba në vlerë prej 25.000 euro në kundërvlerë të denarit, do t'i shqiptohet për kundërvajtje të kryer  siguruesit të shërbimit të ujit, nëse:</w:t>
            </w:r>
          </w:p>
          <w:p w14:paraId="7B2FADD1"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 paguan një çmim për shërbimin e ujit në të cilin tarifa për shërbimin e ujit nuk është aprovuar nga Komisioni Rregullator (neni 6 paragrafi 2) dhe</w:t>
            </w:r>
          </w:p>
          <w:p w14:paraId="6F2C33BE"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 nuk ka filluar me aplikimin e tarifës së aprovuar për shërbimin e ujit në një periudhë më të gjatë se gjashtë muaj nga dita kur duhet të kishte filluar me aplikimin e tarifës së aprovuar për shërbimin e ujit (neni 14 paragrafi (2), neni 15 paragrafi (10)).</w:t>
            </w:r>
          </w:p>
          <w:p w14:paraId="0DC9F3F1" w14:textId="77777777" w:rsidR="00EE04E8" w:rsidRPr="00DE38AB" w:rsidRDefault="00EE04E8" w:rsidP="00EE04E8">
            <w:pPr>
              <w:rPr>
                <w:rFonts w:ascii="StobiSerif Regular" w:hAnsi="StobiSerif Regular" w:cs="Arial"/>
                <w:lang w:val="sq-AL"/>
              </w:rPr>
            </w:pPr>
            <w:r w:rsidRPr="00DE38AB">
              <w:rPr>
                <w:rFonts w:ascii="StobiSerif Regular" w:hAnsi="StobiSerif Regular" w:cs="Arial"/>
                <w:lang w:val="sq-AL"/>
              </w:rPr>
              <w:t>(4) Gjobë në vlerë prej 30% të gjobës së vlerësuar për ofruesin e shërbimit të ujit do t'i shqiptohet personit përgjegjës te furnizuesi për veprimet e përmendura në paragrafët (1), (2) dhe (3) të këtij neni</w:t>
            </w:r>
          </w:p>
          <w:p w14:paraId="208DACA2" w14:textId="17A01808" w:rsidR="00EE04E8" w:rsidRPr="00DE38AB" w:rsidRDefault="00EE04E8" w:rsidP="00EE04E8">
            <w:pPr>
              <w:rPr>
                <w:rFonts w:asciiTheme="minorHAnsi" w:hAnsiTheme="minorHAnsi" w:cstheme="minorHAnsi"/>
                <w:lang w:val="sq-AL"/>
              </w:rPr>
            </w:pPr>
            <w:r w:rsidRPr="00DE38AB">
              <w:rPr>
                <w:rFonts w:ascii="StobiSerif Regular" w:hAnsi="StobiSerif Regular" w:cs="Arial"/>
                <w:lang w:val="sq-AL"/>
              </w:rPr>
              <w:t>(5) Procedura për kundërvajtje zhvillohet dhe sanksioni kundërvajtës për kundërvajtjet nga paragrafët (1) deri (4) të këtij neni shqiptohet nga gjykata kompetente.</w:t>
            </w:r>
          </w:p>
        </w:tc>
      </w:tr>
    </w:tbl>
    <w:p w14:paraId="4D41F7E2" w14:textId="77777777" w:rsidR="003D34DF" w:rsidRDefault="003D34DF" w:rsidP="003D34DF">
      <w:pPr>
        <w:rPr>
          <w:rFonts w:ascii="StobiSerif Regular" w:hAnsi="StobiSerif Regular" w:cs="Arial"/>
          <w:bCs/>
        </w:rPr>
      </w:pPr>
    </w:p>
    <w:sectPr w:rsidR="003D34DF" w:rsidSect="00DA7BA7">
      <w:headerReference w:type="even" r:id="rId8"/>
      <w:footerReference w:type="default" r:id="rId9"/>
      <w:headerReference w:type="first" r:id="rId10"/>
      <w:type w:val="continuous"/>
      <w:pgSz w:w="11906" w:h="16838" w:code="9"/>
      <w:pgMar w:top="2694" w:right="1440" w:bottom="1440" w:left="1440" w:header="142"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2C09" w14:textId="77777777" w:rsidR="00684D0E" w:rsidRDefault="00684D0E" w:rsidP="00DC5C24">
      <w:r>
        <w:separator/>
      </w:r>
    </w:p>
  </w:endnote>
  <w:endnote w:type="continuationSeparator" w:id="0">
    <w:p w14:paraId="0EC52987" w14:textId="77777777" w:rsidR="00684D0E" w:rsidRDefault="00684D0E"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panose1 w:val="02000503060000020004"/>
    <w:charset w:val="00"/>
    <w:family w:val="auto"/>
    <w:pitch w:val="variable"/>
    <w:sig w:usb0="A00002AF" w:usb1="5000204B" w:usb2="00000000" w:usb3="00000000" w:csb0="0000009F" w:csb1="00000000"/>
  </w:font>
  <w:font w:name="StobiSans Regular">
    <w:altName w:val="Corbel"/>
    <w:panose1 w:val="00000000000000000000"/>
    <w:charset w:val="00"/>
    <w:family w:val="modern"/>
    <w:notTrueType/>
    <w:pitch w:val="variable"/>
    <w:sig w:usb0="A00002AF" w:usb1="5000A07B" w:usb2="00000000" w:usb3="00000000" w:csb0="0000009F" w:csb1="00000000"/>
  </w:font>
  <w:font w:name="StobiSerif Medium">
    <w:panose1 w:val="02000603060000020004"/>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EB9C" w14:textId="7511A3AD" w:rsidR="006C42D1" w:rsidRPr="000F2E5D" w:rsidRDefault="00F23FCF" w:rsidP="0059655D">
    <w:pPr>
      <w:pStyle w:val="Footer"/>
    </w:pPr>
    <w:r>
      <w:rPr>
        <w:noProof/>
        <w:lang w:val="en-US" w:eastAsia="en-US"/>
      </w:rPr>
      <mc:AlternateContent>
        <mc:Choice Requires="wps">
          <w:drawing>
            <wp:anchor distT="0" distB="0" distL="114300" distR="114300" simplePos="0" relativeHeight="251672576" behindDoc="0" locked="0" layoutInCell="1" allowOverlap="1" wp14:anchorId="52DBC561" wp14:editId="40C124E0">
              <wp:simplePos x="0" y="0"/>
              <wp:positionH relativeFrom="column">
                <wp:posOffset>-381361</wp:posOffset>
              </wp:positionH>
              <wp:positionV relativeFrom="paragraph">
                <wp:posOffset>-360313</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14:paraId="18A28FD9" w14:textId="32FCB389" w:rsidR="0059655D" w:rsidRPr="0059655D" w:rsidRDefault="0059655D"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F40140">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C561" id="_x0000_t202" coordsize="21600,21600" o:spt="202" path="m,l,21600r21600,l21600,xe">
              <v:stroke joinstyle="miter"/>
              <v:path gradientshapeok="t" o:connecttype="rect"/>
            </v:shapetype>
            <v:shape id="Text Box 50" o:spid="_x0000_s1026"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" filled="f" stroked="f" strokeweight=".5pt">
              <v:textbox>
                <w:txbxContent>
                  <w:p w14:paraId="18A28FD9" w14:textId="32FCB389" w:rsidR="0059655D" w:rsidRPr="0059655D" w:rsidRDefault="0059655D"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F40140">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1EEF6D52" wp14:editId="05CB29A5">
              <wp:simplePos x="0" y="0"/>
              <wp:positionH relativeFrom="column">
                <wp:posOffset>191191</wp:posOffset>
              </wp:positionH>
              <wp:positionV relativeFrom="paragraph">
                <wp:posOffset>-434340</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18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E81AE"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" strokecolor="#01894b"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503F" w14:textId="77777777" w:rsidR="00684D0E" w:rsidRDefault="00684D0E" w:rsidP="00DC5C24">
      <w:r>
        <w:separator/>
      </w:r>
    </w:p>
  </w:footnote>
  <w:footnote w:type="continuationSeparator" w:id="0">
    <w:p w14:paraId="7A6FA69A" w14:textId="77777777" w:rsidR="00684D0E" w:rsidRDefault="00684D0E"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0C68" w14:textId="5A1A169D" w:rsidR="00FE7404" w:rsidRPr="000F2E5D" w:rsidRDefault="00684D0E"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D362" w14:textId="7181E5D1" w:rsidR="00FE7404" w:rsidRPr="000F2E5D" w:rsidRDefault="00684D0E" w:rsidP="00DC5C24">
    <w:r>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ACF"/>
    <w:multiLevelType w:val="hybridMultilevel"/>
    <w:tmpl w:val="05D885CC"/>
    <w:lvl w:ilvl="0" w:tplc="42562BD6">
      <w:numFmt w:val="bullet"/>
      <w:lvlText w:val="-"/>
      <w:lvlJc w:val="left"/>
      <w:pPr>
        <w:ind w:left="1080" w:hanging="360"/>
      </w:pPr>
      <w:rPr>
        <w:rFonts w:ascii="Trebuchet MS" w:eastAsia="Times New Roman"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3237B3"/>
    <w:multiLevelType w:val="hybridMultilevel"/>
    <w:tmpl w:val="50203026"/>
    <w:lvl w:ilvl="0" w:tplc="91F865DE">
      <w:start w:val="1"/>
      <w:numFmt w:val="decimal"/>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05B90">
      <w:start w:val="1"/>
      <w:numFmt w:val="lowerLetter"/>
      <w:lvlText w:val="%2"/>
      <w:lvlJc w:val="left"/>
      <w:pPr>
        <w:ind w:left="1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E16FA">
      <w:start w:val="1"/>
      <w:numFmt w:val="lowerRoman"/>
      <w:lvlText w:val="%3"/>
      <w:lvlJc w:val="left"/>
      <w:pPr>
        <w:ind w:left="1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25E1A">
      <w:start w:val="1"/>
      <w:numFmt w:val="decimal"/>
      <w:lvlText w:val="%4"/>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481EC">
      <w:start w:val="1"/>
      <w:numFmt w:val="lowerLetter"/>
      <w:lvlText w:val="%5"/>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CFF62">
      <w:start w:val="1"/>
      <w:numFmt w:val="lowerRoman"/>
      <w:lvlText w:val="%6"/>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A1834">
      <w:start w:val="1"/>
      <w:numFmt w:val="decimal"/>
      <w:lvlText w:val="%7"/>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4E62C">
      <w:start w:val="1"/>
      <w:numFmt w:val="lowerLetter"/>
      <w:lvlText w:val="%8"/>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ECFA2">
      <w:start w:val="1"/>
      <w:numFmt w:val="lowerRoman"/>
      <w:lvlText w:val="%9"/>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B9504F"/>
    <w:multiLevelType w:val="hybridMultilevel"/>
    <w:tmpl w:val="7D103DA4"/>
    <w:lvl w:ilvl="0" w:tplc="2A44EEA4">
      <w:start w:val="1"/>
      <w:numFmt w:val="decimal"/>
      <w:lvlText w:val="%1."/>
      <w:lvlJc w:val="left"/>
      <w:pPr>
        <w:ind w:left="6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82D842">
      <w:start w:val="1"/>
      <w:numFmt w:val="lowerLetter"/>
      <w:lvlText w:val="%2"/>
      <w:lvlJc w:val="left"/>
      <w:pPr>
        <w:ind w:left="10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AA8DD88">
      <w:start w:val="1"/>
      <w:numFmt w:val="lowerRoman"/>
      <w:lvlText w:val="%3"/>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C4421DC">
      <w:start w:val="1"/>
      <w:numFmt w:val="decimal"/>
      <w:lvlText w:val="%4"/>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BB0B34C">
      <w:start w:val="1"/>
      <w:numFmt w:val="lowerLetter"/>
      <w:lvlText w:val="%5"/>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C16E690">
      <w:start w:val="1"/>
      <w:numFmt w:val="lowerRoman"/>
      <w:lvlText w:val="%6"/>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DAD4AE">
      <w:start w:val="1"/>
      <w:numFmt w:val="decimal"/>
      <w:lvlText w:val="%7"/>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A1EAD96">
      <w:start w:val="1"/>
      <w:numFmt w:val="lowerLetter"/>
      <w:lvlText w:val="%8"/>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C482E72">
      <w:start w:val="1"/>
      <w:numFmt w:val="lowerRoman"/>
      <w:lvlText w:val="%9"/>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A6848"/>
    <w:multiLevelType w:val="hybridMultilevel"/>
    <w:tmpl w:val="E02EC708"/>
    <w:lvl w:ilvl="0" w:tplc="297E1C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2E7652">
      <w:start w:val="3"/>
      <w:numFmt w:val="upperRoman"/>
      <w:lvlText w:val="%2."/>
      <w:lvlJc w:val="left"/>
      <w:pPr>
        <w:ind w:left="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9AFCD6">
      <w:start w:val="1"/>
      <w:numFmt w:val="lowerRoman"/>
      <w:lvlText w:val="%3"/>
      <w:lvlJc w:val="left"/>
      <w:pPr>
        <w:ind w:left="1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2C6FA">
      <w:start w:val="1"/>
      <w:numFmt w:val="decimal"/>
      <w:lvlText w:val="%4"/>
      <w:lvlJc w:val="left"/>
      <w:pPr>
        <w:ind w:left="2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4E0ECA">
      <w:start w:val="1"/>
      <w:numFmt w:val="lowerLetter"/>
      <w:lvlText w:val="%5"/>
      <w:lvlJc w:val="left"/>
      <w:pPr>
        <w:ind w:left="3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1A332C">
      <w:start w:val="1"/>
      <w:numFmt w:val="lowerRoman"/>
      <w:lvlText w:val="%6"/>
      <w:lvlJc w:val="left"/>
      <w:pPr>
        <w:ind w:left="3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69C66">
      <w:start w:val="1"/>
      <w:numFmt w:val="decimal"/>
      <w:lvlText w:val="%7"/>
      <w:lvlJc w:val="left"/>
      <w:pPr>
        <w:ind w:left="4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DA1D8C">
      <w:start w:val="1"/>
      <w:numFmt w:val="lowerLetter"/>
      <w:lvlText w:val="%8"/>
      <w:lvlJc w:val="left"/>
      <w:pPr>
        <w:ind w:left="5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085694">
      <w:start w:val="1"/>
      <w:numFmt w:val="lowerRoman"/>
      <w:lvlText w:val="%9"/>
      <w:lvlJc w:val="left"/>
      <w:pPr>
        <w:ind w:left="5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943AD6"/>
    <w:multiLevelType w:val="hybridMultilevel"/>
    <w:tmpl w:val="B7E2F212"/>
    <w:lvl w:ilvl="0" w:tplc="2040BBB0">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867B2">
      <w:start w:val="1"/>
      <w:numFmt w:val="lowerLetter"/>
      <w:lvlText w:val="%2"/>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0E4A2">
      <w:start w:val="1"/>
      <w:numFmt w:val="lowerRoman"/>
      <w:lvlText w:val="%3"/>
      <w:lvlJc w:val="left"/>
      <w:pPr>
        <w:ind w:left="1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4790E">
      <w:start w:val="1"/>
      <w:numFmt w:val="decimal"/>
      <w:lvlText w:val="%4"/>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C850E">
      <w:start w:val="1"/>
      <w:numFmt w:val="lowerLetter"/>
      <w:lvlText w:val="%5"/>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B01662">
      <w:start w:val="1"/>
      <w:numFmt w:val="lowerRoman"/>
      <w:lvlText w:val="%6"/>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8D140">
      <w:start w:val="1"/>
      <w:numFmt w:val="decimal"/>
      <w:lvlText w:val="%7"/>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ECE6C">
      <w:start w:val="1"/>
      <w:numFmt w:val="lowerLetter"/>
      <w:lvlText w:val="%8"/>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68FAC">
      <w:start w:val="1"/>
      <w:numFmt w:val="lowerRoman"/>
      <w:lvlText w:val="%9"/>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E42B0D"/>
    <w:multiLevelType w:val="multilevel"/>
    <w:tmpl w:val="7BC23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E19DB"/>
    <w:multiLevelType w:val="hybridMultilevel"/>
    <w:tmpl w:val="4DC29800"/>
    <w:lvl w:ilvl="0" w:tplc="C9F43BDA">
      <w:start w:val="2"/>
      <w:numFmt w:val="upperRoman"/>
      <w:lvlText w:val="%1."/>
      <w:lvlJc w:val="left"/>
      <w:pPr>
        <w:ind w:left="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8E8B30">
      <w:start w:val="1"/>
      <w:numFmt w:val="decimal"/>
      <w:lvlText w:val="%2."/>
      <w:lvlJc w:val="left"/>
      <w:pPr>
        <w:ind w:left="14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202943E">
      <w:start w:val="1"/>
      <w:numFmt w:val="lowerRoman"/>
      <w:lvlText w:val="%3"/>
      <w:lvlJc w:val="left"/>
      <w:pPr>
        <w:ind w:left="14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B74A1DC">
      <w:start w:val="1"/>
      <w:numFmt w:val="decimal"/>
      <w:lvlText w:val="%4"/>
      <w:lvlJc w:val="left"/>
      <w:pPr>
        <w:ind w:left="21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E79019A0">
      <w:start w:val="1"/>
      <w:numFmt w:val="lowerLetter"/>
      <w:lvlText w:val="%5"/>
      <w:lvlJc w:val="left"/>
      <w:pPr>
        <w:ind w:left="28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4DA4498">
      <w:start w:val="1"/>
      <w:numFmt w:val="lowerRoman"/>
      <w:lvlText w:val="%6"/>
      <w:lvlJc w:val="left"/>
      <w:pPr>
        <w:ind w:left="36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FAC360A">
      <w:start w:val="1"/>
      <w:numFmt w:val="decimal"/>
      <w:lvlText w:val="%7"/>
      <w:lvlJc w:val="left"/>
      <w:pPr>
        <w:ind w:left="43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7E2BEF6">
      <w:start w:val="1"/>
      <w:numFmt w:val="lowerLetter"/>
      <w:lvlText w:val="%8"/>
      <w:lvlJc w:val="left"/>
      <w:pPr>
        <w:ind w:left="50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FEC79CA">
      <w:start w:val="1"/>
      <w:numFmt w:val="lowerRoman"/>
      <w:lvlText w:val="%9"/>
      <w:lvlJc w:val="left"/>
      <w:pPr>
        <w:ind w:left="57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8" w15:restartNumberingAfterBreak="0">
    <w:nsid w:val="46D34B45"/>
    <w:multiLevelType w:val="multilevel"/>
    <w:tmpl w:val="B3042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202E2A"/>
    <w:multiLevelType w:val="hybridMultilevel"/>
    <w:tmpl w:val="6E6A4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DB4483"/>
    <w:multiLevelType w:val="hybridMultilevel"/>
    <w:tmpl w:val="50203026"/>
    <w:lvl w:ilvl="0" w:tplc="91F865DE">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05B90">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E16FA">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25E1A">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481EC">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CFF62">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A1834">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4E62C">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ECFA2">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94E7B"/>
    <w:multiLevelType w:val="hybridMultilevel"/>
    <w:tmpl w:val="00BA54BA"/>
    <w:lvl w:ilvl="0" w:tplc="7B8E8B30">
      <w:start w:val="1"/>
      <w:numFmt w:val="decimal"/>
      <w:lvlText w:val="%1."/>
      <w:lvlJc w:val="left"/>
      <w:pPr>
        <w:ind w:left="14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3"/>
  </w:num>
  <w:num w:numId="13">
    <w:abstractNumId w:val="22"/>
  </w:num>
  <w:num w:numId="14">
    <w:abstractNumId w:val="23"/>
  </w:num>
  <w:num w:numId="15">
    <w:abstractNumId w:val="19"/>
  </w:num>
  <w:num w:numId="16">
    <w:abstractNumId w:val="10"/>
  </w:num>
  <w:num w:numId="17">
    <w:abstractNumId w:val="25"/>
  </w:num>
  <w:num w:numId="18">
    <w:abstractNumId w:val="12"/>
  </w:num>
  <w:num w:numId="19">
    <w:abstractNumId w:val="17"/>
  </w:num>
  <w:num w:numId="20">
    <w:abstractNumId w:val="20"/>
  </w:num>
  <w:num w:numId="21">
    <w:abstractNumId w:val="15"/>
  </w:num>
  <w:num w:numId="22">
    <w:abstractNumId w:val="14"/>
  </w:num>
  <w:num w:numId="23">
    <w:abstractNumId w:val="24"/>
  </w:num>
  <w:num w:numId="24">
    <w:abstractNumId w:val="11"/>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2">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1514"/>
    <w:rsid w:val="000019FD"/>
    <w:rsid w:val="00001E20"/>
    <w:rsid w:val="00002503"/>
    <w:rsid w:val="00011C15"/>
    <w:rsid w:val="00011F23"/>
    <w:rsid w:val="0001539F"/>
    <w:rsid w:val="00015F9C"/>
    <w:rsid w:val="00021B2A"/>
    <w:rsid w:val="0002446B"/>
    <w:rsid w:val="00035379"/>
    <w:rsid w:val="0003569F"/>
    <w:rsid w:val="00035845"/>
    <w:rsid w:val="0003592F"/>
    <w:rsid w:val="0003710A"/>
    <w:rsid w:val="000413E7"/>
    <w:rsid w:val="000414DD"/>
    <w:rsid w:val="00042989"/>
    <w:rsid w:val="00043218"/>
    <w:rsid w:val="00044ED8"/>
    <w:rsid w:val="00045813"/>
    <w:rsid w:val="00047565"/>
    <w:rsid w:val="00047A8D"/>
    <w:rsid w:val="00050210"/>
    <w:rsid w:val="000525C4"/>
    <w:rsid w:val="0005260B"/>
    <w:rsid w:val="00052EFE"/>
    <w:rsid w:val="00055DBE"/>
    <w:rsid w:val="000573F0"/>
    <w:rsid w:val="0005789E"/>
    <w:rsid w:val="00061897"/>
    <w:rsid w:val="00063048"/>
    <w:rsid w:val="0006367A"/>
    <w:rsid w:val="00064056"/>
    <w:rsid w:val="000660DB"/>
    <w:rsid w:val="000664ED"/>
    <w:rsid w:val="000675A9"/>
    <w:rsid w:val="00067F9E"/>
    <w:rsid w:val="0007053E"/>
    <w:rsid w:val="00073245"/>
    <w:rsid w:val="00076C4D"/>
    <w:rsid w:val="000803E1"/>
    <w:rsid w:val="0008081A"/>
    <w:rsid w:val="0008191E"/>
    <w:rsid w:val="00082E53"/>
    <w:rsid w:val="000835DC"/>
    <w:rsid w:val="00083FFA"/>
    <w:rsid w:val="00087B76"/>
    <w:rsid w:val="000902E1"/>
    <w:rsid w:val="00091D18"/>
    <w:rsid w:val="0009377E"/>
    <w:rsid w:val="000949D7"/>
    <w:rsid w:val="000B5335"/>
    <w:rsid w:val="000C07EB"/>
    <w:rsid w:val="000C2208"/>
    <w:rsid w:val="000C28D5"/>
    <w:rsid w:val="000C5E5D"/>
    <w:rsid w:val="000D0BC8"/>
    <w:rsid w:val="000D124E"/>
    <w:rsid w:val="000D27A1"/>
    <w:rsid w:val="000D361B"/>
    <w:rsid w:val="000D5FDC"/>
    <w:rsid w:val="000E0324"/>
    <w:rsid w:val="000F01C0"/>
    <w:rsid w:val="000F1CA4"/>
    <w:rsid w:val="000F1EC7"/>
    <w:rsid w:val="000F2A96"/>
    <w:rsid w:val="000F2E5D"/>
    <w:rsid w:val="000F43FA"/>
    <w:rsid w:val="000F702B"/>
    <w:rsid w:val="0010267F"/>
    <w:rsid w:val="001042B5"/>
    <w:rsid w:val="00106CD6"/>
    <w:rsid w:val="00106EB2"/>
    <w:rsid w:val="00106FEB"/>
    <w:rsid w:val="0010778B"/>
    <w:rsid w:val="001078A2"/>
    <w:rsid w:val="00111D95"/>
    <w:rsid w:val="0011209E"/>
    <w:rsid w:val="00112F2F"/>
    <w:rsid w:val="00113B68"/>
    <w:rsid w:val="001142F8"/>
    <w:rsid w:val="001159BC"/>
    <w:rsid w:val="001167B7"/>
    <w:rsid w:val="00121F23"/>
    <w:rsid w:val="00127ADA"/>
    <w:rsid w:val="0013090B"/>
    <w:rsid w:val="001317FD"/>
    <w:rsid w:val="0013265E"/>
    <w:rsid w:val="00132B65"/>
    <w:rsid w:val="001337FE"/>
    <w:rsid w:val="0013530D"/>
    <w:rsid w:val="00140D4C"/>
    <w:rsid w:val="001425EE"/>
    <w:rsid w:val="00142772"/>
    <w:rsid w:val="00144EC7"/>
    <w:rsid w:val="00147AAB"/>
    <w:rsid w:val="00147B44"/>
    <w:rsid w:val="00153CBE"/>
    <w:rsid w:val="00155786"/>
    <w:rsid w:val="001565F6"/>
    <w:rsid w:val="00157487"/>
    <w:rsid w:val="0015755C"/>
    <w:rsid w:val="001617CA"/>
    <w:rsid w:val="00161B63"/>
    <w:rsid w:val="00166A70"/>
    <w:rsid w:val="001760C7"/>
    <w:rsid w:val="0017686B"/>
    <w:rsid w:val="001807F7"/>
    <w:rsid w:val="00180B7B"/>
    <w:rsid w:val="00182C6F"/>
    <w:rsid w:val="00183C3B"/>
    <w:rsid w:val="00184BAA"/>
    <w:rsid w:val="00185218"/>
    <w:rsid w:val="00186DF1"/>
    <w:rsid w:val="00187E40"/>
    <w:rsid w:val="001908F2"/>
    <w:rsid w:val="0019449A"/>
    <w:rsid w:val="001951C5"/>
    <w:rsid w:val="001959F1"/>
    <w:rsid w:val="001A05C4"/>
    <w:rsid w:val="001A42B7"/>
    <w:rsid w:val="001A60E6"/>
    <w:rsid w:val="001B0B35"/>
    <w:rsid w:val="001B4B6E"/>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381C"/>
    <w:rsid w:val="00204192"/>
    <w:rsid w:val="00204561"/>
    <w:rsid w:val="002061E0"/>
    <w:rsid w:val="002062B0"/>
    <w:rsid w:val="00206E2E"/>
    <w:rsid w:val="0020754D"/>
    <w:rsid w:val="00207FE6"/>
    <w:rsid w:val="00212431"/>
    <w:rsid w:val="00212A62"/>
    <w:rsid w:val="00214B23"/>
    <w:rsid w:val="002200EE"/>
    <w:rsid w:val="00220BF1"/>
    <w:rsid w:val="002221F3"/>
    <w:rsid w:val="0022703A"/>
    <w:rsid w:val="00233517"/>
    <w:rsid w:val="00235514"/>
    <w:rsid w:val="00235B2D"/>
    <w:rsid w:val="00235EB7"/>
    <w:rsid w:val="00236FCC"/>
    <w:rsid w:val="00237F58"/>
    <w:rsid w:val="0024255E"/>
    <w:rsid w:val="0024602F"/>
    <w:rsid w:val="00251D83"/>
    <w:rsid w:val="00252864"/>
    <w:rsid w:val="002609C0"/>
    <w:rsid w:val="002651CC"/>
    <w:rsid w:val="002714F2"/>
    <w:rsid w:val="00271C6D"/>
    <w:rsid w:val="00272403"/>
    <w:rsid w:val="00273D0C"/>
    <w:rsid w:val="00275A53"/>
    <w:rsid w:val="00276661"/>
    <w:rsid w:val="00277A97"/>
    <w:rsid w:val="0028317D"/>
    <w:rsid w:val="0029363F"/>
    <w:rsid w:val="00293A36"/>
    <w:rsid w:val="00293CD0"/>
    <w:rsid w:val="0029627D"/>
    <w:rsid w:val="002A210F"/>
    <w:rsid w:val="002A3141"/>
    <w:rsid w:val="002A3AD5"/>
    <w:rsid w:val="002A6D32"/>
    <w:rsid w:val="002A6EA0"/>
    <w:rsid w:val="002A6ED3"/>
    <w:rsid w:val="002A73BD"/>
    <w:rsid w:val="002A754A"/>
    <w:rsid w:val="002B11CC"/>
    <w:rsid w:val="002B246C"/>
    <w:rsid w:val="002B388E"/>
    <w:rsid w:val="002B45A3"/>
    <w:rsid w:val="002B7BD8"/>
    <w:rsid w:val="002C27B9"/>
    <w:rsid w:val="002C32F3"/>
    <w:rsid w:val="002C406A"/>
    <w:rsid w:val="002C533E"/>
    <w:rsid w:val="002D055A"/>
    <w:rsid w:val="002D2CD1"/>
    <w:rsid w:val="002D2FAE"/>
    <w:rsid w:val="002D669F"/>
    <w:rsid w:val="002D73BD"/>
    <w:rsid w:val="002D7681"/>
    <w:rsid w:val="002E016E"/>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4281"/>
    <w:rsid w:val="00315E5A"/>
    <w:rsid w:val="00317E9C"/>
    <w:rsid w:val="00320637"/>
    <w:rsid w:val="003242A9"/>
    <w:rsid w:val="00325EA7"/>
    <w:rsid w:val="003262F2"/>
    <w:rsid w:val="00327AB3"/>
    <w:rsid w:val="00327C8A"/>
    <w:rsid w:val="00327D4A"/>
    <w:rsid w:val="00335DE2"/>
    <w:rsid w:val="003377A9"/>
    <w:rsid w:val="003378CF"/>
    <w:rsid w:val="00341AC8"/>
    <w:rsid w:val="00341D02"/>
    <w:rsid w:val="0034263A"/>
    <w:rsid w:val="00345BCC"/>
    <w:rsid w:val="00347D47"/>
    <w:rsid w:val="00350C23"/>
    <w:rsid w:val="0035213E"/>
    <w:rsid w:val="003522AA"/>
    <w:rsid w:val="003535C3"/>
    <w:rsid w:val="00356024"/>
    <w:rsid w:val="003565FD"/>
    <w:rsid w:val="00362F3A"/>
    <w:rsid w:val="00370ACF"/>
    <w:rsid w:val="0037394C"/>
    <w:rsid w:val="00376AD4"/>
    <w:rsid w:val="0038244F"/>
    <w:rsid w:val="0038599F"/>
    <w:rsid w:val="00386382"/>
    <w:rsid w:val="0038648B"/>
    <w:rsid w:val="00387CF7"/>
    <w:rsid w:val="003906C3"/>
    <w:rsid w:val="003942BB"/>
    <w:rsid w:val="00394857"/>
    <w:rsid w:val="0039778B"/>
    <w:rsid w:val="003A30C0"/>
    <w:rsid w:val="003A77B8"/>
    <w:rsid w:val="003A79DD"/>
    <w:rsid w:val="003B099E"/>
    <w:rsid w:val="003B2C02"/>
    <w:rsid w:val="003B2C90"/>
    <w:rsid w:val="003B2D26"/>
    <w:rsid w:val="003B3F88"/>
    <w:rsid w:val="003B3FE5"/>
    <w:rsid w:val="003B47C3"/>
    <w:rsid w:val="003B52A8"/>
    <w:rsid w:val="003B5354"/>
    <w:rsid w:val="003B6144"/>
    <w:rsid w:val="003B738F"/>
    <w:rsid w:val="003C19A3"/>
    <w:rsid w:val="003C2C83"/>
    <w:rsid w:val="003C3AC5"/>
    <w:rsid w:val="003C478A"/>
    <w:rsid w:val="003C5896"/>
    <w:rsid w:val="003C6479"/>
    <w:rsid w:val="003D0DE0"/>
    <w:rsid w:val="003D16E4"/>
    <w:rsid w:val="003D34DF"/>
    <w:rsid w:val="003D4B2F"/>
    <w:rsid w:val="003D5009"/>
    <w:rsid w:val="003D5445"/>
    <w:rsid w:val="003D5DE9"/>
    <w:rsid w:val="003D653C"/>
    <w:rsid w:val="003D774B"/>
    <w:rsid w:val="003E08DD"/>
    <w:rsid w:val="003E0E75"/>
    <w:rsid w:val="003E5360"/>
    <w:rsid w:val="003E7AA9"/>
    <w:rsid w:val="003E7B8C"/>
    <w:rsid w:val="003F1CED"/>
    <w:rsid w:val="003F20EA"/>
    <w:rsid w:val="003F2152"/>
    <w:rsid w:val="003F3433"/>
    <w:rsid w:val="003F5FB2"/>
    <w:rsid w:val="003F652E"/>
    <w:rsid w:val="003F7F9D"/>
    <w:rsid w:val="00400713"/>
    <w:rsid w:val="004036EA"/>
    <w:rsid w:val="0040447B"/>
    <w:rsid w:val="00405D6C"/>
    <w:rsid w:val="00405ECF"/>
    <w:rsid w:val="00406209"/>
    <w:rsid w:val="0041105D"/>
    <w:rsid w:val="00412EFA"/>
    <w:rsid w:val="00414062"/>
    <w:rsid w:val="0042743A"/>
    <w:rsid w:val="00432203"/>
    <w:rsid w:val="00434FA3"/>
    <w:rsid w:val="00436EBF"/>
    <w:rsid w:val="004408E6"/>
    <w:rsid w:val="004436BA"/>
    <w:rsid w:val="00446B71"/>
    <w:rsid w:val="00453021"/>
    <w:rsid w:val="00454A7D"/>
    <w:rsid w:val="0045689F"/>
    <w:rsid w:val="00460846"/>
    <w:rsid w:val="0046135C"/>
    <w:rsid w:val="004627B8"/>
    <w:rsid w:val="00463381"/>
    <w:rsid w:val="00467534"/>
    <w:rsid w:val="00470B40"/>
    <w:rsid w:val="00474938"/>
    <w:rsid w:val="00474D0D"/>
    <w:rsid w:val="00477358"/>
    <w:rsid w:val="00480345"/>
    <w:rsid w:val="004805A6"/>
    <w:rsid w:val="00487AD1"/>
    <w:rsid w:val="00490EA7"/>
    <w:rsid w:val="004A0D51"/>
    <w:rsid w:val="004A4A61"/>
    <w:rsid w:val="004A67D2"/>
    <w:rsid w:val="004B0595"/>
    <w:rsid w:val="004B0D4C"/>
    <w:rsid w:val="004B16EE"/>
    <w:rsid w:val="004B2E41"/>
    <w:rsid w:val="004B7BDF"/>
    <w:rsid w:val="004C009D"/>
    <w:rsid w:val="004C0BF1"/>
    <w:rsid w:val="004C1362"/>
    <w:rsid w:val="004C1548"/>
    <w:rsid w:val="004C1DFF"/>
    <w:rsid w:val="004C73C8"/>
    <w:rsid w:val="004D2DDA"/>
    <w:rsid w:val="004D5837"/>
    <w:rsid w:val="004E1F34"/>
    <w:rsid w:val="004E2523"/>
    <w:rsid w:val="004E6397"/>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7973"/>
    <w:rsid w:val="0054141A"/>
    <w:rsid w:val="005440D1"/>
    <w:rsid w:val="00547F59"/>
    <w:rsid w:val="00550992"/>
    <w:rsid w:val="0055550B"/>
    <w:rsid w:val="00566FD3"/>
    <w:rsid w:val="005704B3"/>
    <w:rsid w:val="00571F34"/>
    <w:rsid w:val="00575C0B"/>
    <w:rsid w:val="005778C0"/>
    <w:rsid w:val="0058672F"/>
    <w:rsid w:val="00586E47"/>
    <w:rsid w:val="0059655D"/>
    <w:rsid w:val="00596DD5"/>
    <w:rsid w:val="005976F3"/>
    <w:rsid w:val="005A10C0"/>
    <w:rsid w:val="005A6822"/>
    <w:rsid w:val="005B53AA"/>
    <w:rsid w:val="005B5742"/>
    <w:rsid w:val="005B74AA"/>
    <w:rsid w:val="005C2488"/>
    <w:rsid w:val="005C2739"/>
    <w:rsid w:val="005C2CBE"/>
    <w:rsid w:val="005C4BFE"/>
    <w:rsid w:val="005D2528"/>
    <w:rsid w:val="005D5E28"/>
    <w:rsid w:val="005E0634"/>
    <w:rsid w:val="005E0BD1"/>
    <w:rsid w:val="005E109F"/>
    <w:rsid w:val="005E3EE0"/>
    <w:rsid w:val="005E4B38"/>
    <w:rsid w:val="005E51BC"/>
    <w:rsid w:val="005E772C"/>
    <w:rsid w:val="005F26BB"/>
    <w:rsid w:val="005F3519"/>
    <w:rsid w:val="005F7BFB"/>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A37"/>
    <w:rsid w:val="00633D01"/>
    <w:rsid w:val="00635F22"/>
    <w:rsid w:val="00635F8F"/>
    <w:rsid w:val="00636ADF"/>
    <w:rsid w:val="0064344D"/>
    <w:rsid w:val="00645900"/>
    <w:rsid w:val="00650646"/>
    <w:rsid w:val="00654330"/>
    <w:rsid w:val="00655D23"/>
    <w:rsid w:val="00660FE4"/>
    <w:rsid w:val="00661E32"/>
    <w:rsid w:val="00663FC9"/>
    <w:rsid w:val="006666AE"/>
    <w:rsid w:val="00666DD7"/>
    <w:rsid w:val="00671166"/>
    <w:rsid w:val="006714CC"/>
    <w:rsid w:val="006838E4"/>
    <w:rsid w:val="00684D0E"/>
    <w:rsid w:val="0068593D"/>
    <w:rsid w:val="006865CF"/>
    <w:rsid w:val="00687367"/>
    <w:rsid w:val="006879FF"/>
    <w:rsid w:val="00693DEE"/>
    <w:rsid w:val="006A1AD2"/>
    <w:rsid w:val="006A248D"/>
    <w:rsid w:val="006B1580"/>
    <w:rsid w:val="006B1E2E"/>
    <w:rsid w:val="006B2357"/>
    <w:rsid w:val="006B2479"/>
    <w:rsid w:val="006B4AB3"/>
    <w:rsid w:val="006B5EC1"/>
    <w:rsid w:val="006C35E9"/>
    <w:rsid w:val="006C42D1"/>
    <w:rsid w:val="006C4ACE"/>
    <w:rsid w:val="006D030C"/>
    <w:rsid w:val="006D3724"/>
    <w:rsid w:val="006E0438"/>
    <w:rsid w:val="006E42AD"/>
    <w:rsid w:val="006F220C"/>
    <w:rsid w:val="006F23B7"/>
    <w:rsid w:val="006F5C2E"/>
    <w:rsid w:val="006F5CB5"/>
    <w:rsid w:val="006F6E91"/>
    <w:rsid w:val="006F7D3F"/>
    <w:rsid w:val="007028B4"/>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371"/>
    <w:rsid w:val="00734BDF"/>
    <w:rsid w:val="00740BDF"/>
    <w:rsid w:val="00741DD7"/>
    <w:rsid w:val="0074451D"/>
    <w:rsid w:val="007463D3"/>
    <w:rsid w:val="00750298"/>
    <w:rsid w:val="0075212D"/>
    <w:rsid w:val="007523BB"/>
    <w:rsid w:val="00752626"/>
    <w:rsid w:val="00753567"/>
    <w:rsid w:val="00755920"/>
    <w:rsid w:val="00761411"/>
    <w:rsid w:val="00764126"/>
    <w:rsid w:val="00774C76"/>
    <w:rsid w:val="00775229"/>
    <w:rsid w:val="007809AD"/>
    <w:rsid w:val="00782611"/>
    <w:rsid w:val="007838AD"/>
    <w:rsid w:val="00784DC5"/>
    <w:rsid w:val="00793DF8"/>
    <w:rsid w:val="007969BE"/>
    <w:rsid w:val="00797B18"/>
    <w:rsid w:val="007A7102"/>
    <w:rsid w:val="007B0E6E"/>
    <w:rsid w:val="007B29EB"/>
    <w:rsid w:val="007B3E13"/>
    <w:rsid w:val="007B605E"/>
    <w:rsid w:val="007C05BC"/>
    <w:rsid w:val="007C1E57"/>
    <w:rsid w:val="007C20BC"/>
    <w:rsid w:val="007C55FF"/>
    <w:rsid w:val="007D1BF4"/>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4FF8"/>
    <w:rsid w:val="00815C80"/>
    <w:rsid w:val="008232DE"/>
    <w:rsid w:val="00823758"/>
    <w:rsid w:val="00825C25"/>
    <w:rsid w:val="008263EB"/>
    <w:rsid w:val="0082692F"/>
    <w:rsid w:val="00827E9F"/>
    <w:rsid w:val="008320C2"/>
    <w:rsid w:val="00832209"/>
    <w:rsid w:val="00832C65"/>
    <w:rsid w:val="00842858"/>
    <w:rsid w:val="00844191"/>
    <w:rsid w:val="0084686B"/>
    <w:rsid w:val="00847D2C"/>
    <w:rsid w:val="00850723"/>
    <w:rsid w:val="00850F6A"/>
    <w:rsid w:val="008515D0"/>
    <w:rsid w:val="00854245"/>
    <w:rsid w:val="008620A1"/>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B7E98"/>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3914"/>
    <w:rsid w:val="00923CCD"/>
    <w:rsid w:val="00924340"/>
    <w:rsid w:val="00926883"/>
    <w:rsid w:val="00927246"/>
    <w:rsid w:val="009312A2"/>
    <w:rsid w:val="00932082"/>
    <w:rsid w:val="00937F75"/>
    <w:rsid w:val="00937FD3"/>
    <w:rsid w:val="00940979"/>
    <w:rsid w:val="00940F0D"/>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305E"/>
    <w:rsid w:val="009958D7"/>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0508"/>
    <w:rsid w:val="009D1CF8"/>
    <w:rsid w:val="009D2757"/>
    <w:rsid w:val="009D4D53"/>
    <w:rsid w:val="009E08F2"/>
    <w:rsid w:val="009E1347"/>
    <w:rsid w:val="009F3808"/>
    <w:rsid w:val="009F45DD"/>
    <w:rsid w:val="00A00047"/>
    <w:rsid w:val="00A001D5"/>
    <w:rsid w:val="00A03142"/>
    <w:rsid w:val="00A04578"/>
    <w:rsid w:val="00A05C8F"/>
    <w:rsid w:val="00A071F1"/>
    <w:rsid w:val="00A1070F"/>
    <w:rsid w:val="00A10845"/>
    <w:rsid w:val="00A10A32"/>
    <w:rsid w:val="00A10AB0"/>
    <w:rsid w:val="00A1113F"/>
    <w:rsid w:val="00A12793"/>
    <w:rsid w:val="00A13A49"/>
    <w:rsid w:val="00A14E9B"/>
    <w:rsid w:val="00A22B0A"/>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60A"/>
    <w:rsid w:val="00AA11B7"/>
    <w:rsid w:val="00AA1353"/>
    <w:rsid w:val="00AA61D0"/>
    <w:rsid w:val="00AB696E"/>
    <w:rsid w:val="00AB6F09"/>
    <w:rsid w:val="00AC06F7"/>
    <w:rsid w:val="00AC19E4"/>
    <w:rsid w:val="00AC247F"/>
    <w:rsid w:val="00AC2A3A"/>
    <w:rsid w:val="00AC316F"/>
    <w:rsid w:val="00AC3BE9"/>
    <w:rsid w:val="00AC5274"/>
    <w:rsid w:val="00AC5706"/>
    <w:rsid w:val="00AC696E"/>
    <w:rsid w:val="00AD222C"/>
    <w:rsid w:val="00AD237E"/>
    <w:rsid w:val="00AD280C"/>
    <w:rsid w:val="00AD78CB"/>
    <w:rsid w:val="00AE0B00"/>
    <w:rsid w:val="00AE2771"/>
    <w:rsid w:val="00AE37F0"/>
    <w:rsid w:val="00AE48DC"/>
    <w:rsid w:val="00AE6519"/>
    <w:rsid w:val="00AE65F7"/>
    <w:rsid w:val="00AF13BC"/>
    <w:rsid w:val="00AF2284"/>
    <w:rsid w:val="00AF3DA7"/>
    <w:rsid w:val="00AF47FC"/>
    <w:rsid w:val="00B00EFD"/>
    <w:rsid w:val="00B033A5"/>
    <w:rsid w:val="00B03FB7"/>
    <w:rsid w:val="00B07FD5"/>
    <w:rsid w:val="00B10127"/>
    <w:rsid w:val="00B11A29"/>
    <w:rsid w:val="00B12382"/>
    <w:rsid w:val="00B12F12"/>
    <w:rsid w:val="00B17D37"/>
    <w:rsid w:val="00B21494"/>
    <w:rsid w:val="00B2490F"/>
    <w:rsid w:val="00B27E3A"/>
    <w:rsid w:val="00B3290E"/>
    <w:rsid w:val="00B3334D"/>
    <w:rsid w:val="00B3551D"/>
    <w:rsid w:val="00B36317"/>
    <w:rsid w:val="00B40B81"/>
    <w:rsid w:val="00B41554"/>
    <w:rsid w:val="00B43B24"/>
    <w:rsid w:val="00B46778"/>
    <w:rsid w:val="00B46B34"/>
    <w:rsid w:val="00B47BF7"/>
    <w:rsid w:val="00B52BEE"/>
    <w:rsid w:val="00B539DD"/>
    <w:rsid w:val="00B53DB5"/>
    <w:rsid w:val="00B543EE"/>
    <w:rsid w:val="00B5562C"/>
    <w:rsid w:val="00B65A2E"/>
    <w:rsid w:val="00B70469"/>
    <w:rsid w:val="00B72EE0"/>
    <w:rsid w:val="00B73580"/>
    <w:rsid w:val="00B73958"/>
    <w:rsid w:val="00B762E8"/>
    <w:rsid w:val="00B765C2"/>
    <w:rsid w:val="00B766CE"/>
    <w:rsid w:val="00B82AE7"/>
    <w:rsid w:val="00B83740"/>
    <w:rsid w:val="00B85453"/>
    <w:rsid w:val="00B91653"/>
    <w:rsid w:val="00B91B04"/>
    <w:rsid w:val="00B923DC"/>
    <w:rsid w:val="00B925BA"/>
    <w:rsid w:val="00B95B6A"/>
    <w:rsid w:val="00B964FA"/>
    <w:rsid w:val="00B96977"/>
    <w:rsid w:val="00BA4B83"/>
    <w:rsid w:val="00BA4D55"/>
    <w:rsid w:val="00BA5404"/>
    <w:rsid w:val="00BA6C59"/>
    <w:rsid w:val="00BB00D3"/>
    <w:rsid w:val="00BB1D28"/>
    <w:rsid w:val="00BB3743"/>
    <w:rsid w:val="00BB4379"/>
    <w:rsid w:val="00BB5EBF"/>
    <w:rsid w:val="00BB5F04"/>
    <w:rsid w:val="00BC1BC4"/>
    <w:rsid w:val="00BC1C18"/>
    <w:rsid w:val="00BC6EF3"/>
    <w:rsid w:val="00BD2475"/>
    <w:rsid w:val="00BD30C7"/>
    <w:rsid w:val="00BD3F4E"/>
    <w:rsid w:val="00BD40E7"/>
    <w:rsid w:val="00BD4745"/>
    <w:rsid w:val="00BE0FC1"/>
    <w:rsid w:val="00BE32AB"/>
    <w:rsid w:val="00BE60E3"/>
    <w:rsid w:val="00BF2540"/>
    <w:rsid w:val="00BF2BB2"/>
    <w:rsid w:val="00BF3C1C"/>
    <w:rsid w:val="00BF3F59"/>
    <w:rsid w:val="00BF59F6"/>
    <w:rsid w:val="00C025C7"/>
    <w:rsid w:val="00C05F66"/>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3F9"/>
    <w:rsid w:val="00C41F63"/>
    <w:rsid w:val="00C46162"/>
    <w:rsid w:val="00C461E5"/>
    <w:rsid w:val="00C52B1D"/>
    <w:rsid w:val="00C55D91"/>
    <w:rsid w:val="00C56F1F"/>
    <w:rsid w:val="00C60362"/>
    <w:rsid w:val="00C60F81"/>
    <w:rsid w:val="00C61B1E"/>
    <w:rsid w:val="00C61B29"/>
    <w:rsid w:val="00C61FB2"/>
    <w:rsid w:val="00C655AC"/>
    <w:rsid w:val="00C6631B"/>
    <w:rsid w:val="00C67AE2"/>
    <w:rsid w:val="00C67F6E"/>
    <w:rsid w:val="00C700E4"/>
    <w:rsid w:val="00C70279"/>
    <w:rsid w:val="00C716B0"/>
    <w:rsid w:val="00C71DE9"/>
    <w:rsid w:val="00C76A3F"/>
    <w:rsid w:val="00C808CF"/>
    <w:rsid w:val="00C859BA"/>
    <w:rsid w:val="00C85A89"/>
    <w:rsid w:val="00C87C6B"/>
    <w:rsid w:val="00C910C8"/>
    <w:rsid w:val="00C91DED"/>
    <w:rsid w:val="00C92625"/>
    <w:rsid w:val="00C9360A"/>
    <w:rsid w:val="00C93C2F"/>
    <w:rsid w:val="00C96792"/>
    <w:rsid w:val="00C97143"/>
    <w:rsid w:val="00C97826"/>
    <w:rsid w:val="00CA00F6"/>
    <w:rsid w:val="00CA037A"/>
    <w:rsid w:val="00CA3EE8"/>
    <w:rsid w:val="00CA47F9"/>
    <w:rsid w:val="00CA4EE5"/>
    <w:rsid w:val="00CB6B68"/>
    <w:rsid w:val="00CC0130"/>
    <w:rsid w:val="00CC096F"/>
    <w:rsid w:val="00CC19EB"/>
    <w:rsid w:val="00CC29F3"/>
    <w:rsid w:val="00CD0363"/>
    <w:rsid w:val="00CD0834"/>
    <w:rsid w:val="00CD371E"/>
    <w:rsid w:val="00CD5537"/>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4018D"/>
    <w:rsid w:val="00D41582"/>
    <w:rsid w:val="00D44BC1"/>
    <w:rsid w:val="00D45205"/>
    <w:rsid w:val="00D460FE"/>
    <w:rsid w:val="00D47481"/>
    <w:rsid w:val="00D479C3"/>
    <w:rsid w:val="00D517F8"/>
    <w:rsid w:val="00D51EF3"/>
    <w:rsid w:val="00D521A7"/>
    <w:rsid w:val="00D5452F"/>
    <w:rsid w:val="00D55208"/>
    <w:rsid w:val="00D60DBF"/>
    <w:rsid w:val="00D613A5"/>
    <w:rsid w:val="00D6337F"/>
    <w:rsid w:val="00D6472A"/>
    <w:rsid w:val="00D64C79"/>
    <w:rsid w:val="00D64E72"/>
    <w:rsid w:val="00D652AD"/>
    <w:rsid w:val="00D67F4F"/>
    <w:rsid w:val="00D712A7"/>
    <w:rsid w:val="00D7157A"/>
    <w:rsid w:val="00D75D63"/>
    <w:rsid w:val="00D914C1"/>
    <w:rsid w:val="00D93257"/>
    <w:rsid w:val="00D94677"/>
    <w:rsid w:val="00D9488A"/>
    <w:rsid w:val="00D9554B"/>
    <w:rsid w:val="00D95D26"/>
    <w:rsid w:val="00DA030F"/>
    <w:rsid w:val="00DA035D"/>
    <w:rsid w:val="00DA4253"/>
    <w:rsid w:val="00DA7BA7"/>
    <w:rsid w:val="00DB19F9"/>
    <w:rsid w:val="00DB41DF"/>
    <w:rsid w:val="00DB4DB1"/>
    <w:rsid w:val="00DB6B51"/>
    <w:rsid w:val="00DB6DB4"/>
    <w:rsid w:val="00DB794B"/>
    <w:rsid w:val="00DC0847"/>
    <w:rsid w:val="00DC34A9"/>
    <w:rsid w:val="00DC4404"/>
    <w:rsid w:val="00DC5C24"/>
    <w:rsid w:val="00DC5E13"/>
    <w:rsid w:val="00DD56C2"/>
    <w:rsid w:val="00DE38AB"/>
    <w:rsid w:val="00DE7347"/>
    <w:rsid w:val="00DF12C2"/>
    <w:rsid w:val="00DF1E02"/>
    <w:rsid w:val="00DF4611"/>
    <w:rsid w:val="00DF4BB0"/>
    <w:rsid w:val="00DF4EEA"/>
    <w:rsid w:val="00DF6549"/>
    <w:rsid w:val="00DF68E5"/>
    <w:rsid w:val="00DF74CB"/>
    <w:rsid w:val="00E00000"/>
    <w:rsid w:val="00E04729"/>
    <w:rsid w:val="00E06EA5"/>
    <w:rsid w:val="00E0709F"/>
    <w:rsid w:val="00E07AFB"/>
    <w:rsid w:val="00E11DF9"/>
    <w:rsid w:val="00E11F42"/>
    <w:rsid w:val="00E128D2"/>
    <w:rsid w:val="00E143F9"/>
    <w:rsid w:val="00E1749F"/>
    <w:rsid w:val="00E200A4"/>
    <w:rsid w:val="00E2502D"/>
    <w:rsid w:val="00E25D83"/>
    <w:rsid w:val="00E27D94"/>
    <w:rsid w:val="00E30C1C"/>
    <w:rsid w:val="00E33A10"/>
    <w:rsid w:val="00E351D3"/>
    <w:rsid w:val="00E4186C"/>
    <w:rsid w:val="00E43441"/>
    <w:rsid w:val="00E44FE2"/>
    <w:rsid w:val="00E507A2"/>
    <w:rsid w:val="00E5249D"/>
    <w:rsid w:val="00E60042"/>
    <w:rsid w:val="00E6261A"/>
    <w:rsid w:val="00E6338E"/>
    <w:rsid w:val="00E63F58"/>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6701"/>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4E8"/>
    <w:rsid w:val="00EE0688"/>
    <w:rsid w:val="00EE5A11"/>
    <w:rsid w:val="00EE6082"/>
    <w:rsid w:val="00EE793A"/>
    <w:rsid w:val="00EF1922"/>
    <w:rsid w:val="00EF1C4C"/>
    <w:rsid w:val="00EF4519"/>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21BF"/>
    <w:rsid w:val="00F33EA1"/>
    <w:rsid w:val="00F3418B"/>
    <w:rsid w:val="00F36047"/>
    <w:rsid w:val="00F40140"/>
    <w:rsid w:val="00F4089C"/>
    <w:rsid w:val="00F410FB"/>
    <w:rsid w:val="00F4314E"/>
    <w:rsid w:val="00F517BC"/>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85438"/>
    <w:rsid w:val="00F90858"/>
    <w:rsid w:val="00F90BB0"/>
    <w:rsid w:val="00F932A8"/>
    <w:rsid w:val="00F95079"/>
    <w:rsid w:val="00FA68CB"/>
    <w:rsid w:val="00FA6BFE"/>
    <w:rsid w:val="00FA7AC8"/>
    <w:rsid w:val="00FB0189"/>
    <w:rsid w:val="00FB06DC"/>
    <w:rsid w:val="00FB4DF7"/>
    <w:rsid w:val="00FB5301"/>
    <w:rsid w:val="00FB6349"/>
    <w:rsid w:val="00FB692D"/>
    <w:rsid w:val="00FB7D42"/>
    <w:rsid w:val="00FC0C33"/>
    <w:rsid w:val="00FC159F"/>
    <w:rsid w:val="00FC26D5"/>
    <w:rsid w:val="00FC6818"/>
    <w:rsid w:val="00FD27BC"/>
    <w:rsid w:val="00FD40DF"/>
    <w:rsid w:val="00FD7B2A"/>
    <w:rsid w:val="00FD7C03"/>
    <w:rsid w:val="00FD7FE8"/>
    <w:rsid w:val="00FE1DAD"/>
    <w:rsid w:val="00FE2414"/>
    <w:rsid w:val="00FE2C38"/>
    <w:rsid w:val="00FE4BF7"/>
    <w:rsid w:val="00FE7404"/>
    <w:rsid w:val="00FF1FC5"/>
    <w:rsid w:val="00FF248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
    </o:shapedefaults>
    <o:shapelayout v:ext="edit">
      <o:idmap v:ext="edit" data="1"/>
    </o:shapelayout>
  </w:shapeDefaults>
  <w:decimalSymbol w:val=","/>
  <w:listSeparator w:val=";"/>
  <w14:docId w14:val="2EF0F849"/>
  <w15:chartTrackingRefBased/>
  <w15:docId w15:val="{293F9A53-399A-4F9A-A45A-632A2E1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 w:type="character" w:customStyle="1" w:styleId="FontStyle11">
    <w:name w:val="Font Style11"/>
    <w:basedOn w:val="DefaultParagraphFont"/>
    <w:rsid w:val="004036EA"/>
    <w:rPr>
      <w:rFonts w:ascii="Arial" w:hAnsi="Arial" w:cs="Arial" w:hint="default"/>
      <w:b/>
      <w:bCs/>
      <w:sz w:val="20"/>
      <w:szCs w:val="20"/>
    </w:rPr>
  </w:style>
  <w:style w:type="paragraph" w:customStyle="1" w:styleId="NormalMACCTimes">
    <w:name w:val="Normal + MAC C Times"/>
    <w:basedOn w:val="Normal"/>
    <w:rsid w:val="00076C4D"/>
    <w:pPr>
      <w:suppressAutoHyphens w:val="0"/>
      <w:spacing w:after="160"/>
      <w:jc w:val="center"/>
    </w:pPr>
    <w:rPr>
      <w:rFonts w:ascii="MAC C Times" w:eastAsia="Calibri" w:hAnsi="MAC C Times" w:cs="MAC C Times"/>
      <w:b/>
      <w:bCs/>
      <w:lang w:val="en-US" w:eastAsia="en-US"/>
    </w:rPr>
  </w:style>
  <w:style w:type="character" w:styleId="CommentReference">
    <w:name w:val="annotation reference"/>
    <w:basedOn w:val="DefaultParagraphFont"/>
    <w:rsid w:val="00B47BF7"/>
    <w:rPr>
      <w:sz w:val="16"/>
      <w:szCs w:val="16"/>
    </w:rPr>
  </w:style>
  <w:style w:type="paragraph" w:styleId="CommentText">
    <w:name w:val="annotation text"/>
    <w:basedOn w:val="Normal"/>
    <w:link w:val="CommentTextChar"/>
    <w:rsid w:val="00B47BF7"/>
    <w:rPr>
      <w:sz w:val="20"/>
      <w:szCs w:val="20"/>
    </w:rPr>
  </w:style>
  <w:style w:type="character" w:customStyle="1" w:styleId="CommentTextChar">
    <w:name w:val="Comment Text Char"/>
    <w:basedOn w:val="DefaultParagraphFont"/>
    <w:link w:val="CommentText"/>
    <w:rsid w:val="00B47BF7"/>
    <w:rPr>
      <w:rFonts w:ascii="StobiSans Regular" w:hAnsi="StobiSans Regular"/>
      <w:lang w:val="mk-MK"/>
    </w:rPr>
  </w:style>
  <w:style w:type="paragraph" w:styleId="CommentSubject">
    <w:name w:val="annotation subject"/>
    <w:basedOn w:val="CommentText"/>
    <w:next w:val="CommentText"/>
    <w:link w:val="CommentSubjectChar"/>
    <w:rsid w:val="00B47BF7"/>
    <w:rPr>
      <w:b/>
      <w:bCs/>
    </w:rPr>
  </w:style>
  <w:style w:type="character" w:customStyle="1" w:styleId="CommentSubjectChar">
    <w:name w:val="Comment Subject Char"/>
    <w:basedOn w:val="CommentTextChar"/>
    <w:link w:val="CommentSubject"/>
    <w:rsid w:val="00B47BF7"/>
    <w:rPr>
      <w:rFonts w:ascii="StobiSans Regular" w:hAnsi="StobiSans Regula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638756075">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09B3-711B-4929-B4F6-283894B9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laser.dot</Template>
  <TotalTime>0</TotalTime>
  <Pages>10</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Dragana Cerepnalkovska</cp:lastModifiedBy>
  <cp:revision>2</cp:revision>
  <cp:lastPrinted>2021-07-02T07:46:00Z</cp:lastPrinted>
  <dcterms:created xsi:type="dcterms:W3CDTF">2021-07-02T08:56:00Z</dcterms:created>
  <dcterms:modified xsi:type="dcterms:W3CDTF">2021-07-02T08:56:00Z</dcterms:modified>
</cp:coreProperties>
</file>