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59" w:rsidRPr="00D026E2" w:rsidRDefault="004001BB" w:rsidP="00D026E2">
      <w:pPr>
        <w:jc w:val="center"/>
        <w:rPr>
          <w:b/>
          <w:sz w:val="28"/>
          <w:szCs w:val="28"/>
        </w:rPr>
      </w:pPr>
      <w:r w:rsidRPr="00D026E2">
        <w:rPr>
          <w:b/>
          <w:sz w:val="28"/>
          <w:szCs w:val="28"/>
        </w:rPr>
        <w:t>Евиденција на коментари и предлози добиени од институции и статус</w:t>
      </w:r>
    </w:p>
    <w:tbl>
      <w:tblPr>
        <w:tblStyle w:val="TableGrid"/>
        <w:tblW w:w="12515" w:type="dxa"/>
        <w:tblLook w:val="04A0" w:firstRow="1" w:lastRow="0" w:firstColumn="1" w:lastColumn="0" w:noHBand="0" w:noVBand="1"/>
      </w:tblPr>
      <w:tblGrid>
        <w:gridCol w:w="1600"/>
        <w:gridCol w:w="6521"/>
        <w:gridCol w:w="4394"/>
      </w:tblGrid>
      <w:tr w:rsidR="004001BB" w:rsidRPr="00D026E2" w:rsidTr="004001BB">
        <w:tc>
          <w:tcPr>
            <w:tcW w:w="1600" w:type="dxa"/>
            <w:shd w:val="clear" w:color="auto" w:fill="E7E6E6" w:themeFill="background2"/>
          </w:tcPr>
          <w:p w:rsidR="004001BB" w:rsidRPr="00D026E2" w:rsidRDefault="004001BB" w:rsidP="0070453C">
            <w:pPr>
              <w:jc w:val="center"/>
              <w:rPr>
                <w:rFonts w:asciiTheme="majorHAnsi" w:hAnsiTheme="majorHAnsi" w:cstheme="majorHAnsi"/>
                <w:b/>
                <w:color w:val="000000" w:themeColor="text1"/>
              </w:rPr>
            </w:pPr>
            <w:r w:rsidRPr="00D026E2">
              <w:rPr>
                <w:rFonts w:asciiTheme="majorHAnsi" w:hAnsiTheme="majorHAnsi" w:cstheme="majorHAnsi"/>
                <w:b/>
                <w:color w:val="000000" w:themeColor="text1"/>
              </w:rPr>
              <w:t>Институција</w:t>
            </w:r>
          </w:p>
        </w:tc>
        <w:tc>
          <w:tcPr>
            <w:tcW w:w="6521" w:type="dxa"/>
            <w:shd w:val="clear" w:color="auto" w:fill="E7E6E6" w:themeFill="background2"/>
          </w:tcPr>
          <w:p w:rsidR="004001BB" w:rsidRPr="00D026E2" w:rsidRDefault="004001BB" w:rsidP="0070453C">
            <w:pPr>
              <w:jc w:val="center"/>
              <w:rPr>
                <w:rFonts w:asciiTheme="majorHAnsi" w:hAnsiTheme="majorHAnsi" w:cstheme="majorHAnsi"/>
                <w:b/>
                <w:color w:val="000000" w:themeColor="text1"/>
              </w:rPr>
            </w:pPr>
            <w:r w:rsidRPr="00D026E2">
              <w:rPr>
                <w:rFonts w:asciiTheme="majorHAnsi" w:hAnsiTheme="majorHAnsi" w:cstheme="majorHAnsi"/>
                <w:b/>
                <w:color w:val="000000" w:themeColor="text1"/>
              </w:rPr>
              <w:t>Коментар</w:t>
            </w:r>
          </w:p>
        </w:tc>
        <w:tc>
          <w:tcPr>
            <w:tcW w:w="4394" w:type="dxa"/>
            <w:shd w:val="clear" w:color="auto" w:fill="E7E6E6" w:themeFill="background2"/>
          </w:tcPr>
          <w:p w:rsidR="004001BB" w:rsidRPr="00D026E2" w:rsidRDefault="004001BB" w:rsidP="0070453C">
            <w:pPr>
              <w:jc w:val="center"/>
              <w:rPr>
                <w:rFonts w:asciiTheme="majorHAnsi" w:hAnsiTheme="majorHAnsi" w:cstheme="majorHAnsi"/>
                <w:b/>
                <w:color w:val="000000" w:themeColor="text1"/>
              </w:rPr>
            </w:pPr>
            <w:r w:rsidRPr="00D026E2">
              <w:rPr>
                <w:rFonts w:asciiTheme="majorHAnsi" w:hAnsiTheme="majorHAnsi" w:cstheme="majorHAnsi"/>
                <w:b/>
                <w:color w:val="000000" w:themeColor="text1"/>
              </w:rPr>
              <w:t>Одговор</w:t>
            </w:r>
          </w:p>
        </w:tc>
      </w:tr>
      <w:tr w:rsidR="00C55D4A" w:rsidRPr="00D026E2" w:rsidTr="004001BB">
        <w:trPr>
          <w:trHeight w:val="720"/>
        </w:trPr>
        <w:tc>
          <w:tcPr>
            <w:tcW w:w="1600" w:type="dxa"/>
            <w:vMerge w:val="restart"/>
          </w:tcPr>
          <w:p w:rsidR="00C55D4A" w:rsidRPr="00D026E2" w:rsidRDefault="00C55D4A">
            <w:r w:rsidRPr="00D026E2">
              <w:t xml:space="preserve">Секретаријат за законодавство </w:t>
            </w:r>
          </w:p>
          <w:p w:rsidR="00C55D4A" w:rsidRPr="00D026E2" w:rsidRDefault="00C55D4A"/>
          <w:p w:rsidR="00C55D4A" w:rsidRPr="00D026E2" w:rsidRDefault="00C55D4A"/>
          <w:p w:rsidR="00C55D4A" w:rsidRPr="00D026E2" w:rsidRDefault="00C55D4A"/>
          <w:p w:rsidR="00C55D4A" w:rsidRPr="00D026E2" w:rsidRDefault="00C55D4A"/>
          <w:p w:rsidR="00C55D4A" w:rsidRPr="00D026E2" w:rsidRDefault="00C55D4A"/>
          <w:p w:rsidR="00C55D4A" w:rsidRPr="00D026E2" w:rsidRDefault="00C55D4A"/>
          <w:p w:rsidR="00C55D4A" w:rsidRPr="00D026E2" w:rsidRDefault="00C55D4A"/>
        </w:tc>
        <w:tc>
          <w:tcPr>
            <w:tcW w:w="6521" w:type="dxa"/>
          </w:tcPr>
          <w:p w:rsidR="00F77D1B" w:rsidRPr="00D026E2" w:rsidRDefault="00F77D1B" w:rsidP="00F77D1B">
            <w:pPr>
              <w:rPr>
                <w:rFonts w:ascii="Stobiserif regular" w:hAnsi="Stobiserif regular"/>
              </w:rPr>
            </w:pPr>
            <w:r w:rsidRPr="00D026E2">
              <w:rPr>
                <w:rFonts w:ascii="Stobiserif regular" w:hAnsi="Stobiserif regular"/>
              </w:rPr>
              <w:t>1. Со оглед на тоа што Предлог законот согласно Националната програма е предмет на усогласување со законодавството на Европската унија начелно укажуваме дека во прилог на истиот не се доставени кореспондентните табели и Изјава за усогласеност согласно   Одлуката за обрасците на пр</w:t>
            </w:r>
            <w:bookmarkStart w:id="0" w:name="_GoBack"/>
            <w:bookmarkEnd w:id="0"/>
            <w:r w:rsidRPr="00D026E2">
              <w:rPr>
                <w:rFonts w:ascii="Stobiserif regular" w:hAnsi="Stobiserif regular"/>
              </w:rPr>
              <w:t>идружното писмо и меморандумот,содржината и формата на коресподентната табела и на изјавата за усогласеноста прописот со законодавството на Европската унија, ниту текстовите на Европските прописи со кои треба истиот да се усогласи, така што по однос на степенот на усогласеност со европското законодавство Секретаријатот за законодавство не може да се произнесе. Во оваа смисла Секретаријатот за законодавство укажува дека по доставувањето на истите конечно ќе се произнесеме по текстот на законот.</w:t>
            </w:r>
          </w:p>
          <w:p w:rsidR="00C55D4A" w:rsidRPr="00D026E2" w:rsidRDefault="00C55D4A"/>
        </w:tc>
        <w:tc>
          <w:tcPr>
            <w:tcW w:w="4394" w:type="dxa"/>
          </w:tcPr>
          <w:p w:rsidR="00C55D4A" w:rsidRPr="00D026E2" w:rsidRDefault="003108AD">
            <w:r w:rsidRPr="00D026E2">
              <w:t xml:space="preserve">Министерството за економија изработува табела која ќе биде финализирана пред Законот да влезе во владина процедура </w:t>
            </w:r>
          </w:p>
        </w:tc>
      </w:tr>
      <w:tr w:rsidR="00C55D4A" w:rsidRPr="00D026E2" w:rsidTr="004001BB">
        <w:trPr>
          <w:trHeight w:val="555"/>
        </w:trPr>
        <w:tc>
          <w:tcPr>
            <w:tcW w:w="1600" w:type="dxa"/>
            <w:vMerge/>
          </w:tcPr>
          <w:p w:rsidR="00C55D4A" w:rsidRPr="00D026E2" w:rsidRDefault="00C55D4A"/>
        </w:tc>
        <w:tc>
          <w:tcPr>
            <w:tcW w:w="6521" w:type="dxa"/>
          </w:tcPr>
          <w:p w:rsidR="00C55D4A" w:rsidRPr="00D026E2" w:rsidRDefault="00C55D4A">
            <w:r w:rsidRPr="00D026E2">
              <w:rPr>
                <w:rFonts w:ascii="Stobiserif regular" w:hAnsi="Stobiserif regular"/>
              </w:rPr>
              <w:t>2. Во членот 3 точки 9 и 10 ќе треба да се прецизира на кој пазар двата учесника склучуваат билатерален договор, односно се врши билатерална трансакција</w:t>
            </w:r>
          </w:p>
        </w:tc>
        <w:tc>
          <w:tcPr>
            <w:tcW w:w="4394" w:type="dxa"/>
          </w:tcPr>
          <w:p w:rsidR="00C55D4A" w:rsidRPr="00D026E2" w:rsidRDefault="00EA571F">
            <w:r w:rsidRPr="00D026E2">
              <w:t>Прифатено</w:t>
            </w:r>
          </w:p>
        </w:tc>
      </w:tr>
      <w:tr w:rsidR="00C55D4A" w:rsidRPr="00D026E2" w:rsidTr="004001BB">
        <w:trPr>
          <w:trHeight w:val="705"/>
        </w:trPr>
        <w:tc>
          <w:tcPr>
            <w:tcW w:w="1600" w:type="dxa"/>
            <w:vMerge/>
          </w:tcPr>
          <w:p w:rsidR="00C55D4A" w:rsidRPr="00D026E2" w:rsidRDefault="00C55D4A"/>
        </w:tc>
        <w:tc>
          <w:tcPr>
            <w:tcW w:w="6521" w:type="dxa"/>
          </w:tcPr>
          <w:p w:rsidR="00C55D4A" w:rsidRPr="00D026E2" w:rsidRDefault="00C55D4A">
            <w:r w:rsidRPr="00D026E2">
              <w:rPr>
                <w:rFonts w:ascii="Stobiserif regular" w:hAnsi="Stobiserif regular"/>
              </w:rPr>
              <w:t>3. Во рамките на дефинициите од член 3 на Предлог законот се оперира со повеќе поими кои се однесуваат на одредени субјекти како вршители на енергетски дејности како што се : деловен субјект за електрична енергија- точка 26; деловен субјект за природен гас-точка 27; енергетско претпријатие-точка 53; претпријатија- точки 14 и 15 кои можат да бидат и физички и правни лица со што се создава конфузија околу правилната употреба на овие термини низ текстот на законот, така што ќе треба истите да се воедначат</w:t>
            </w:r>
          </w:p>
        </w:tc>
        <w:tc>
          <w:tcPr>
            <w:tcW w:w="4394" w:type="dxa"/>
          </w:tcPr>
          <w:p w:rsidR="00C55D4A" w:rsidRPr="00D026E2" w:rsidRDefault="00EA571F">
            <w:r w:rsidRPr="00D026E2">
              <w:t>Прифатено</w:t>
            </w:r>
          </w:p>
        </w:tc>
      </w:tr>
      <w:tr w:rsidR="00C55D4A" w:rsidRPr="00D026E2" w:rsidTr="004001BB">
        <w:trPr>
          <w:trHeight w:val="482"/>
        </w:trPr>
        <w:tc>
          <w:tcPr>
            <w:tcW w:w="1600" w:type="dxa"/>
            <w:vMerge/>
          </w:tcPr>
          <w:p w:rsidR="00C55D4A" w:rsidRPr="00D026E2" w:rsidRDefault="00C55D4A"/>
        </w:tc>
        <w:tc>
          <w:tcPr>
            <w:tcW w:w="6521" w:type="dxa"/>
          </w:tcPr>
          <w:p w:rsidR="00C55D4A" w:rsidRPr="00D026E2" w:rsidRDefault="00C55D4A"/>
          <w:p w:rsidR="00C55D4A" w:rsidRPr="00D026E2" w:rsidRDefault="00C55D4A" w:rsidP="00353459">
            <w:pPr>
              <w:rPr>
                <w:rFonts w:ascii="Stobiserif regular" w:hAnsi="Stobiserif regular"/>
              </w:rPr>
            </w:pPr>
            <w:r w:rsidRPr="00D026E2">
              <w:rPr>
                <w:rFonts w:ascii="Stobiserif regular" w:hAnsi="Stobiserif regular"/>
              </w:rPr>
              <w:t xml:space="preserve">4. Во одредбите на членовите 6 став 4 и 7 став 3 е утврдено дека на вршителите на енергетските дејности на кои согласно овој закон или Одлуката на Владата на Република Македонија им е утврдена обврска за јавна услуга  може согласно прописи за државна помош да им се додели финансиска или друга форма на надомест и/или ексклузивни права, меѓутоа за можноста од </w:t>
            </w:r>
            <w:r w:rsidRPr="00D026E2">
              <w:rPr>
                <w:rFonts w:ascii="Stobiserif regular" w:hAnsi="Stobiserif regular"/>
              </w:rPr>
              <w:lastRenderedPageBreak/>
              <w:t xml:space="preserve">доделување на државна помош треба да се имаат во предвид одредбите од Законот за контрола на државната помош  за што во овој закон ќе треба изрично да се определи за каков вид и облик на државна помош се работи при што упатувањето на ексклузивните права ќе треба да изостане со оглед на тоа што во позитивното законодавство на Република Македонија ваков вид на надомест не е уреден. </w:t>
            </w:r>
          </w:p>
          <w:p w:rsidR="00C55D4A" w:rsidRPr="00D026E2" w:rsidRDefault="00C55D4A"/>
        </w:tc>
        <w:tc>
          <w:tcPr>
            <w:tcW w:w="4394" w:type="dxa"/>
          </w:tcPr>
          <w:p w:rsidR="00C55D4A" w:rsidRPr="00D026E2" w:rsidRDefault="00EA571F">
            <w:r w:rsidRPr="00D026E2">
              <w:lastRenderedPageBreak/>
              <w:t>Прифатено</w:t>
            </w:r>
          </w:p>
        </w:tc>
      </w:tr>
      <w:tr w:rsidR="00C55D4A" w:rsidRPr="00D026E2" w:rsidTr="004001BB">
        <w:trPr>
          <w:trHeight w:val="450"/>
        </w:trPr>
        <w:tc>
          <w:tcPr>
            <w:tcW w:w="1600" w:type="dxa"/>
            <w:vMerge/>
          </w:tcPr>
          <w:p w:rsidR="00C55D4A" w:rsidRPr="00D026E2" w:rsidRDefault="00C55D4A"/>
        </w:tc>
        <w:tc>
          <w:tcPr>
            <w:tcW w:w="6521" w:type="dxa"/>
          </w:tcPr>
          <w:p w:rsidR="00C55D4A" w:rsidRPr="00D026E2" w:rsidRDefault="00C55D4A"/>
          <w:p w:rsidR="00C55D4A" w:rsidRPr="00D026E2" w:rsidRDefault="00C55D4A" w:rsidP="00353459">
            <w:pPr>
              <w:rPr>
                <w:rFonts w:ascii="Stobiserif regular" w:hAnsi="Stobiserif regular"/>
              </w:rPr>
            </w:pPr>
            <w:r w:rsidRPr="00D026E2">
              <w:rPr>
                <w:rFonts w:ascii="Stobiserif regular" w:hAnsi="Stobiserif regular"/>
              </w:rPr>
              <w:t>5. Во одредбата на член 6 став 5  е уредено дека условите и начинот на исполнувањето на обврската за јавна услуга ќе ги регулира со одлука Регулаторната комисија за енергетика во лиценца која ќе му биде издадена на претпријатието кое врши енергетска дејност, меѓутоа со оглед на тоа што уредување на услови како и критериуми кои треба одредени субјекти да ги исполнат за да можат да ја вршат дејноста односно да се стекнат со лиценца или сертификат или било каков друг документ издаден од страна на надлежните органи по својот карактер претставува законска материја во која смисла истите ќе треба да бидат утврдени во текстот на Предлог-законот. Ова укажување се однесува и за одредбите на член 12 став 1, 14 став 1, 15 став 1 точка 1 24 став 1 точка 1 алинеја 3 и точка 2 алинеја 3, 30 став 2 точки 1 и 3 , 41 став 1 точки 1 и 2, 43 став 2, 67 став 4, 73 ставови 6 и 7, 89 став 1 точка 4, 93 став 1 точка 2, 95 став 2, 98 став 4 точки 1 и 3, 108 став 7 точка 1, 123 став 1 точки 2 и 4, 132 став 5 точки 1 и 2, 142 став 3, 143 став 2 ,184 став 6 точка 2 и други.</w:t>
            </w:r>
          </w:p>
          <w:p w:rsidR="00C55D4A" w:rsidRPr="00D026E2" w:rsidRDefault="00C55D4A" w:rsidP="00353459"/>
        </w:tc>
        <w:tc>
          <w:tcPr>
            <w:tcW w:w="4394" w:type="dxa"/>
          </w:tcPr>
          <w:p w:rsidR="00C55D4A" w:rsidRPr="00D026E2" w:rsidRDefault="00EA571F">
            <w:r w:rsidRPr="00D026E2">
              <w:t>Прифатено</w:t>
            </w:r>
          </w:p>
        </w:tc>
      </w:tr>
      <w:tr w:rsidR="00C55D4A" w:rsidRPr="00D026E2" w:rsidTr="004001BB">
        <w:trPr>
          <w:trHeight w:val="510"/>
        </w:trPr>
        <w:tc>
          <w:tcPr>
            <w:tcW w:w="1600" w:type="dxa"/>
            <w:vMerge/>
          </w:tcPr>
          <w:p w:rsidR="00C55D4A" w:rsidRPr="00D026E2" w:rsidRDefault="00C55D4A"/>
        </w:tc>
        <w:tc>
          <w:tcPr>
            <w:tcW w:w="6521" w:type="dxa"/>
          </w:tcPr>
          <w:p w:rsidR="00C55D4A" w:rsidRPr="00D026E2" w:rsidRDefault="00C55D4A">
            <w:r w:rsidRPr="00D026E2">
              <w:rPr>
                <w:rFonts w:ascii="Stobiserif regular" w:hAnsi="Stobiserif regular"/>
              </w:rPr>
              <w:t>6. Одредбата на член 11 став 5 ќе треба да изостане од причина што  утврдувањето на изворите на средства за изготвување на Стратегијата за развој на енергетиката не е предмет на закон</w:t>
            </w:r>
          </w:p>
          <w:p w:rsidR="00C55D4A" w:rsidRPr="00D026E2" w:rsidRDefault="00C55D4A" w:rsidP="00353459"/>
        </w:tc>
        <w:tc>
          <w:tcPr>
            <w:tcW w:w="4394" w:type="dxa"/>
          </w:tcPr>
          <w:p w:rsidR="00C55D4A" w:rsidRPr="00D026E2" w:rsidRDefault="00EA571F">
            <w:r w:rsidRPr="00D026E2">
              <w:t>Предлагаме да не се брише, со оглед дека  и во други закони е користена оваа формулација. На пример во Закон за животна средина, член 34</w:t>
            </w:r>
          </w:p>
        </w:tc>
      </w:tr>
      <w:tr w:rsidR="00C55D4A" w:rsidRPr="00D026E2" w:rsidTr="004001BB">
        <w:trPr>
          <w:trHeight w:val="555"/>
        </w:trPr>
        <w:tc>
          <w:tcPr>
            <w:tcW w:w="1600" w:type="dxa"/>
            <w:vMerge/>
          </w:tcPr>
          <w:p w:rsidR="00C55D4A" w:rsidRPr="00D026E2" w:rsidRDefault="00C55D4A"/>
        </w:tc>
        <w:tc>
          <w:tcPr>
            <w:tcW w:w="6521" w:type="dxa"/>
          </w:tcPr>
          <w:p w:rsidR="00C55D4A" w:rsidRPr="00D026E2" w:rsidRDefault="00C55D4A">
            <w:r w:rsidRPr="00D026E2">
              <w:rPr>
                <w:rFonts w:ascii="Stobiserif regular" w:hAnsi="Stobiserif regular"/>
              </w:rPr>
              <w:t xml:space="preserve">7. Одредбите на член 15 од Предлог-законот се уредува материјата за социјална заштита од енергетска сиромаштија на граѓаните при што се предвидува Владата на Република Македонија на предлог на Министерството за економија да усвои годишен акциски план за енергетска сиромаштија кој помеѓу останато уредува и </w:t>
            </w:r>
            <w:r w:rsidRPr="00D026E2">
              <w:rPr>
                <w:rFonts w:ascii="Stobiserif regular" w:hAnsi="Stobiserif regular"/>
              </w:rPr>
              <w:lastRenderedPageBreak/>
              <w:t xml:space="preserve">критериуми за утврдување на потрошувачите кои спаѓаат во категорија на ранливи потрошувачи. Со оглед на тоа што согласно Законот за социјална заштита Владата на Република Македонија донесува врз основа на член 10 став 2 програма за субвенционирање на потрошувачка на енергија во која утврдува корисници, мерки, модалитети на субвенции, носители и извори на средства ќе треба да се преоцени донесувањето на предложениот Акционен план за енергетска сиромаштија за да не дојде до паралелно уредување или на колизија на одредби по однос на прашањето за субвенционирање на социјално ранливи групи. Воедно од содржината на Акциониот план би требало да изостанат точките 3, 4, 5 и 6 со оглед на тоа што согласно областа што ја уредуваат не кореспондираат со материјата поврзана со социјална заштита на ранливиот слој на граѓаните на Република Македонија. Во спротивно ќе треба да се предложи наместо акциски план кој има карактер на  оперативна програма за спроведување на мерките за олеснување на енергетската сиромаштија, донесување на Програма за подршка со која би се уредиле предметните прашања при што воедно би се предложиле измени во цитираниот закон од областа на социјалната заштита за нивно престанување на важење. </w:t>
            </w:r>
          </w:p>
          <w:p w:rsidR="00C55D4A" w:rsidRPr="00D026E2" w:rsidRDefault="00C55D4A" w:rsidP="00353459"/>
        </w:tc>
        <w:tc>
          <w:tcPr>
            <w:tcW w:w="4394" w:type="dxa"/>
          </w:tcPr>
          <w:p w:rsidR="00C55D4A" w:rsidRPr="00D026E2" w:rsidRDefault="00EA571F">
            <w:r w:rsidRPr="00D026E2">
              <w:lastRenderedPageBreak/>
              <w:t>Прифатена сугестија. Во член 15 направени се измени заради услогласување со Програмата од член 10 од законот за социјална заштита</w:t>
            </w:r>
          </w:p>
        </w:tc>
      </w:tr>
      <w:tr w:rsidR="00C55D4A" w:rsidRPr="00D026E2" w:rsidTr="004001BB">
        <w:trPr>
          <w:trHeight w:val="360"/>
        </w:trPr>
        <w:tc>
          <w:tcPr>
            <w:tcW w:w="1600" w:type="dxa"/>
            <w:vMerge/>
          </w:tcPr>
          <w:p w:rsidR="00C55D4A" w:rsidRPr="00D026E2" w:rsidRDefault="00C55D4A"/>
        </w:tc>
        <w:tc>
          <w:tcPr>
            <w:tcW w:w="6521" w:type="dxa"/>
          </w:tcPr>
          <w:p w:rsidR="00C55D4A" w:rsidRPr="00D026E2" w:rsidRDefault="00C55D4A" w:rsidP="00353459">
            <w:r w:rsidRPr="00D026E2">
              <w:rPr>
                <w:rFonts w:ascii="Stobiserif regular" w:hAnsi="Stobiserif regular"/>
              </w:rPr>
              <w:t>8. Во членот 16 став 5 ќе треба да изостане упатувањето дека прашањата утврдени во статутот на Регулаторната Комисија за енергетика  за внатрешно уредување, работа  и одлучување се уредуваат и со друг закон, со оглед на тоа што овој закон е основен закон кој ги уредува овие прашања</w:t>
            </w:r>
          </w:p>
        </w:tc>
        <w:tc>
          <w:tcPr>
            <w:tcW w:w="4394" w:type="dxa"/>
          </w:tcPr>
          <w:p w:rsidR="00C55D4A" w:rsidRPr="00D026E2" w:rsidRDefault="00012E91">
            <w:r w:rsidRPr="00D026E2">
              <w:t xml:space="preserve">Сметаме дека оваа одредба треба да остане, бидејќи некои прашања се уредени со Законот за водни услуги. </w:t>
            </w:r>
          </w:p>
        </w:tc>
      </w:tr>
      <w:tr w:rsidR="00C55D4A" w:rsidRPr="00D026E2" w:rsidTr="004001BB">
        <w:trPr>
          <w:trHeight w:val="317"/>
        </w:trPr>
        <w:tc>
          <w:tcPr>
            <w:tcW w:w="1600" w:type="dxa"/>
            <w:vMerge/>
          </w:tcPr>
          <w:p w:rsidR="00C55D4A" w:rsidRPr="00D026E2" w:rsidRDefault="00C55D4A"/>
        </w:tc>
        <w:tc>
          <w:tcPr>
            <w:tcW w:w="6521" w:type="dxa"/>
          </w:tcPr>
          <w:p w:rsidR="00C55D4A" w:rsidRPr="00D026E2" w:rsidRDefault="00C55D4A"/>
          <w:p w:rsidR="00C55D4A" w:rsidRPr="00D026E2" w:rsidRDefault="00C55D4A" w:rsidP="00353459">
            <w:pPr>
              <w:rPr>
                <w:rFonts w:ascii="Stobiserif regular" w:hAnsi="Stobiserif regular"/>
              </w:rPr>
            </w:pPr>
            <w:r w:rsidRPr="00D026E2">
              <w:rPr>
                <w:rFonts w:ascii="Stobiserif regular" w:hAnsi="Stobiserif regular"/>
              </w:rPr>
              <w:t>9. Во членот 17 став 4 ќе треба да се прецизира дали мандатот на членот на Регулаторната комисија за енергетика може да се реализира последователно или вкупно по истекот на определен број на години. Ова укажување соодветно се однесува и за мандатот на членовите на Комисијата за оценка на барањата за овластување утврдени во член 54 став 6 од предлог законот.</w:t>
            </w:r>
          </w:p>
          <w:p w:rsidR="00C55D4A" w:rsidRPr="00D026E2" w:rsidRDefault="00C55D4A" w:rsidP="00353459"/>
        </w:tc>
        <w:tc>
          <w:tcPr>
            <w:tcW w:w="4394" w:type="dxa"/>
          </w:tcPr>
          <w:p w:rsidR="005974D7" w:rsidRPr="00D026E2" w:rsidRDefault="005974D7"/>
          <w:p w:rsidR="005974D7" w:rsidRPr="00D026E2" w:rsidRDefault="005974D7"/>
          <w:p w:rsidR="00C55D4A" w:rsidRPr="00D026E2" w:rsidRDefault="00012E91">
            <w:r w:rsidRPr="00D026E2">
              <w:t xml:space="preserve">Усогласено </w:t>
            </w:r>
          </w:p>
        </w:tc>
      </w:tr>
      <w:tr w:rsidR="00C55D4A" w:rsidRPr="00D026E2" w:rsidTr="004001BB">
        <w:trPr>
          <w:trHeight w:val="399"/>
        </w:trPr>
        <w:tc>
          <w:tcPr>
            <w:tcW w:w="1600" w:type="dxa"/>
            <w:vMerge/>
          </w:tcPr>
          <w:p w:rsidR="00C55D4A" w:rsidRPr="00D026E2" w:rsidRDefault="00C55D4A"/>
        </w:tc>
        <w:tc>
          <w:tcPr>
            <w:tcW w:w="6521" w:type="dxa"/>
          </w:tcPr>
          <w:p w:rsidR="00C55D4A" w:rsidRPr="00D026E2" w:rsidRDefault="00C55D4A" w:rsidP="00353459">
            <w:pPr>
              <w:rPr>
                <w:rFonts w:ascii="Stobiserif regular" w:hAnsi="Stobiserif regular"/>
              </w:rPr>
            </w:pPr>
            <w:r w:rsidRPr="00D026E2">
              <w:rPr>
                <w:rFonts w:ascii="Stobiserif regular" w:hAnsi="Stobiserif regular"/>
              </w:rPr>
              <w:t xml:space="preserve">10. Според наша оценка сите акти кои се во рамките на надлежност на Регулаторната комисија за енергетика а кои се дисперзирани низ текстот на законот би требало да се вградат во Главата III заради поконзистентна уреденост на текстот на  законот. </w:t>
            </w:r>
          </w:p>
          <w:p w:rsidR="00C55D4A" w:rsidRPr="00D026E2" w:rsidRDefault="00C55D4A" w:rsidP="00353459"/>
        </w:tc>
        <w:tc>
          <w:tcPr>
            <w:tcW w:w="4394" w:type="dxa"/>
          </w:tcPr>
          <w:p w:rsidR="00C55D4A" w:rsidRPr="00D026E2" w:rsidRDefault="00012E91">
            <w:r w:rsidRPr="00D026E2">
              <w:t>Усогласено</w:t>
            </w:r>
          </w:p>
        </w:tc>
      </w:tr>
      <w:tr w:rsidR="00C55D4A" w:rsidRPr="00D026E2" w:rsidTr="004001BB">
        <w:trPr>
          <w:trHeight w:val="4140"/>
        </w:trPr>
        <w:tc>
          <w:tcPr>
            <w:tcW w:w="1600" w:type="dxa"/>
            <w:vMerge/>
          </w:tcPr>
          <w:p w:rsidR="00C55D4A" w:rsidRPr="00D026E2" w:rsidRDefault="00C55D4A"/>
        </w:tc>
        <w:tc>
          <w:tcPr>
            <w:tcW w:w="6521" w:type="dxa"/>
          </w:tcPr>
          <w:p w:rsidR="00C55D4A" w:rsidRPr="00D026E2" w:rsidRDefault="00C55D4A" w:rsidP="00D34E94">
            <w:pPr>
              <w:rPr>
                <w:rFonts w:ascii="Stobiserif regular" w:hAnsi="Stobiserif regular"/>
              </w:rPr>
            </w:pPr>
            <w:r w:rsidRPr="00D026E2">
              <w:rPr>
                <w:rFonts w:ascii="Stobiserif regular" w:hAnsi="Stobiserif regular"/>
              </w:rPr>
              <w:t>11. Согласно одредбата на член 20 став 3 од предлог законот, вработените во стручните и административните служби на Регулаторната комисија за енергетика имаат статус на административни службеници и за нив се применуваат одредбите од Законот за административни службеници, така што не е јасно како  со прописот од став 4 на овој член Регулаторната комисија за енергетика може да утврди висина на плата за истите не според висините на платите по цитираниот закон туку според ниво на плати на вработени во енергетски претпријатија, во која смисла оваа одредба ќе треба да се преработи. Ова дотолку повеќе што согласно член 35 став 3 од Предлог законот платите на членовите и вработените на Регулаторната комисија за енергетика утврдени во финасискиот план се предмет на усвојување од страна на Собранието на Република Македонија.</w:t>
            </w:r>
          </w:p>
          <w:p w:rsidR="00C55D4A" w:rsidRPr="00D026E2" w:rsidRDefault="00C55D4A" w:rsidP="00353459"/>
        </w:tc>
        <w:tc>
          <w:tcPr>
            <w:tcW w:w="4394" w:type="dxa"/>
          </w:tcPr>
          <w:p w:rsidR="00012E91" w:rsidRPr="00D026E2" w:rsidRDefault="00012E91" w:rsidP="00012E91">
            <w:r w:rsidRPr="00D026E2">
              <w:t xml:space="preserve">Согласно член 4 став 2 од Закон за административни службеници – каде има отстапка – како и кај Агенцијата за електронски комуникации согласно Законот за електронски комуникации </w:t>
            </w:r>
          </w:p>
          <w:p w:rsidR="00C55D4A" w:rsidRPr="00D026E2" w:rsidRDefault="00C55D4A"/>
        </w:tc>
      </w:tr>
      <w:tr w:rsidR="00C55D4A" w:rsidRPr="00D026E2" w:rsidTr="004001BB">
        <w:trPr>
          <w:trHeight w:val="356"/>
        </w:trPr>
        <w:tc>
          <w:tcPr>
            <w:tcW w:w="1600" w:type="dxa"/>
            <w:vMerge/>
          </w:tcPr>
          <w:p w:rsidR="00C55D4A" w:rsidRPr="00D026E2" w:rsidRDefault="00C55D4A"/>
        </w:tc>
        <w:tc>
          <w:tcPr>
            <w:tcW w:w="6521" w:type="dxa"/>
          </w:tcPr>
          <w:p w:rsidR="00C55D4A" w:rsidRPr="00D026E2" w:rsidRDefault="00C55D4A" w:rsidP="00216077">
            <w:pPr>
              <w:rPr>
                <w:rFonts w:ascii="Stobiserif regular" w:hAnsi="Stobiserif regular"/>
              </w:rPr>
            </w:pPr>
            <w:r w:rsidRPr="00D026E2">
              <w:rPr>
                <w:rFonts w:ascii="Stobiserif regular" w:hAnsi="Stobiserif regular"/>
              </w:rPr>
              <w:t>12. Називите на Регистрите кои согласно член 24 став 1 точка 3 ги води Регулаторната комисија за енергетика ќе треба да се усогласат со називите утврдени во другите одредби од Предлог Законот, како и да се утврдат овластувања за пропишување на формата,содржината и начинот на водење на истите. Ова укажување соодветно  се однесува и за одредбата на член 182 став 2 во поглед на регистарот кој го води Агенцијата за енергетика.</w:t>
            </w:r>
          </w:p>
          <w:p w:rsidR="00C55D4A" w:rsidRPr="00D026E2" w:rsidRDefault="00C55D4A"/>
          <w:p w:rsidR="00C55D4A" w:rsidRPr="00D026E2" w:rsidRDefault="00C55D4A" w:rsidP="00353459"/>
        </w:tc>
        <w:tc>
          <w:tcPr>
            <w:tcW w:w="4394" w:type="dxa"/>
          </w:tcPr>
          <w:p w:rsidR="00C55D4A" w:rsidRPr="00D026E2" w:rsidRDefault="009B7072">
            <w:r w:rsidRPr="00D026E2">
              <w:t>Прифатено. (Надлежноста на Агенцијата за енергетика за водењето на регистри е регулирано во член 184)</w:t>
            </w:r>
          </w:p>
        </w:tc>
      </w:tr>
      <w:tr w:rsidR="00C55D4A" w:rsidRPr="00D026E2" w:rsidTr="004001BB">
        <w:trPr>
          <w:trHeight w:val="435"/>
        </w:trPr>
        <w:tc>
          <w:tcPr>
            <w:tcW w:w="1600" w:type="dxa"/>
            <w:vMerge/>
          </w:tcPr>
          <w:p w:rsidR="00C55D4A" w:rsidRPr="00D026E2" w:rsidRDefault="00C55D4A"/>
        </w:tc>
        <w:tc>
          <w:tcPr>
            <w:tcW w:w="6521" w:type="dxa"/>
          </w:tcPr>
          <w:p w:rsidR="00C55D4A" w:rsidRPr="00D026E2" w:rsidRDefault="00C55D4A" w:rsidP="00216077">
            <w:pPr>
              <w:rPr>
                <w:rFonts w:ascii="Stobiserif regular" w:hAnsi="Stobiserif regular"/>
              </w:rPr>
            </w:pPr>
            <w:r w:rsidRPr="00D026E2">
              <w:rPr>
                <w:rFonts w:ascii="Stobiserif regular" w:hAnsi="Stobiserif regular"/>
              </w:rPr>
              <w:t xml:space="preserve">13. Регулаторната комисија за енергетика според член 25 став 10 кога ќе утврди дека не постои ефикасна конкуренција на енергетските пазари ќе презема неопходни и соодветни мерки и тоа во соработка со Комисијата за заштита на конкуренцијата и Секретаријатот на енергетската заедница, при што не е јасно како </w:t>
            </w:r>
            <w:r w:rsidRPr="00D026E2">
              <w:rPr>
                <w:rFonts w:ascii="Stobiserif regular" w:hAnsi="Stobiserif regular"/>
              </w:rPr>
              <w:lastRenderedPageBreak/>
              <w:t>ќе може да се реализира ваквата соработката на двете институции кои се на различно ниво на субординација ( национално и меѓународно) , како и преку кои механизми и инструменти ке ги спроведе констатираните и утврдени мерки за ефикасно функционирање на енергетските пазари. Ова начелно укажување се однесува и за другите одредби од предлог законот каде се определува ваквиот начин на работа на Регулаторната комисија за енергетика ( како на пример членови 70 став 4; 111 ставови 5 и 6; 164 ставови 9,10,11 и 12 идруги).</w:t>
            </w:r>
          </w:p>
          <w:p w:rsidR="00C55D4A" w:rsidRPr="00D026E2" w:rsidRDefault="00C55D4A" w:rsidP="00353459"/>
        </w:tc>
        <w:tc>
          <w:tcPr>
            <w:tcW w:w="4394" w:type="dxa"/>
          </w:tcPr>
          <w:p w:rsidR="00C55D4A" w:rsidRPr="00D026E2" w:rsidRDefault="00F6697B">
            <w:r w:rsidRPr="00D026E2">
              <w:lastRenderedPageBreak/>
              <w:t xml:space="preserve">Оваа одредба е согласно барањата на Директивата за електрична енергија 2009/72 како и соодветната Регулатива </w:t>
            </w:r>
          </w:p>
        </w:tc>
      </w:tr>
      <w:tr w:rsidR="00C55D4A" w:rsidRPr="00D026E2" w:rsidTr="004001BB">
        <w:trPr>
          <w:trHeight w:val="420"/>
        </w:trPr>
        <w:tc>
          <w:tcPr>
            <w:tcW w:w="1600" w:type="dxa"/>
            <w:vMerge/>
          </w:tcPr>
          <w:p w:rsidR="00C55D4A" w:rsidRPr="00D026E2" w:rsidRDefault="00C55D4A"/>
        </w:tc>
        <w:tc>
          <w:tcPr>
            <w:tcW w:w="6521" w:type="dxa"/>
          </w:tcPr>
          <w:p w:rsidR="00C55D4A" w:rsidRPr="00D026E2" w:rsidRDefault="00C55D4A" w:rsidP="00353459">
            <w:r w:rsidRPr="00D026E2">
              <w:rPr>
                <w:rFonts w:ascii="Stobiserif regular" w:hAnsi="Stobiserif regular"/>
              </w:rPr>
              <w:t xml:space="preserve">14. Република Македонија е една од договорните страни на Договорот за енергетска заедница и согласно одредбите на истиот е должна да ги спроведува обврските утврдени со истиот кои се однесуваат помеѓу останатото и на известување на Секретаријатот на енергетската заедница за сите активности кои согласно овој предлог закон ги превземаат не само вршителите на енергетските дејности туку и Владата на Република Македонија, Министерството за економија и Регулаторната комисија за енергетика , меѓутоа според наша оценка би требало да изостане утврдувањето на овластувања на ова меѓународно тело да одлучува во определени рокови за активности и акти на извршната власт на Република Македонија како што е тоа на пример  уредено во член 12 став 4 од овој предлог закон. Ова укажување соодветно се однесува и на улогата и поставеноста на Регулаторниот одбор на енергетската заедница како што е тоа утврдено во член 84 став 10 и член 163 ставови 5 и 9. </w:t>
            </w:r>
          </w:p>
          <w:p w:rsidR="00C55D4A" w:rsidRPr="00D026E2" w:rsidRDefault="00C55D4A" w:rsidP="00353459"/>
        </w:tc>
        <w:tc>
          <w:tcPr>
            <w:tcW w:w="4394" w:type="dxa"/>
          </w:tcPr>
          <w:p w:rsidR="00F6697B" w:rsidRPr="00D026E2" w:rsidRDefault="00457707" w:rsidP="00F6697B">
            <w:r w:rsidRPr="00D026E2">
              <w:t>Оваа одредба е преземена с</w:t>
            </w:r>
            <w:r w:rsidR="00F6697B" w:rsidRPr="00D026E2">
              <w:t xml:space="preserve">огласно </w:t>
            </w:r>
            <w:r w:rsidRPr="00D026E2">
              <w:t>Д</w:t>
            </w:r>
            <w:r w:rsidR="00F6697B" w:rsidRPr="00D026E2">
              <w:t>ирективата и Член 15 став 6 од Регулатива 714/2009</w:t>
            </w:r>
          </w:p>
          <w:p w:rsidR="00C55D4A" w:rsidRPr="00D026E2" w:rsidRDefault="00C55D4A"/>
        </w:tc>
      </w:tr>
      <w:tr w:rsidR="00C55D4A" w:rsidRPr="00D026E2" w:rsidTr="004001BB">
        <w:trPr>
          <w:trHeight w:val="435"/>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353459">
            <w:r w:rsidRPr="00D026E2">
              <w:rPr>
                <w:rFonts w:ascii="Stobiserif regular" w:hAnsi="Stobiserif regular"/>
              </w:rPr>
              <w:t>15. Во членот 35 став 7 ќе треба да се прецизира рокот до кој Регулаторната комисија за енергетика може да ја продолжи  одлуката за времено финасирање</w:t>
            </w:r>
          </w:p>
          <w:p w:rsidR="00C55D4A" w:rsidRPr="00D026E2" w:rsidRDefault="00C55D4A" w:rsidP="00353459"/>
          <w:p w:rsidR="00C55D4A" w:rsidRPr="00D026E2" w:rsidRDefault="00C55D4A" w:rsidP="00353459"/>
        </w:tc>
        <w:tc>
          <w:tcPr>
            <w:tcW w:w="4394" w:type="dxa"/>
          </w:tcPr>
          <w:p w:rsidR="005974D7" w:rsidRPr="00D026E2" w:rsidRDefault="005974D7"/>
          <w:p w:rsidR="00C55D4A" w:rsidRPr="00D026E2" w:rsidRDefault="00457707">
            <w:r w:rsidRPr="00D026E2">
              <w:t>Прифатено</w:t>
            </w:r>
          </w:p>
        </w:tc>
      </w:tr>
      <w:tr w:rsidR="00C55D4A" w:rsidRPr="00D026E2" w:rsidTr="004001BB">
        <w:trPr>
          <w:trHeight w:val="356"/>
        </w:trPr>
        <w:tc>
          <w:tcPr>
            <w:tcW w:w="1600" w:type="dxa"/>
            <w:vMerge/>
          </w:tcPr>
          <w:p w:rsidR="00C55D4A" w:rsidRPr="00D026E2" w:rsidRDefault="00C55D4A"/>
        </w:tc>
        <w:tc>
          <w:tcPr>
            <w:tcW w:w="6521" w:type="dxa"/>
          </w:tcPr>
          <w:p w:rsidR="00C55D4A" w:rsidRPr="00D026E2" w:rsidRDefault="00C55D4A" w:rsidP="00216077">
            <w:pPr>
              <w:rPr>
                <w:rFonts w:ascii="Stobiserif regular" w:hAnsi="Stobiserif regular"/>
              </w:rPr>
            </w:pPr>
            <w:r w:rsidRPr="00D026E2">
              <w:rPr>
                <w:rFonts w:ascii="Stobiserif regular" w:hAnsi="Stobiserif regular"/>
              </w:rPr>
              <w:t xml:space="preserve">16. Во одредбата на член 40 став 1 од предлог законот се утврдува дека само  правни лица  основани од странско лице во Република Македонија и правни лица основани во друга држава која е </w:t>
            </w:r>
            <w:r w:rsidRPr="00D026E2">
              <w:rPr>
                <w:rFonts w:ascii="Stobiserif regular" w:hAnsi="Stobiserif regular"/>
              </w:rPr>
              <w:lastRenderedPageBreak/>
              <w:t xml:space="preserve">договорна страна на Договорот за енергетска заедница можат со примена на реципроцитет да вршат енергетски дејности во Република Македонија, меѓутоа со тоа  се ограничува можноста за учество на правни лица и од други држави со што создаваме правна нееднаквост за учество на енергетскиот пазар. </w:t>
            </w:r>
          </w:p>
          <w:p w:rsidR="00C55D4A" w:rsidRPr="00D026E2" w:rsidRDefault="00C55D4A" w:rsidP="00353459"/>
        </w:tc>
        <w:tc>
          <w:tcPr>
            <w:tcW w:w="4394" w:type="dxa"/>
          </w:tcPr>
          <w:p w:rsidR="00C55D4A" w:rsidRPr="00D026E2" w:rsidRDefault="00457707">
            <w:r w:rsidRPr="00D026E2">
              <w:lastRenderedPageBreak/>
              <w:t>Одредбата е согласно  барањата од Директивата и во член 38 се утврдуваат случаите кога не е потребна лиценца</w:t>
            </w:r>
          </w:p>
        </w:tc>
      </w:tr>
      <w:tr w:rsidR="00C55D4A" w:rsidRPr="00D026E2" w:rsidTr="004001BB">
        <w:trPr>
          <w:trHeight w:val="453"/>
        </w:trPr>
        <w:tc>
          <w:tcPr>
            <w:tcW w:w="1600" w:type="dxa"/>
            <w:vMerge/>
          </w:tcPr>
          <w:p w:rsidR="00C55D4A" w:rsidRPr="00D026E2" w:rsidRDefault="00C55D4A"/>
        </w:tc>
        <w:tc>
          <w:tcPr>
            <w:tcW w:w="6521" w:type="dxa"/>
          </w:tcPr>
          <w:p w:rsidR="00C55D4A" w:rsidRPr="00D026E2" w:rsidRDefault="00C55D4A" w:rsidP="00216077">
            <w:pPr>
              <w:rPr>
                <w:rFonts w:ascii="Stobiserif regular" w:hAnsi="Stobiserif regular"/>
              </w:rPr>
            </w:pPr>
            <w:r w:rsidRPr="00D026E2">
              <w:rPr>
                <w:rFonts w:ascii="Stobiserif regular" w:hAnsi="Stobiserif regular"/>
              </w:rPr>
              <w:t>17. Во членовите 44 став 1 и 48 став 1 ќе треба да се прецизира рокот за поднесување на барање за промена на лиценца по барање на носителот и по службена должност од страна на Регулаторната комисија за енергетика ,односно за важењето на суспензијата на лиценцата</w:t>
            </w:r>
          </w:p>
          <w:p w:rsidR="00C55D4A" w:rsidRPr="00D026E2" w:rsidRDefault="00C55D4A" w:rsidP="00353459"/>
          <w:p w:rsidR="00C55D4A" w:rsidRPr="00D026E2" w:rsidRDefault="00C55D4A" w:rsidP="00353459"/>
        </w:tc>
        <w:tc>
          <w:tcPr>
            <w:tcW w:w="4394" w:type="dxa"/>
          </w:tcPr>
          <w:p w:rsidR="00C55D4A" w:rsidRPr="00D026E2" w:rsidRDefault="00457707">
            <w:r w:rsidRPr="00D026E2">
              <w:t xml:space="preserve">Прифатено </w:t>
            </w:r>
            <w:r w:rsidR="00831B28" w:rsidRPr="00D026E2">
              <w:t>(член 45 и 49)</w:t>
            </w:r>
          </w:p>
        </w:tc>
      </w:tr>
      <w:tr w:rsidR="00C55D4A" w:rsidRPr="00D026E2" w:rsidTr="004001BB">
        <w:trPr>
          <w:trHeight w:val="480"/>
        </w:trPr>
        <w:tc>
          <w:tcPr>
            <w:tcW w:w="1600" w:type="dxa"/>
            <w:vMerge/>
          </w:tcPr>
          <w:p w:rsidR="00C55D4A" w:rsidRPr="00D026E2" w:rsidRDefault="00C55D4A"/>
        </w:tc>
        <w:tc>
          <w:tcPr>
            <w:tcW w:w="6521" w:type="dxa"/>
          </w:tcPr>
          <w:p w:rsidR="00C55D4A" w:rsidRPr="00D026E2" w:rsidRDefault="00C55D4A" w:rsidP="00353459">
            <w:r w:rsidRPr="00D026E2">
              <w:rPr>
                <w:rFonts w:ascii="Stobiserif regular" w:hAnsi="Stobiserif regular"/>
              </w:rPr>
              <w:t xml:space="preserve">18. Со оглед на тоа што согласно член 54 став 4 од предлог законот Владата на </w:t>
            </w:r>
            <w:r w:rsidR="00831B28" w:rsidRPr="00D026E2">
              <w:rPr>
                <w:rFonts w:ascii="Stobiserif regular" w:hAnsi="Stobiserif regular"/>
              </w:rPr>
              <w:t>Р</w:t>
            </w:r>
            <w:r w:rsidRPr="00D026E2">
              <w:rPr>
                <w:rFonts w:ascii="Stobiserif regular" w:hAnsi="Stobiserif regular"/>
              </w:rPr>
              <w:t>епублика Македонија  го определува надоместок за работа на членовите на Комисијата за спроведување на постапка за доделување на овластувања за објекти ќе треба да се предвидат и критериуми за определување на висината на истиот</w:t>
            </w:r>
          </w:p>
          <w:p w:rsidR="00C55D4A" w:rsidRPr="00D026E2" w:rsidRDefault="00C55D4A" w:rsidP="00353459"/>
        </w:tc>
        <w:tc>
          <w:tcPr>
            <w:tcW w:w="4394" w:type="dxa"/>
          </w:tcPr>
          <w:p w:rsidR="00C55D4A" w:rsidRPr="00D026E2" w:rsidRDefault="00831B28" w:rsidP="00831B28">
            <w:pPr>
              <w:tabs>
                <w:tab w:val="left" w:pos="1245"/>
              </w:tabs>
            </w:pPr>
            <w:r w:rsidRPr="00D026E2">
              <w:t xml:space="preserve">Прифатено (член 56). Направена е корекција според примерот во Законот за хартии од вредност 232-б став 8 </w:t>
            </w:r>
          </w:p>
        </w:tc>
      </w:tr>
      <w:tr w:rsidR="00C55D4A" w:rsidRPr="00D026E2" w:rsidTr="004001BB">
        <w:trPr>
          <w:trHeight w:val="585"/>
        </w:trPr>
        <w:tc>
          <w:tcPr>
            <w:tcW w:w="1600" w:type="dxa"/>
            <w:vMerge/>
          </w:tcPr>
          <w:p w:rsidR="00C55D4A" w:rsidRPr="00D026E2" w:rsidRDefault="00C55D4A"/>
        </w:tc>
        <w:tc>
          <w:tcPr>
            <w:tcW w:w="6521" w:type="dxa"/>
          </w:tcPr>
          <w:p w:rsidR="00C55D4A" w:rsidRPr="00D026E2" w:rsidRDefault="00C55D4A" w:rsidP="00216077">
            <w:pPr>
              <w:rPr>
                <w:rFonts w:ascii="Stobiserif regular" w:hAnsi="Stobiserif regular"/>
              </w:rPr>
            </w:pPr>
            <w:r w:rsidRPr="00D026E2">
              <w:rPr>
                <w:rFonts w:ascii="Stobiserif regular" w:hAnsi="Stobiserif regular"/>
              </w:rPr>
              <w:t>19. Со оглед на тоа што согласно член 64 став 1 од предлог законот изградбата на нови системи за дистрибуција на природен гас е во надлежност како на Владата на Република Македонија така и на единиците на локалната самоуправа, во одредбите на овој член ќе треба да се разграничи и доразработи постапката за доделување на договор за јавно приватно партнерство и за двата субјекта.</w:t>
            </w:r>
          </w:p>
          <w:p w:rsidR="00C55D4A" w:rsidRPr="00D026E2" w:rsidRDefault="00C55D4A" w:rsidP="00353459"/>
        </w:tc>
        <w:tc>
          <w:tcPr>
            <w:tcW w:w="4394" w:type="dxa"/>
          </w:tcPr>
          <w:p w:rsidR="00C55D4A" w:rsidRPr="00D026E2" w:rsidRDefault="004001BB">
            <w:r w:rsidRPr="00D026E2">
              <w:t xml:space="preserve">Усогласено со </w:t>
            </w:r>
            <w:r w:rsidR="00831B28" w:rsidRPr="00D026E2">
              <w:t>законот за ЈПП-  постапка за ЕЛС – но да се провериме со закон за ЈПП дали сите ставови од овој член се предвидени во законот за концесии и ЈПП.  – бришан став 6 кој е предвиден во закон за концесии и ЈПП</w:t>
            </w:r>
          </w:p>
        </w:tc>
      </w:tr>
      <w:tr w:rsidR="00C55D4A" w:rsidRPr="00D026E2" w:rsidTr="004001BB">
        <w:trPr>
          <w:trHeight w:val="141"/>
        </w:trPr>
        <w:tc>
          <w:tcPr>
            <w:tcW w:w="1600" w:type="dxa"/>
            <w:vMerge/>
          </w:tcPr>
          <w:p w:rsidR="00C55D4A" w:rsidRPr="00D026E2" w:rsidRDefault="00C55D4A"/>
        </w:tc>
        <w:tc>
          <w:tcPr>
            <w:tcW w:w="6521" w:type="dxa"/>
          </w:tcPr>
          <w:p w:rsidR="00C55D4A" w:rsidRPr="00D026E2" w:rsidRDefault="00C55D4A" w:rsidP="00353459">
            <w:r w:rsidRPr="00D026E2">
              <w:rPr>
                <w:rFonts w:ascii="Stobiserif regular" w:hAnsi="Stobiserif regular"/>
              </w:rPr>
              <w:t>20. Од содржината на одредбата на член 70 став 4 не е јасно прецизирано кои субјекти ги имаат основачките права за управување со правните лица кои вршат дејност оператор со електропреносниот систем, производство и/или снабдување со електрична енергија, во која смисла оваа одредба ќе треба соодветно да се доразработи и се определат субјектите  на управувањето. Ова укажување соодветно се однесува и на член 108 став 5 од предлог законот</w:t>
            </w:r>
          </w:p>
        </w:tc>
        <w:tc>
          <w:tcPr>
            <w:tcW w:w="4394" w:type="dxa"/>
          </w:tcPr>
          <w:p w:rsidR="00C55D4A" w:rsidRPr="00D026E2" w:rsidRDefault="00831B28">
            <w:r w:rsidRPr="00D026E2">
              <w:t xml:space="preserve">Прифатено (член 72 и 110) </w:t>
            </w:r>
          </w:p>
        </w:tc>
      </w:tr>
      <w:tr w:rsidR="00C55D4A" w:rsidRPr="00D026E2" w:rsidTr="004001BB">
        <w:trPr>
          <w:trHeight w:val="495"/>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216077">
            <w:pPr>
              <w:rPr>
                <w:rFonts w:ascii="Stobiserif regular" w:hAnsi="Stobiserif regular"/>
              </w:rPr>
            </w:pPr>
            <w:r w:rsidRPr="00D026E2">
              <w:rPr>
                <w:rFonts w:ascii="Stobiserif regular" w:hAnsi="Stobiserif regular"/>
              </w:rPr>
              <w:t>21. Во членот 79 став 1 ќе треба децидно да се утврдат видовите на надоместоци кои ги наплаќа операторот на електропреносниот систем како и да се прецизира ситуацијата по основ на која ќе се наплаќа и надоместокот за зајакнување на мрежата наместо тоа да се предостава само кога “тоа е потребно“.</w:t>
            </w:r>
          </w:p>
          <w:p w:rsidR="00C55D4A" w:rsidRPr="00D026E2" w:rsidRDefault="00C55D4A" w:rsidP="00353459"/>
        </w:tc>
        <w:tc>
          <w:tcPr>
            <w:tcW w:w="4394" w:type="dxa"/>
          </w:tcPr>
          <w:p w:rsidR="00C55D4A" w:rsidRPr="00D026E2" w:rsidRDefault="00831B28">
            <w:r w:rsidRPr="00D026E2">
              <w:t xml:space="preserve">Прифатено </w:t>
            </w:r>
            <w:r w:rsidR="00EA437F" w:rsidRPr="00D026E2">
              <w:t>(член 81)</w:t>
            </w:r>
          </w:p>
        </w:tc>
      </w:tr>
      <w:tr w:rsidR="00C55D4A" w:rsidRPr="00D026E2" w:rsidTr="004001BB">
        <w:trPr>
          <w:trHeight w:val="435"/>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216077">
            <w:pPr>
              <w:rPr>
                <w:rFonts w:ascii="Stobiserif regular" w:hAnsi="Stobiserif regular"/>
              </w:rPr>
            </w:pPr>
            <w:r w:rsidRPr="00D026E2">
              <w:rPr>
                <w:rFonts w:ascii="Stobiserif regular" w:hAnsi="Stobiserif regular"/>
              </w:rPr>
              <w:t>22. Во членовите 85 и 96 се уредува прашање за остварување на дополнителни приходи кои ги остварува операторот на електропреносниот и електродистрибутивниот систем и како истите ги пресметува Регулаторната комисија, но со оглед на тоа што тие приходи се остваруваат при вршење на други дејности не е јасно утврдувањето на овластување за Регулаторната комисија да има право да  одлучува и по овој основ кога не е во доменот на нејзината надлежжност во која смисла овие одредби ке треба да се преоценат.</w:t>
            </w:r>
          </w:p>
          <w:p w:rsidR="00C55D4A" w:rsidRPr="00D026E2" w:rsidRDefault="00C55D4A" w:rsidP="00353459"/>
        </w:tc>
        <w:tc>
          <w:tcPr>
            <w:tcW w:w="4394" w:type="dxa"/>
          </w:tcPr>
          <w:p w:rsidR="00C55D4A" w:rsidRPr="00D026E2" w:rsidRDefault="00EA437F">
            <w:r w:rsidRPr="00D026E2">
              <w:t xml:space="preserve">Оваа одредба е согласно барањата на Енергетската Заедница </w:t>
            </w:r>
          </w:p>
        </w:tc>
      </w:tr>
      <w:tr w:rsidR="00C55D4A" w:rsidRPr="00D026E2" w:rsidTr="004001BB">
        <w:trPr>
          <w:trHeight w:val="356"/>
        </w:trPr>
        <w:tc>
          <w:tcPr>
            <w:tcW w:w="1600" w:type="dxa"/>
            <w:vMerge/>
          </w:tcPr>
          <w:p w:rsidR="00C55D4A" w:rsidRPr="00D026E2" w:rsidRDefault="00C55D4A"/>
        </w:tc>
        <w:tc>
          <w:tcPr>
            <w:tcW w:w="6521" w:type="dxa"/>
          </w:tcPr>
          <w:p w:rsidR="00C55D4A" w:rsidRPr="00D026E2" w:rsidRDefault="00C55D4A" w:rsidP="00216077">
            <w:pPr>
              <w:rPr>
                <w:rFonts w:ascii="Stobiserif regular" w:hAnsi="Stobiserif regular"/>
              </w:rPr>
            </w:pPr>
            <w:r w:rsidRPr="00D026E2">
              <w:rPr>
                <w:rFonts w:ascii="Stobiserif regular" w:hAnsi="Stobiserif regular"/>
              </w:rPr>
              <w:t>23. Правото да при преобразба на вертикално интегрирано претпријатие, преносот на средства на новоформираното правно лице во областа на производство и пренос на електрична енергија и природен гас како што е тоа на пример уредено во член 94 став 3 од предлог законот да не се смета за трансакција во согласност со прописите за оданочување ке треба да изостане со оглед дека ова прашање  не е предмет на овој закон туку на законите од даночната област. По однос на ова прашање ќе треба да се има во предвид мислењето на Министерството за финансии.</w:t>
            </w:r>
          </w:p>
          <w:p w:rsidR="00C55D4A" w:rsidRPr="00D026E2" w:rsidRDefault="00C55D4A" w:rsidP="00353459"/>
        </w:tc>
        <w:tc>
          <w:tcPr>
            <w:tcW w:w="4394" w:type="dxa"/>
          </w:tcPr>
          <w:p w:rsidR="00C55D4A" w:rsidRPr="00D026E2" w:rsidRDefault="00EA437F">
            <w:r w:rsidRPr="00D026E2">
              <w:t>Да се произнесе Министерство за Финансии (член 97 и член 133)</w:t>
            </w:r>
          </w:p>
        </w:tc>
      </w:tr>
      <w:tr w:rsidR="00C55D4A" w:rsidRPr="00D026E2" w:rsidTr="004001BB">
        <w:trPr>
          <w:trHeight w:val="360"/>
        </w:trPr>
        <w:tc>
          <w:tcPr>
            <w:tcW w:w="1600" w:type="dxa"/>
            <w:vMerge/>
          </w:tcPr>
          <w:p w:rsidR="00C55D4A" w:rsidRPr="00D026E2" w:rsidRDefault="00C55D4A"/>
        </w:tc>
        <w:tc>
          <w:tcPr>
            <w:tcW w:w="6521" w:type="dxa"/>
          </w:tcPr>
          <w:p w:rsidR="00C55D4A" w:rsidRPr="00D026E2" w:rsidRDefault="00C55D4A" w:rsidP="00353459">
            <w:pPr>
              <w:rPr>
                <w:rFonts w:ascii="Stobiserif regular" w:hAnsi="Stobiserif regular"/>
              </w:rPr>
            </w:pPr>
            <w:r w:rsidRPr="00D026E2">
              <w:rPr>
                <w:rFonts w:ascii="Stobiserif regular" w:hAnsi="Stobiserif regular"/>
              </w:rPr>
              <w:t>24. Во членот 102 став 4 точка 1 е утвредено дека трговецот со електрична енергија е должен да ги исполни барањата за финасиско обезбедување, но не е јасно кои се тие барања и каде истите се уредени така што ке треба ова прашање да се доразработи.</w:t>
            </w:r>
          </w:p>
        </w:tc>
        <w:tc>
          <w:tcPr>
            <w:tcW w:w="4394" w:type="dxa"/>
          </w:tcPr>
          <w:p w:rsidR="00C55D4A" w:rsidRPr="00D026E2" w:rsidRDefault="00EA437F">
            <w:r w:rsidRPr="00D026E2">
              <w:t>Прифатено. Во член 38 став 2 се прецизирани условите за добивање на лиценца</w:t>
            </w:r>
          </w:p>
        </w:tc>
      </w:tr>
      <w:tr w:rsidR="00C55D4A" w:rsidRPr="00D026E2" w:rsidTr="004001BB">
        <w:trPr>
          <w:trHeight w:val="738"/>
        </w:trPr>
        <w:tc>
          <w:tcPr>
            <w:tcW w:w="1600" w:type="dxa"/>
            <w:vMerge/>
          </w:tcPr>
          <w:p w:rsidR="00C55D4A" w:rsidRPr="00D026E2" w:rsidRDefault="00C55D4A"/>
        </w:tc>
        <w:tc>
          <w:tcPr>
            <w:tcW w:w="6521" w:type="dxa"/>
          </w:tcPr>
          <w:p w:rsidR="00C55D4A" w:rsidRPr="00D026E2" w:rsidRDefault="00C55D4A" w:rsidP="00353459">
            <w:r w:rsidRPr="00D026E2">
              <w:rPr>
                <w:rFonts w:ascii="Stobiserif regular" w:hAnsi="Stobiserif regular"/>
              </w:rPr>
              <w:t>25. Во членот 124 став 7 ке треба да се утврди со кој акт операторот на дистрибутивниот систем ја дефинира постапката за набавка на системски услуги и балансирање.</w:t>
            </w:r>
          </w:p>
        </w:tc>
        <w:tc>
          <w:tcPr>
            <w:tcW w:w="4394" w:type="dxa"/>
          </w:tcPr>
          <w:p w:rsidR="00C55D4A" w:rsidRPr="00D026E2" w:rsidRDefault="00CB7CF8" w:rsidP="00CB7CF8">
            <w:r w:rsidRPr="00D026E2">
              <w:t>Тоа се уредува со правилата за балансирање</w:t>
            </w:r>
            <w:r w:rsidR="001C66DC" w:rsidRPr="00D026E2">
              <w:t xml:space="preserve"> регулирани во</w:t>
            </w:r>
            <w:r w:rsidRPr="00D026E2">
              <w:t xml:space="preserve"> член 121 и мрежни</w:t>
            </w:r>
            <w:r w:rsidR="001C66DC" w:rsidRPr="00D026E2">
              <w:t>т</w:t>
            </w:r>
            <w:r w:rsidRPr="00D026E2">
              <w:t xml:space="preserve">е правила </w:t>
            </w:r>
            <w:r w:rsidR="001C66DC" w:rsidRPr="00D026E2">
              <w:t>регулирани во</w:t>
            </w:r>
            <w:r w:rsidRPr="00D026E2">
              <w:t xml:space="preserve"> член 123. </w:t>
            </w:r>
          </w:p>
        </w:tc>
      </w:tr>
      <w:tr w:rsidR="00C55D4A" w:rsidRPr="00D026E2" w:rsidTr="004001BB">
        <w:trPr>
          <w:trHeight w:val="495"/>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353459">
            <w:r w:rsidRPr="00D026E2">
              <w:rPr>
                <w:rFonts w:ascii="Stobiserif regular" w:hAnsi="Stobiserif regular"/>
              </w:rPr>
              <w:t>26. Во членот 130 став 1 ке треба да се определи ситуацијата која ќе представува исклучок за неприменување на обврските уредени во членовите 122 став 1 и 128 став 1 од овој предлог закон.</w:t>
            </w:r>
          </w:p>
        </w:tc>
        <w:tc>
          <w:tcPr>
            <w:tcW w:w="4394" w:type="dxa"/>
          </w:tcPr>
          <w:p w:rsidR="00C55D4A" w:rsidRPr="00D026E2" w:rsidRDefault="00C55D4A"/>
        </w:tc>
      </w:tr>
      <w:tr w:rsidR="00C55D4A" w:rsidRPr="00D026E2" w:rsidTr="004001BB">
        <w:trPr>
          <w:trHeight w:val="390"/>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D00E3C">
            <w:pPr>
              <w:rPr>
                <w:rFonts w:ascii="Stobiserif regular" w:hAnsi="Stobiserif regular"/>
              </w:rPr>
            </w:pPr>
            <w:r w:rsidRPr="00D026E2">
              <w:rPr>
                <w:rFonts w:ascii="Stobiserif regular" w:hAnsi="Stobiserif regular"/>
              </w:rPr>
              <w:t>27. Во членот 145 став 2 е утврдено дека за квалитетот на нафтените деривати и горивата за транспорт покрај вршителите на енергетската дејност се одговорни и Царинската управа и Државниот пазарен инспекторат, но не е јасно како овие органи треба да сносат одговорност за состојби и предмети за кои согласно својата поставеност не се надлежни.</w:t>
            </w:r>
          </w:p>
          <w:p w:rsidR="00C55D4A" w:rsidRPr="00D026E2" w:rsidRDefault="00C55D4A" w:rsidP="00F37CDB"/>
        </w:tc>
        <w:tc>
          <w:tcPr>
            <w:tcW w:w="4394" w:type="dxa"/>
          </w:tcPr>
          <w:p w:rsidR="00C55D4A" w:rsidRPr="00D026E2" w:rsidRDefault="00B140CE">
            <w:r w:rsidRPr="00D026E2">
              <w:t xml:space="preserve">Усогласено, </w:t>
            </w:r>
            <w:r w:rsidR="00823726" w:rsidRPr="00D026E2">
              <w:t>нов член 150</w:t>
            </w:r>
          </w:p>
        </w:tc>
      </w:tr>
      <w:tr w:rsidR="00C55D4A" w:rsidRPr="00D026E2" w:rsidTr="004001BB">
        <w:trPr>
          <w:trHeight w:val="401"/>
        </w:trPr>
        <w:tc>
          <w:tcPr>
            <w:tcW w:w="1600" w:type="dxa"/>
            <w:vMerge/>
          </w:tcPr>
          <w:p w:rsidR="00C55D4A" w:rsidRPr="00D026E2" w:rsidRDefault="00C55D4A"/>
        </w:tc>
        <w:tc>
          <w:tcPr>
            <w:tcW w:w="6521" w:type="dxa"/>
          </w:tcPr>
          <w:p w:rsidR="00C55D4A" w:rsidRPr="00D026E2" w:rsidRDefault="00C55D4A" w:rsidP="00353459">
            <w:r w:rsidRPr="00D026E2">
              <w:rPr>
                <w:rFonts w:ascii="Stobiserif regular" w:hAnsi="Stobiserif regular"/>
              </w:rPr>
              <w:t>28. Според наша оценка одредбите на членовите 163 став 13 и 164 став 12 ќе треба да изостанат со оглед на тоа што уредуваат прашање за престанок на важење на мислење на Секретаријатот за енергетска заедница, акт кој го носи супранационално тело и кој по својот правна поставеност е ирелевантно да се уредува со законодавството на Република Македонија</w:t>
            </w:r>
          </w:p>
        </w:tc>
        <w:tc>
          <w:tcPr>
            <w:tcW w:w="4394" w:type="dxa"/>
          </w:tcPr>
          <w:p w:rsidR="00E06C52" w:rsidRPr="00D026E2" w:rsidRDefault="00BC36D2" w:rsidP="00BC36D2">
            <w:pPr>
              <w:pStyle w:val="Stavovi"/>
              <w:numPr>
                <w:ilvl w:val="0"/>
                <w:numId w:val="0"/>
              </w:numPr>
              <w:jc w:val="both"/>
              <w:rPr>
                <w:lang w:val="mk-MK"/>
              </w:rPr>
            </w:pPr>
            <w:r w:rsidRPr="00D026E2">
              <w:rPr>
                <w:lang w:val="mk-MK"/>
              </w:rPr>
              <w:t>П</w:t>
            </w:r>
            <w:r w:rsidR="00E06C52" w:rsidRPr="00D026E2">
              <w:rPr>
                <w:lang w:val="mk-MK"/>
              </w:rPr>
              <w:t xml:space="preserve">рифатлив е ставот на законодавство дека </w:t>
            </w:r>
            <w:r w:rsidRPr="00D026E2">
              <w:rPr>
                <w:lang w:val="mk-MK"/>
              </w:rPr>
              <w:t>се</w:t>
            </w:r>
            <w:r w:rsidR="00E06C52" w:rsidRPr="00D026E2">
              <w:rPr>
                <w:lang w:val="mk-MK"/>
              </w:rPr>
              <w:t xml:space="preserve"> уредуваат прашање за престанок на важење на мислење на </w:t>
            </w:r>
            <w:bookmarkStart w:id="1" w:name="_Hlk501836119"/>
            <w:r w:rsidR="00E06C52" w:rsidRPr="00D026E2">
              <w:rPr>
                <w:lang w:val="mk-MK"/>
              </w:rPr>
              <w:t>Секретаријатот за енергетска заедница</w:t>
            </w:r>
            <w:bookmarkEnd w:id="1"/>
            <w:r w:rsidR="00E06C52" w:rsidRPr="00D026E2">
              <w:rPr>
                <w:lang w:val="mk-MK"/>
              </w:rPr>
              <w:t xml:space="preserve">, акт кој го носи супранационално тело и кој по својот правна поставеност е ирелевантно да се уредува со законодавството на Република Македонија. </w:t>
            </w:r>
          </w:p>
          <w:p w:rsidR="00C87975" w:rsidRPr="00D026E2" w:rsidRDefault="00E06C52" w:rsidP="00C87975">
            <w:pPr>
              <w:pStyle w:val="Stavovi"/>
              <w:numPr>
                <w:ilvl w:val="0"/>
                <w:numId w:val="0"/>
              </w:numPr>
              <w:ind w:left="-17"/>
              <w:jc w:val="both"/>
              <w:rPr>
                <w:lang w:val="mk-MK"/>
              </w:rPr>
            </w:pPr>
            <w:r w:rsidRPr="00D026E2">
              <w:rPr>
                <w:lang w:val="mk-MK"/>
              </w:rPr>
              <w:t>Меѓутоа, одредб</w:t>
            </w:r>
            <w:proofErr w:type="spellStart"/>
            <w:r w:rsidR="00BC36D2" w:rsidRPr="00D026E2">
              <w:t>ите</w:t>
            </w:r>
            <w:proofErr w:type="spellEnd"/>
            <w:r w:rsidR="001B5509" w:rsidRPr="00D026E2">
              <w:rPr>
                <w:lang w:val="mk-MK"/>
              </w:rPr>
              <w:t xml:space="preserve"> </w:t>
            </w:r>
            <w:proofErr w:type="spellStart"/>
            <w:r w:rsidR="00BC36D2" w:rsidRPr="00D026E2">
              <w:t>се</w:t>
            </w:r>
            <w:proofErr w:type="spellEnd"/>
            <w:r w:rsidR="00BC36D2" w:rsidRPr="00D026E2">
              <w:t xml:space="preserve"> </w:t>
            </w:r>
            <w:r w:rsidRPr="00D026E2">
              <w:rPr>
                <w:lang w:val="mk-MK"/>
              </w:rPr>
              <w:t>преземен</w:t>
            </w:r>
            <w:r w:rsidR="00BC36D2" w:rsidRPr="00D026E2">
              <w:t>и</w:t>
            </w:r>
            <w:r w:rsidRPr="00D026E2">
              <w:rPr>
                <w:lang w:val="mk-MK"/>
              </w:rPr>
              <w:t xml:space="preserve"> од </w:t>
            </w:r>
            <w:bookmarkStart w:id="2" w:name="_Hlk501835660"/>
            <w:r w:rsidRPr="00D026E2">
              <w:rPr>
                <w:lang w:val="mk-MK"/>
              </w:rPr>
              <w:t>член 17, став 8 параграф 5 од Регулативата 714/2009</w:t>
            </w:r>
            <w:r w:rsidR="00BC36D2" w:rsidRPr="00D026E2">
              <w:t xml:space="preserve"> и </w:t>
            </w:r>
            <w:bookmarkEnd w:id="2"/>
            <w:r w:rsidRPr="00D026E2">
              <w:rPr>
                <w:lang w:val="mk-MK"/>
              </w:rPr>
              <w:t>член 36 став 9 од Директивата 2009/73 и според одлуката на Министерскиот совет овие одредби се задолжителни за договорните страни и треба да се читаат на следниов начин</w:t>
            </w:r>
            <w:r w:rsidR="00BC36D2" w:rsidRPr="00D026E2">
              <w:rPr>
                <w:b/>
              </w:rPr>
              <w:t xml:space="preserve"> </w:t>
            </w:r>
          </w:p>
          <w:p w:rsidR="00BC36D2" w:rsidRPr="00D026E2" w:rsidRDefault="00BC36D2" w:rsidP="00C87975">
            <w:pPr>
              <w:pStyle w:val="Stavovi"/>
              <w:numPr>
                <w:ilvl w:val="0"/>
                <w:numId w:val="0"/>
              </w:numPr>
              <w:ind w:left="-17"/>
              <w:jc w:val="both"/>
              <w:rPr>
                <w:lang w:val="mk-MK"/>
              </w:rPr>
            </w:pPr>
            <w:r w:rsidRPr="00D026E2">
              <w:rPr>
                <w:b/>
                <w:lang w:val="mk-MK"/>
              </w:rPr>
              <w:t>член 17, став 8 параграф 5 од Регулативата 714/2009: „</w:t>
            </w:r>
            <w:r w:rsidRPr="00D026E2">
              <w:rPr>
                <w:lang w:val="mk-MK"/>
              </w:rPr>
              <w:t xml:space="preserve">The Secretariat’s opinion on an exemption decision </w:t>
            </w:r>
            <w:r w:rsidRPr="00D026E2">
              <w:rPr>
                <w:u w:val="single"/>
                <w:lang w:val="mk-MK"/>
              </w:rPr>
              <w:t>shall expire</w:t>
            </w:r>
            <w:r w:rsidRPr="00D026E2">
              <w:rPr>
                <w:lang w:val="mk-MK"/>
              </w:rPr>
              <w:t xml:space="preserve"> two years after the date of its adoption in the event that construction of the interconnector has not yet started by that date, and five years after the date of its adoption if the interconnector has not become operational by that date, unless the Secretariat considers that any delay is due </w:t>
            </w:r>
            <w:r w:rsidRPr="00D026E2">
              <w:rPr>
                <w:lang w:val="mk-MK"/>
              </w:rPr>
              <w:lastRenderedPageBreak/>
              <w:t>to major obstacles beyond the control of the person to whom the exemption has been granted.“</w:t>
            </w:r>
          </w:p>
          <w:p w:rsidR="00BC36D2" w:rsidRPr="00D026E2" w:rsidRDefault="00BC36D2" w:rsidP="00BC36D2">
            <w:pPr>
              <w:pStyle w:val="Stavovi"/>
              <w:numPr>
                <w:ilvl w:val="0"/>
                <w:numId w:val="0"/>
              </w:numPr>
              <w:ind w:left="360"/>
              <w:jc w:val="both"/>
              <w:rPr>
                <w:lang w:val="mk-MK"/>
              </w:rPr>
            </w:pPr>
          </w:p>
          <w:p w:rsidR="00BC36D2" w:rsidRPr="00D026E2" w:rsidRDefault="00BC36D2" w:rsidP="00C87975">
            <w:pPr>
              <w:pStyle w:val="Stavovi"/>
              <w:numPr>
                <w:ilvl w:val="0"/>
                <w:numId w:val="0"/>
              </w:numPr>
              <w:ind w:left="-17"/>
              <w:jc w:val="both"/>
              <w:rPr>
                <w:lang w:val="mk-MK"/>
              </w:rPr>
            </w:pPr>
            <w:r w:rsidRPr="00D026E2">
              <w:rPr>
                <w:b/>
                <w:lang w:val="mk-MK"/>
              </w:rPr>
              <w:t xml:space="preserve">член 36 став 9 од Директивата 2009/73: </w:t>
            </w:r>
            <w:r w:rsidRPr="00D026E2">
              <w:rPr>
                <w:lang w:val="mk-MK"/>
              </w:rPr>
              <w:t>„</w:t>
            </w:r>
            <w:r w:rsidRPr="00D026E2">
              <w:t xml:space="preserve">The Secretariat’s opinion on an exemption decision </w:t>
            </w:r>
            <w:r w:rsidRPr="00D026E2">
              <w:rPr>
                <w:u w:val="single"/>
              </w:rPr>
              <w:t>shall lose its effect</w:t>
            </w:r>
            <w:r w:rsidRPr="00D026E2">
              <w:t xml:space="preserve"> two years from its adoption in the event that construction of the infrastructure has not yet started, and five years from its adoption in the event that the infrastructure has not become operational unless the Secretariat considers that any delay is due to major obstacles beyond control of the person to whom the exemption has been granted.</w:t>
            </w:r>
            <w:r w:rsidRPr="00D026E2">
              <w:rPr>
                <w:lang w:val="mk-MK"/>
              </w:rPr>
              <w:t>“</w:t>
            </w:r>
          </w:p>
          <w:p w:rsidR="001B5509" w:rsidRPr="00D026E2" w:rsidRDefault="001B5509" w:rsidP="00C87975">
            <w:pPr>
              <w:pStyle w:val="Stavovi"/>
              <w:numPr>
                <w:ilvl w:val="0"/>
                <w:numId w:val="0"/>
              </w:numPr>
              <w:ind w:left="-17"/>
              <w:jc w:val="both"/>
              <w:rPr>
                <w:lang w:val="mk-MK"/>
              </w:rPr>
            </w:pPr>
            <w:r w:rsidRPr="00D026E2">
              <w:rPr>
                <w:b/>
                <w:lang w:val="mk-MK"/>
              </w:rPr>
              <w:t>Сепак, направени се корекции во членовите 167 и 168</w:t>
            </w:r>
          </w:p>
          <w:p w:rsidR="00C55D4A" w:rsidRPr="00D026E2" w:rsidRDefault="00C55D4A" w:rsidP="00E06C52"/>
        </w:tc>
      </w:tr>
      <w:tr w:rsidR="00C55D4A" w:rsidRPr="00D026E2" w:rsidTr="004001BB">
        <w:trPr>
          <w:trHeight w:val="623"/>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F37CDB">
            <w:pPr>
              <w:rPr>
                <w:rFonts w:ascii="Stobiserif regular" w:hAnsi="Stobiserif regular"/>
              </w:rPr>
            </w:pPr>
            <w:r w:rsidRPr="00D026E2">
              <w:rPr>
                <w:rFonts w:ascii="Stobiserif regular" w:hAnsi="Stobiserif regular"/>
              </w:rPr>
              <w:t>29. Во членот 174 став ќе треба да се утврди дека предметната активност се однесува за Република Македонија а не за други држави од причина што законодавството на Република Македонија важи и се применува само за Република Македонија.</w:t>
            </w:r>
          </w:p>
          <w:p w:rsidR="00C55D4A" w:rsidRPr="00D026E2" w:rsidRDefault="00C55D4A" w:rsidP="00353459"/>
        </w:tc>
        <w:tc>
          <w:tcPr>
            <w:tcW w:w="4394" w:type="dxa"/>
          </w:tcPr>
          <w:p w:rsidR="00C55D4A" w:rsidRPr="00D026E2" w:rsidRDefault="001B5509">
            <w:r w:rsidRPr="00D026E2">
              <w:t>Забелешката не е јасна. Од содржината на член 175 недвосмислено произлегува дека предвидените активности ги презема  исклучиво на Владата на РМ, односно  Владата ги презема активностите од став (1) само ако другата држава ги преземе дејствијата наведени во точките 1) и 2) од тој став.</w:t>
            </w:r>
          </w:p>
        </w:tc>
      </w:tr>
      <w:tr w:rsidR="00C55D4A" w:rsidRPr="00D026E2" w:rsidTr="004001BB">
        <w:trPr>
          <w:trHeight w:val="482"/>
        </w:trPr>
        <w:tc>
          <w:tcPr>
            <w:tcW w:w="1600" w:type="dxa"/>
            <w:vMerge/>
          </w:tcPr>
          <w:p w:rsidR="00C55D4A" w:rsidRPr="00D026E2" w:rsidRDefault="00C55D4A"/>
        </w:tc>
        <w:tc>
          <w:tcPr>
            <w:tcW w:w="6521" w:type="dxa"/>
          </w:tcPr>
          <w:p w:rsidR="00C55D4A" w:rsidRPr="00D026E2" w:rsidRDefault="00C55D4A" w:rsidP="00C55D4A">
            <w:pPr>
              <w:rPr>
                <w:rFonts w:ascii="Stobiserif regular" w:hAnsi="Stobiserif regular"/>
              </w:rPr>
            </w:pPr>
            <w:r w:rsidRPr="00D026E2">
              <w:rPr>
                <w:rFonts w:ascii="Stobiserif regular" w:hAnsi="Stobiserif regular"/>
              </w:rPr>
              <w:t xml:space="preserve">30. Со одредбите на член 179 од предлог законот се уредува прашањето за лиценцирање на инсталатери меѓутоа самата постапка за издавање на лиценцата, висината на надоместокот за издавање и условите кои треба да ги исполнат лицата кои сакаат да се стекнат со оваа лиценца не се разработени во која смисла ке треба овој член соодветно да се доразработи. Ова укажување соодветно се однесува и за ракувачите со енергетски уреди и постројки уредени во член 196 од предлог законот, како и за сертификатот за изведување, односно заварување на </w:t>
            </w:r>
            <w:r w:rsidRPr="00D026E2">
              <w:rPr>
                <w:rFonts w:ascii="Stobiserif regular" w:hAnsi="Stobiserif regular"/>
              </w:rPr>
              <w:lastRenderedPageBreak/>
              <w:t xml:space="preserve">полиетиленски цевки од член 197 во кој е уредено само признавањето на истиот доколку е стекнат во странство. </w:t>
            </w:r>
          </w:p>
          <w:p w:rsidR="00C55D4A" w:rsidRPr="00D026E2" w:rsidRDefault="00C55D4A" w:rsidP="00353459">
            <w:pPr>
              <w:rPr>
                <w:rFonts w:ascii="Stobiserif regular" w:hAnsi="Stobiserif regular"/>
              </w:rPr>
            </w:pPr>
          </w:p>
          <w:p w:rsidR="00C55D4A" w:rsidRPr="00D026E2" w:rsidRDefault="00C55D4A" w:rsidP="00353459"/>
        </w:tc>
        <w:tc>
          <w:tcPr>
            <w:tcW w:w="4394" w:type="dxa"/>
          </w:tcPr>
          <w:p w:rsidR="001B5509" w:rsidRPr="00D026E2" w:rsidRDefault="001B5509" w:rsidP="001B5509">
            <w:r w:rsidRPr="00D026E2">
              <w:lastRenderedPageBreak/>
              <w:t>Сметаме дека е доволно прецизен основот за да може да се изработат подзаконските акти (член 181</w:t>
            </w:r>
            <w:r w:rsidR="006B4816" w:rsidRPr="00D026E2">
              <w:t xml:space="preserve"> Член 199 и член 200)</w:t>
            </w:r>
          </w:p>
          <w:p w:rsidR="00C55D4A" w:rsidRPr="00D026E2" w:rsidRDefault="00C55D4A"/>
        </w:tc>
      </w:tr>
      <w:tr w:rsidR="00C55D4A" w:rsidRPr="00D026E2" w:rsidTr="004001BB">
        <w:trPr>
          <w:trHeight w:val="630"/>
        </w:trPr>
        <w:tc>
          <w:tcPr>
            <w:tcW w:w="1600" w:type="dxa"/>
            <w:vMerge/>
          </w:tcPr>
          <w:p w:rsidR="00C55D4A" w:rsidRPr="00D026E2" w:rsidRDefault="00C55D4A"/>
        </w:tc>
        <w:tc>
          <w:tcPr>
            <w:tcW w:w="6521" w:type="dxa"/>
          </w:tcPr>
          <w:p w:rsidR="00C55D4A" w:rsidRPr="00D026E2" w:rsidRDefault="00C55D4A" w:rsidP="00353459"/>
          <w:p w:rsidR="00C55D4A" w:rsidRPr="00D026E2" w:rsidRDefault="00C55D4A" w:rsidP="00353459">
            <w:r w:rsidRPr="00D026E2">
              <w:rPr>
                <w:rFonts w:ascii="Stobiserif regular" w:hAnsi="Stobiserif regular"/>
              </w:rPr>
              <w:t>31. Во членот 184 ке треба да се разграничи во кои ситуации и за кои повластени производители на електрична енергија Владата на Република Македонија ќе доделува премија а кои ќе имаат право на повластена тарифа. Воедно ке треба и да се доуреди материјата за донесување, содржина и примена на Програмата од став 3 на овој член, постапката за избор на корисници и услови кои истите треба да ги исполнат, особено од причина што преку истата ќе се доделува државна помош која како шема на помош би можела да се уреди во овој предлог на закон или како субвенција согласно предложената програма. Во овва смисла ќе треба да се преработи и членот 185 од предлог законот. По однос на ова прашање ќе треба да се има во предвид мислењето на Комисијата за заштита на конкуренцијата</w:t>
            </w:r>
          </w:p>
          <w:p w:rsidR="00C55D4A" w:rsidRPr="00D026E2" w:rsidRDefault="00C55D4A" w:rsidP="00353459"/>
        </w:tc>
        <w:tc>
          <w:tcPr>
            <w:tcW w:w="4394" w:type="dxa"/>
          </w:tcPr>
          <w:p w:rsidR="00D2537F" w:rsidRPr="00D026E2" w:rsidRDefault="00D2537F" w:rsidP="00D2537F">
            <w:pPr>
              <w:rPr>
                <w:color w:val="FF0000"/>
              </w:rPr>
            </w:pPr>
          </w:p>
          <w:p w:rsidR="00C55D4A" w:rsidRPr="00D026E2" w:rsidRDefault="00D2537F" w:rsidP="00D2537F">
            <w:r w:rsidRPr="00D026E2">
              <w:t xml:space="preserve">Членовите 187 и 188 ги регулираат повластениот производител и доделувањето на право на премија . Додека во однос на Програмата разговарано со КЗК и тие сметаат дека одредбите содржани во Законот во однос на Програмата се доволни. </w:t>
            </w:r>
          </w:p>
        </w:tc>
      </w:tr>
      <w:tr w:rsidR="00C55D4A" w:rsidRPr="00D026E2" w:rsidTr="004001BB">
        <w:trPr>
          <w:trHeight w:val="435"/>
        </w:trPr>
        <w:tc>
          <w:tcPr>
            <w:tcW w:w="1600" w:type="dxa"/>
            <w:vMerge/>
          </w:tcPr>
          <w:p w:rsidR="00C55D4A" w:rsidRPr="00D026E2" w:rsidRDefault="00C55D4A"/>
        </w:tc>
        <w:tc>
          <w:tcPr>
            <w:tcW w:w="6521" w:type="dxa"/>
          </w:tcPr>
          <w:p w:rsidR="00C55D4A" w:rsidRPr="00D026E2" w:rsidRDefault="00C55D4A" w:rsidP="00C55D4A">
            <w:pPr>
              <w:rPr>
                <w:rFonts w:ascii="Stobiserif regular" w:hAnsi="Stobiserif regular"/>
              </w:rPr>
            </w:pPr>
            <w:r w:rsidRPr="00D026E2">
              <w:rPr>
                <w:rFonts w:ascii="Stobiserif regular" w:hAnsi="Stobiserif regular"/>
              </w:rPr>
              <w:t>32. Во делот за надзор  ќе треба да се разработи постапката за вршење на надзор од страна на Регулаторната комисија за енергетика во смисла на определување на овластени лица кои треба да го вршат надзорот со точно определување на активностите кои овие лица треба да ги превземат при вршење на надзорот. Исто така ќе треба да се разграничат и точно определат областите на надзор помеѓу Државната техничка инспекција и Државниот пазарен инспекторат.</w:t>
            </w:r>
          </w:p>
          <w:p w:rsidR="00C55D4A" w:rsidRPr="00D026E2" w:rsidRDefault="00C55D4A" w:rsidP="00353459"/>
          <w:p w:rsidR="00C55D4A" w:rsidRPr="00D026E2" w:rsidRDefault="00C55D4A" w:rsidP="00353459"/>
        </w:tc>
        <w:tc>
          <w:tcPr>
            <w:tcW w:w="4394" w:type="dxa"/>
          </w:tcPr>
          <w:p w:rsidR="00C55D4A" w:rsidRPr="00D026E2" w:rsidRDefault="00D2537F">
            <w:r w:rsidRPr="00D026E2">
              <w:t xml:space="preserve">Тоа е прецизирано во прекршочните одредби </w:t>
            </w:r>
          </w:p>
        </w:tc>
      </w:tr>
      <w:tr w:rsidR="00C55D4A" w:rsidRPr="00D026E2" w:rsidTr="004001BB">
        <w:trPr>
          <w:trHeight w:val="420"/>
        </w:trPr>
        <w:tc>
          <w:tcPr>
            <w:tcW w:w="1600" w:type="dxa"/>
            <w:vMerge/>
          </w:tcPr>
          <w:p w:rsidR="00C55D4A" w:rsidRPr="00D026E2" w:rsidRDefault="00C55D4A"/>
        </w:tc>
        <w:tc>
          <w:tcPr>
            <w:tcW w:w="6521" w:type="dxa"/>
          </w:tcPr>
          <w:p w:rsidR="00C55D4A" w:rsidRPr="00D026E2" w:rsidRDefault="00C55D4A" w:rsidP="00C55D4A">
            <w:pPr>
              <w:rPr>
                <w:rFonts w:ascii="Stobiserif regular" w:hAnsi="Stobiserif regular"/>
              </w:rPr>
            </w:pPr>
            <w:r w:rsidRPr="00D026E2">
              <w:rPr>
                <w:rFonts w:ascii="Stobiserif regular" w:hAnsi="Stobiserif regular"/>
              </w:rPr>
              <w:t>33. По однос на делот за прекршоци ќе треба да се има во предвид мислењето на Министерството за правда како надлежен орган за овие прашања.</w:t>
            </w:r>
          </w:p>
          <w:p w:rsidR="00C55D4A" w:rsidRPr="00D026E2" w:rsidRDefault="00C55D4A" w:rsidP="00353459"/>
          <w:p w:rsidR="00C55D4A" w:rsidRPr="00D026E2" w:rsidRDefault="00C55D4A" w:rsidP="00353459"/>
        </w:tc>
        <w:tc>
          <w:tcPr>
            <w:tcW w:w="4394" w:type="dxa"/>
          </w:tcPr>
          <w:p w:rsidR="00C55D4A" w:rsidRPr="00D026E2" w:rsidRDefault="00D2537F">
            <w:r w:rsidRPr="00D026E2">
              <w:t xml:space="preserve">Земено е во предвид мислењето на Министерство за правда. </w:t>
            </w:r>
          </w:p>
        </w:tc>
      </w:tr>
      <w:tr w:rsidR="00C55D4A" w:rsidRPr="00D026E2" w:rsidTr="004001BB">
        <w:trPr>
          <w:trHeight w:val="390"/>
        </w:trPr>
        <w:tc>
          <w:tcPr>
            <w:tcW w:w="1600" w:type="dxa"/>
            <w:vMerge/>
          </w:tcPr>
          <w:p w:rsidR="00C55D4A" w:rsidRPr="00D026E2" w:rsidRDefault="00C55D4A"/>
        </w:tc>
        <w:tc>
          <w:tcPr>
            <w:tcW w:w="6521" w:type="dxa"/>
          </w:tcPr>
          <w:p w:rsidR="00C55D4A" w:rsidRPr="00D026E2" w:rsidRDefault="00C55D4A" w:rsidP="00C55D4A">
            <w:pPr>
              <w:rPr>
                <w:rFonts w:ascii="Stobiserif regular" w:hAnsi="Stobiserif regular"/>
              </w:rPr>
            </w:pPr>
            <w:r w:rsidRPr="00D026E2">
              <w:rPr>
                <w:rFonts w:ascii="Stobiserif regular" w:hAnsi="Stobiserif regular"/>
              </w:rPr>
              <w:t xml:space="preserve">34. Одредбите на членовите 237 и 238 ќе треба да изостанат а во членот 241 став 1 да се утврди дека со денот на влегувањето во </w:t>
            </w:r>
            <w:r w:rsidRPr="00D026E2">
              <w:rPr>
                <w:rFonts w:ascii="Stobiserif regular" w:hAnsi="Stobiserif regular"/>
              </w:rPr>
              <w:lastRenderedPageBreak/>
              <w:t>сила на овој закон ќе престане да важи Законот за енергетика освен одредбите кои се однесуваат на енергетската ефикасност и биогоривата, со точно наведување на членовите од законот кои ги уредуваат овие прашања.</w:t>
            </w:r>
          </w:p>
          <w:p w:rsidR="00C55D4A" w:rsidRPr="00D026E2" w:rsidRDefault="00C55D4A" w:rsidP="00353459"/>
        </w:tc>
        <w:tc>
          <w:tcPr>
            <w:tcW w:w="4394" w:type="dxa"/>
          </w:tcPr>
          <w:p w:rsidR="00C55D4A" w:rsidRPr="00D026E2" w:rsidRDefault="00D2537F">
            <w:r w:rsidRPr="00D026E2">
              <w:lastRenderedPageBreak/>
              <w:t xml:space="preserve">Со оглед дека енергетската ефикасност не е регулирана само во една глава туку низ </w:t>
            </w:r>
            <w:r w:rsidRPr="00D026E2">
              <w:lastRenderedPageBreak/>
              <w:t>голем дел од текстот на законот сметаме дека овој начин е посоодветен.</w:t>
            </w:r>
          </w:p>
        </w:tc>
      </w:tr>
    </w:tbl>
    <w:p w:rsidR="00216077" w:rsidRPr="00D026E2" w:rsidRDefault="00216077"/>
    <w:tbl>
      <w:tblPr>
        <w:tblStyle w:val="TableGrid"/>
        <w:tblW w:w="12958" w:type="dxa"/>
        <w:tblLook w:val="04A0" w:firstRow="1" w:lastRow="0" w:firstColumn="1" w:lastColumn="0" w:noHBand="0" w:noVBand="1"/>
      </w:tblPr>
      <w:tblGrid>
        <w:gridCol w:w="1696"/>
        <w:gridCol w:w="6945"/>
        <w:gridCol w:w="4317"/>
      </w:tblGrid>
      <w:tr w:rsidR="004001BB" w:rsidRPr="00D026E2" w:rsidTr="0070453C">
        <w:tc>
          <w:tcPr>
            <w:tcW w:w="1696" w:type="dxa"/>
          </w:tcPr>
          <w:p w:rsidR="004001BB" w:rsidRPr="00D026E2" w:rsidRDefault="004001BB" w:rsidP="0070453C">
            <w:r w:rsidRPr="00D026E2">
              <w:t xml:space="preserve">Министерство за правда </w:t>
            </w:r>
          </w:p>
        </w:tc>
        <w:tc>
          <w:tcPr>
            <w:tcW w:w="6945" w:type="dxa"/>
          </w:tcPr>
          <w:p w:rsidR="004001BB" w:rsidRPr="00D026E2" w:rsidRDefault="004001BB" w:rsidP="0070453C"/>
          <w:p w:rsidR="004001BB" w:rsidRPr="00D026E2" w:rsidRDefault="004001BB" w:rsidP="0070453C">
            <w:r w:rsidRPr="00D026E2">
              <w:rPr>
                <w:noProof/>
              </w:rPr>
              <w:drawing>
                <wp:inline distT="0" distB="0" distL="0" distR="0" wp14:anchorId="29A6EE70" wp14:editId="0416080C">
                  <wp:extent cx="4015409" cy="44808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П.jpg"/>
                          <pic:cNvPicPr/>
                        </pic:nvPicPr>
                        <pic:blipFill>
                          <a:blip r:embed="rId5">
                            <a:extLst>
                              <a:ext uri="{28A0092B-C50C-407E-A947-70E740481C1C}">
                                <a14:useLocalDpi xmlns:a14="http://schemas.microsoft.com/office/drawing/2010/main" val="0"/>
                              </a:ext>
                            </a:extLst>
                          </a:blip>
                          <a:stretch>
                            <a:fillRect/>
                          </a:stretch>
                        </pic:blipFill>
                        <pic:spPr>
                          <a:xfrm>
                            <a:off x="0" y="0"/>
                            <a:ext cx="4027337" cy="4494160"/>
                          </a:xfrm>
                          <a:prstGeom prst="rect">
                            <a:avLst/>
                          </a:prstGeom>
                        </pic:spPr>
                      </pic:pic>
                    </a:graphicData>
                  </a:graphic>
                </wp:inline>
              </w:drawing>
            </w:r>
          </w:p>
          <w:p w:rsidR="004001BB" w:rsidRPr="00D026E2" w:rsidRDefault="004001BB" w:rsidP="0070453C">
            <w:r w:rsidRPr="00D026E2">
              <w:rPr>
                <w:noProof/>
              </w:rPr>
              <w:lastRenderedPageBreak/>
              <w:drawing>
                <wp:inline distT="0" distB="0" distL="0" distR="0" wp14:anchorId="5C3F612A" wp14:editId="067F79EE">
                  <wp:extent cx="4102735" cy="5876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П1.jpg"/>
                          <pic:cNvPicPr/>
                        </pic:nvPicPr>
                        <pic:blipFill>
                          <a:blip r:embed="rId6">
                            <a:extLst>
                              <a:ext uri="{28A0092B-C50C-407E-A947-70E740481C1C}">
                                <a14:useLocalDpi xmlns:a14="http://schemas.microsoft.com/office/drawing/2010/main" val="0"/>
                              </a:ext>
                            </a:extLst>
                          </a:blip>
                          <a:stretch>
                            <a:fillRect/>
                          </a:stretch>
                        </pic:blipFill>
                        <pic:spPr>
                          <a:xfrm>
                            <a:off x="0" y="0"/>
                            <a:ext cx="4120631" cy="5901646"/>
                          </a:xfrm>
                          <a:prstGeom prst="rect">
                            <a:avLst/>
                          </a:prstGeom>
                        </pic:spPr>
                      </pic:pic>
                    </a:graphicData>
                  </a:graphic>
                </wp:inline>
              </w:drawing>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rPr>
                <w:noProof/>
              </w:rPr>
              <w:drawing>
                <wp:inline distT="0" distB="0" distL="0" distR="0" wp14:anchorId="637541A0" wp14:editId="246390BC">
                  <wp:extent cx="4079019" cy="2562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МП2.jpg"/>
                          <pic:cNvPicPr/>
                        </pic:nvPicPr>
                        <pic:blipFill>
                          <a:blip r:embed="rId7">
                            <a:extLst>
                              <a:ext uri="{28A0092B-C50C-407E-A947-70E740481C1C}">
                                <a14:useLocalDpi xmlns:a14="http://schemas.microsoft.com/office/drawing/2010/main" val="0"/>
                              </a:ext>
                            </a:extLst>
                          </a:blip>
                          <a:stretch>
                            <a:fillRect/>
                          </a:stretch>
                        </pic:blipFill>
                        <pic:spPr>
                          <a:xfrm>
                            <a:off x="0" y="0"/>
                            <a:ext cx="4116708" cy="2585970"/>
                          </a:xfrm>
                          <a:prstGeom prst="rect">
                            <a:avLst/>
                          </a:prstGeom>
                        </pic:spPr>
                      </pic:pic>
                    </a:graphicData>
                  </a:graphic>
                </wp:inline>
              </w:drawing>
            </w:r>
          </w:p>
          <w:p w:rsidR="004001BB" w:rsidRPr="00D026E2" w:rsidRDefault="004001BB" w:rsidP="0070453C">
            <w:pPr>
              <w:tabs>
                <w:tab w:val="left" w:pos="6312"/>
              </w:tabs>
            </w:pPr>
          </w:p>
        </w:tc>
        <w:tc>
          <w:tcPr>
            <w:tcW w:w="4317" w:type="dxa"/>
          </w:tcPr>
          <w:p w:rsidR="004001BB" w:rsidRPr="00D026E2" w:rsidRDefault="004001BB" w:rsidP="0070453C"/>
          <w:p w:rsidR="004001BB" w:rsidRPr="00D026E2" w:rsidRDefault="004001BB" w:rsidP="0070453C">
            <w:r w:rsidRPr="00D026E2">
              <w:t>Прифатено, член 215</w:t>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t>Прифатено, член 216</w:t>
            </w:r>
          </w:p>
          <w:p w:rsidR="000008B2" w:rsidRPr="00D026E2" w:rsidRDefault="000008B2" w:rsidP="0070453C">
            <w:pPr>
              <w:rPr>
                <w:i/>
              </w:rPr>
            </w:pPr>
          </w:p>
          <w:p w:rsidR="000008B2" w:rsidRPr="00D026E2" w:rsidRDefault="000008B2" w:rsidP="0070453C">
            <w:pPr>
              <w:rPr>
                <w:i/>
              </w:rPr>
            </w:pPr>
          </w:p>
          <w:p w:rsidR="000008B2" w:rsidRPr="00D026E2" w:rsidRDefault="000008B2" w:rsidP="0070453C">
            <w:pPr>
              <w:rPr>
                <w:i/>
              </w:rPr>
            </w:pPr>
          </w:p>
          <w:p w:rsidR="000008B2" w:rsidRPr="00D026E2" w:rsidRDefault="000008B2" w:rsidP="0070453C">
            <w:pPr>
              <w:rPr>
                <w:i/>
              </w:rPr>
            </w:pPr>
          </w:p>
          <w:p w:rsidR="000008B2" w:rsidRPr="00D026E2" w:rsidRDefault="000008B2" w:rsidP="0070453C">
            <w:pPr>
              <w:rPr>
                <w:i/>
              </w:rPr>
            </w:pPr>
          </w:p>
          <w:p w:rsidR="004001BB" w:rsidRPr="00D026E2" w:rsidRDefault="000008B2" w:rsidP="0070453C">
            <w:r w:rsidRPr="00D026E2">
              <w:t xml:space="preserve">Оваа одредба се применува во случај на издавање на прекршочен платен налог </w:t>
            </w:r>
          </w:p>
          <w:p w:rsidR="004001BB" w:rsidRPr="00D026E2" w:rsidRDefault="004001BB" w:rsidP="0070453C">
            <w:pPr>
              <w:rPr>
                <w:i/>
              </w:rPr>
            </w:pPr>
          </w:p>
          <w:p w:rsidR="004001BB" w:rsidRPr="00D026E2" w:rsidRDefault="004001BB" w:rsidP="0070453C">
            <w:pPr>
              <w:rPr>
                <w:i/>
              </w:rPr>
            </w:pPr>
          </w:p>
          <w:p w:rsidR="004001BB" w:rsidRPr="00D026E2" w:rsidRDefault="004001BB" w:rsidP="0070453C">
            <w:pPr>
              <w:rPr>
                <w:i/>
              </w:rPr>
            </w:pPr>
          </w:p>
          <w:p w:rsidR="004001BB" w:rsidRPr="00D026E2" w:rsidRDefault="004001BB" w:rsidP="0070453C">
            <w:r w:rsidRPr="00D026E2">
              <w:t xml:space="preserve">Прифатено </w:t>
            </w:r>
          </w:p>
          <w:p w:rsidR="004001BB" w:rsidRPr="00D026E2" w:rsidRDefault="004001BB" w:rsidP="0070453C"/>
          <w:p w:rsidR="004001BB" w:rsidRPr="00D026E2" w:rsidRDefault="004001BB" w:rsidP="0070453C"/>
          <w:p w:rsidR="004001BB" w:rsidRPr="00D026E2" w:rsidRDefault="004001BB" w:rsidP="0070453C">
            <w:r w:rsidRPr="00D026E2">
              <w:t xml:space="preserve">Прифатено. </w:t>
            </w:r>
          </w:p>
          <w:p w:rsidR="004001BB" w:rsidRPr="00D026E2" w:rsidRDefault="004001BB" w:rsidP="0070453C"/>
          <w:p w:rsidR="004001BB" w:rsidRPr="00D026E2" w:rsidRDefault="004001BB" w:rsidP="0070453C">
            <w:r w:rsidRPr="00D026E2">
              <w:t xml:space="preserve">Сменет е пристапот според кој РКЕ може да води прекршочна постапка и во член 214 утврдени се прекршоцџите за кои се поведува постапка пред надлежен суд. </w:t>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t xml:space="preserve">Прифатено </w:t>
            </w:r>
          </w:p>
          <w:p w:rsidR="004001BB" w:rsidRPr="00D026E2" w:rsidRDefault="004001BB" w:rsidP="0070453C"/>
          <w:p w:rsidR="00983D0A" w:rsidRPr="00D026E2" w:rsidRDefault="00983D0A" w:rsidP="0070453C"/>
          <w:p w:rsidR="004001BB" w:rsidRPr="00D026E2" w:rsidRDefault="004001BB" w:rsidP="0070453C">
            <w:r w:rsidRPr="00D026E2">
              <w:t>Прифатено</w:t>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t>Прифатено</w:t>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t xml:space="preserve">Прифатено. </w:t>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t>Прифатено</w:t>
            </w:r>
          </w:p>
          <w:p w:rsidR="004001BB" w:rsidRPr="00D026E2" w:rsidRDefault="004001BB" w:rsidP="0070453C"/>
          <w:p w:rsidR="00983D0A" w:rsidRPr="00D026E2" w:rsidRDefault="00983D0A" w:rsidP="0070453C"/>
          <w:p w:rsidR="00983D0A" w:rsidRPr="00D026E2" w:rsidRDefault="00983D0A" w:rsidP="0070453C"/>
          <w:p w:rsidR="004001BB" w:rsidRPr="00D026E2" w:rsidRDefault="004001BB" w:rsidP="0070453C">
            <w:r w:rsidRPr="00D026E2">
              <w:t>Прифатено</w:t>
            </w:r>
          </w:p>
          <w:p w:rsidR="004001BB" w:rsidRPr="00D026E2" w:rsidRDefault="004001BB" w:rsidP="0070453C"/>
          <w:p w:rsidR="004001BB" w:rsidRPr="00D026E2" w:rsidRDefault="004001BB" w:rsidP="0070453C"/>
          <w:p w:rsidR="004001BB" w:rsidRPr="00D026E2" w:rsidRDefault="004001BB" w:rsidP="0070453C"/>
          <w:p w:rsidR="00983D0A" w:rsidRPr="00D026E2" w:rsidRDefault="00983D0A" w:rsidP="0070453C"/>
          <w:p w:rsidR="00983D0A" w:rsidRPr="00D026E2" w:rsidRDefault="00983D0A" w:rsidP="0070453C"/>
          <w:p w:rsidR="004001BB" w:rsidRPr="00D026E2" w:rsidRDefault="004001BB" w:rsidP="0070453C">
            <w:r w:rsidRPr="00D026E2">
              <w:t>Прифатено. Член 214 став (2)</w:t>
            </w:r>
          </w:p>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p w:rsidR="004001BB" w:rsidRPr="00D026E2" w:rsidRDefault="004001BB" w:rsidP="0070453C">
            <w:r w:rsidRPr="00D026E2">
              <w:t>За оние подзаконски акти за кои нема предвидено посебен рок даден е општ рок за донесување во член 236 став (10)</w:t>
            </w:r>
          </w:p>
        </w:tc>
      </w:tr>
    </w:tbl>
    <w:p w:rsidR="004001BB" w:rsidRPr="00D026E2" w:rsidRDefault="004001BB"/>
    <w:p w:rsidR="004001BB" w:rsidRPr="00D026E2" w:rsidRDefault="004001BB"/>
    <w:tbl>
      <w:tblPr>
        <w:tblStyle w:val="TableGrid"/>
        <w:tblW w:w="13036" w:type="dxa"/>
        <w:tblLook w:val="04A0" w:firstRow="1" w:lastRow="0" w:firstColumn="1" w:lastColumn="0" w:noHBand="0" w:noVBand="1"/>
      </w:tblPr>
      <w:tblGrid>
        <w:gridCol w:w="1857"/>
        <w:gridCol w:w="7069"/>
        <w:gridCol w:w="4110"/>
      </w:tblGrid>
      <w:tr w:rsidR="004001BB" w:rsidRPr="00D026E2" w:rsidTr="0070453C">
        <w:trPr>
          <w:trHeight w:val="933"/>
        </w:trPr>
        <w:tc>
          <w:tcPr>
            <w:tcW w:w="1857" w:type="dxa"/>
            <w:vMerge w:val="restart"/>
          </w:tcPr>
          <w:p w:rsidR="004001BB" w:rsidRPr="00D026E2" w:rsidRDefault="004001BB" w:rsidP="0070453C">
            <w:r w:rsidRPr="00D026E2">
              <w:t xml:space="preserve">Министерство за животна средина и просторно планирање </w:t>
            </w:r>
          </w:p>
        </w:tc>
        <w:tc>
          <w:tcPr>
            <w:tcW w:w="7069" w:type="dxa"/>
          </w:tcPr>
          <w:p w:rsidR="004001BB" w:rsidRPr="00D026E2" w:rsidRDefault="004001BB" w:rsidP="0070453C">
            <w:r w:rsidRPr="00D026E2">
              <w:t xml:space="preserve">Воедначување на терминологијата за климатски промени низ целиот текст на законот односно секаде каде што се спо климатски промени да стои „ублажување на климатските промени </w:t>
            </w:r>
          </w:p>
          <w:p w:rsidR="004001BB" w:rsidRPr="00D026E2" w:rsidRDefault="004001BB" w:rsidP="0070453C"/>
        </w:tc>
        <w:tc>
          <w:tcPr>
            <w:tcW w:w="4110" w:type="dxa"/>
          </w:tcPr>
          <w:p w:rsidR="004001BB" w:rsidRPr="00D026E2" w:rsidRDefault="004001BB" w:rsidP="0070453C">
            <w:r w:rsidRPr="00D026E2">
              <w:t>Прифатена забелешка низ целиот текст на законот каде што се споменуваат климатски промени заменето е со ублажување на климатските промени</w:t>
            </w:r>
          </w:p>
        </w:tc>
      </w:tr>
      <w:tr w:rsidR="004001BB" w:rsidRPr="00D026E2" w:rsidTr="0070453C">
        <w:trPr>
          <w:trHeight w:val="1200"/>
        </w:trPr>
        <w:tc>
          <w:tcPr>
            <w:tcW w:w="1857" w:type="dxa"/>
            <w:vMerge/>
          </w:tcPr>
          <w:p w:rsidR="004001BB" w:rsidRPr="00D026E2" w:rsidRDefault="004001BB" w:rsidP="0070453C"/>
        </w:tc>
        <w:tc>
          <w:tcPr>
            <w:tcW w:w="7069" w:type="dxa"/>
          </w:tcPr>
          <w:p w:rsidR="004001BB" w:rsidRPr="00D026E2" w:rsidRDefault="004001BB" w:rsidP="0070453C">
            <w:r w:rsidRPr="00D026E2">
              <w:t>Во дефинициите да се пропише дефиниција за енергетска ефикасност</w:t>
            </w:r>
          </w:p>
        </w:tc>
        <w:tc>
          <w:tcPr>
            <w:tcW w:w="4110" w:type="dxa"/>
          </w:tcPr>
          <w:p w:rsidR="004001BB" w:rsidRPr="00D026E2" w:rsidRDefault="004001BB" w:rsidP="0070453C">
            <w:r w:rsidRPr="00D026E2">
              <w:t>Не се прифаќа бидејќи оваа дефиниција ќе биде вклучена во законот за енергетска ефикасност</w:t>
            </w:r>
          </w:p>
        </w:tc>
      </w:tr>
      <w:tr w:rsidR="004001BB" w:rsidRPr="00D026E2" w:rsidTr="0070453C">
        <w:trPr>
          <w:trHeight w:val="615"/>
        </w:trPr>
        <w:tc>
          <w:tcPr>
            <w:tcW w:w="1857" w:type="dxa"/>
            <w:vMerge/>
          </w:tcPr>
          <w:p w:rsidR="004001BB" w:rsidRPr="00D026E2" w:rsidRDefault="004001BB" w:rsidP="0070453C"/>
        </w:tc>
        <w:tc>
          <w:tcPr>
            <w:tcW w:w="7069" w:type="dxa"/>
          </w:tcPr>
          <w:p w:rsidR="004001BB" w:rsidRPr="00D026E2" w:rsidRDefault="004001BB" w:rsidP="0070453C">
            <w:r w:rsidRPr="00D026E2">
              <w:t>Во членот 6 во ставот (1) да се додаде и „ефикасно и економично користење на природните ресурси наменети за енергетско искористување</w:t>
            </w:r>
          </w:p>
        </w:tc>
        <w:tc>
          <w:tcPr>
            <w:tcW w:w="4110" w:type="dxa"/>
          </w:tcPr>
          <w:p w:rsidR="004001BB" w:rsidRPr="00D026E2" w:rsidRDefault="004001BB" w:rsidP="0070453C">
            <w:r w:rsidRPr="00D026E2">
              <w:t xml:space="preserve">Додаден е текстот ефикасно и економично користење на природните </w:t>
            </w:r>
            <w:r w:rsidRPr="00D026E2">
              <w:lastRenderedPageBreak/>
              <w:t>ресурси наменети за производство на енергија</w:t>
            </w:r>
          </w:p>
        </w:tc>
      </w:tr>
      <w:tr w:rsidR="004001BB" w:rsidRPr="00D026E2" w:rsidTr="0070453C">
        <w:trPr>
          <w:trHeight w:val="495"/>
        </w:trPr>
        <w:tc>
          <w:tcPr>
            <w:tcW w:w="1857" w:type="dxa"/>
            <w:vMerge/>
          </w:tcPr>
          <w:p w:rsidR="004001BB" w:rsidRPr="00D026E2" w:rsidRDefault="004001BB" w:rsidP="0070453C"/>
        </w:tc>
        <w:tc>
          <w:tcPr>
            <w:tcW w:w="7069" w:type="dxa"/>
          </w:tcPr>
          <w:p w:rsidR="004001BB" w:rsidRPr="00D026E2" w:rsidRDefault="004001BB" w:rsidP="0070453C">
            <w:r w:rsidRPr="00D026E2">
              <w:t>Во членот 9 во ставот (З) во точката З да се додадат зборовите и расположиви биланси на вода“ заради усогласување со прописите за управување со водите</w:t>
            </w:r>
          </w:p>
        </w:tc>
        <w:tc>
          <w:tcPr>
            <w:tcW w:w="4110" w:type="dxa"/>
          </w:tcPr>
          <w:p w:rsidR="004001BB" w:rsidRPr="00D026E2" w:rsidRDefault="004001BB" w:rsidP="0070453C">
            <w:r w:rsidRPr="00D026E2">
              <w:t>Не се прифаќа бидејќи одредбата се однесува на природен гас</w:t>
            </w:r>
          </w:p>
        </w:tc>
      </w:tr>
      <w:tr w:rsidR="004001BB" w:rsidRPr="00D026E2" w:rsidTr="0070453C">
        <w:trPr>
          <w:trHeight w:val="678"/>
        </w:trPr>
        <w:tc>
          <w:tcPr>
            <w:tcW w:w="1857" w:type="dxa"/>
            <w:vMerge/>
          </w:tcPr>
          <w:p w:rsidR="004001BB" w:rsidRPr="00D026E2" w:rsidRDefault="004001BB" w:rsidP="0070453C"/>
        </w:tc>
        <w:tc>
          <w:tcPr>
            <w:tcW w:w="7069" w:type="dxa"/>
          </w:tcPr>
          <w:p w:rsidR="004001BB" w:rsidRPr="00D026E2" w:rsidRDefault="004001BB" w:rsidP="0070453C">
            <w:pPr>
              <w:tabs>
                <w:tab w:val="left" w:pos="1065"/>
              </w:tabs>
              <w:rPr>
                <w:rFonts w:cstheme="minorHAnsi"/>
              </w:rPr>
            </w:pPr>
            <w:r w:rsidRPr="00D026E2">
              <w:rPr>
                <w:rFonts w:cstheme="minorHAnsi"/>
              </w:rPr>
              <w:t>Во член 17 став (2) сметаме дека најмалку две лица од членовите кои се во состав на регулаторната комисија треба да бидат претставници од секторот води. Имено со донесувањето на Законот за утврдување на ценити на водни услуги составот на комисијата од 5 се зголеми на 7 лица. Од таа причина сметаме дека најмалку еден член  треба да биде стручно лице за економски прашања од бласта на водите. Согласно</w:t>
            </w:r>
            <w:r w:rsidRPr="00D026E2">
              <w:rPr>
                <w:rFonts w:eastAsia="Times New Roman" w:cstheme="minorHAnsi"/>
              </w:rPr>
              <w:t xml:space="preserve"> ова предлагаме ставот 2 на членот 17 да гласи: „Еден член на Регулаторната комисија за енергетика е стручно лице за правни прашања од областа на енергетиката, еден член е стручно лице за економски прашања од областа на енергетиката, еден член е стручно лице за економски прашања од областа на  водите, еден член е стручно лице од областа на водните услуги и останатите членови се стручни лица за технички прашања од областа на енергетиката. </w:t>
            </w:r>
          </w:p>
          <w:p w:rsidR="004001BB" w:rsidRPr="00D026E2" w:rsidRDefault="004001BB" w:rsidP="0070453C">
            <w:pPr>
              <w:tabs>
                <w:tab w:val="left" w:pos="1065"/>
              </w:tabs>
            </w:pPr>
          </w:p>
        </w:tc>
        <w:tc>
          <w:tcPr>
            <w:tcW w:w="4110" w:type="dxa"/>
          </w:tcPr>
          <w:p w:rsidR="004001BB" w:rsidRPr="00D026E2" w:rsidRDefault="004001BB" w:rsidP="0070453C">
            <w:r w:rsidRPr="00D026E2">
              <w:t>Делумно се прифаќа додадено е еден член стручно лице за економски прашања од областа на енергетиката и/или води</w:t>
            </w:r>
          </w:p>
        </w:tc>
      </w:tr>
      <w:tr w:rsidR="004001BB" w:rsidRPr="00D026E2" w:rsidTr="0070453C">
        <w:trPr>
          <w:trHeight w:val="480"/>
        </w:trPr>
        <w:tc>
          <w:tcPr>
            <w:tcW w:w="1857" w:type="dxa"/>
            <w:vMerge/>
          </w:tcPr>
          <w:p w:rsidR="004001BB" w:rsidRPr="00D026E2" w:rsidRDefault="004001BB" w:rsidP="0070453C"/>
        </w:tc>
        <w:tc>
          <w:tcPr>
            <w:tcW w:w="7069" w:type="dxa"/>
          </w:tcPr>
          <w:p w:rsidR="004001BB" w:rsidRPr="00D026E2" w:rsidRDefault="004001BB" w:rsidP="0070453C">
            <w:pPr>
              <w:spacing w:after="8" w:line="269" w:lineRule="auto"/>
              <w:ind w:right="597"/>
              <w:rPr>
                <w:rFonts w:eastAsia="Times New Roman" w:cstheme="minorHAnsi"/>
              </w:rPr>
            </w:pPr>
            <w:r w:rsidRPr="00D026E2">
              <w:rPr>
                <w:rFonts w:eastAsia="Times New Roman" w:cstheme="minorHAnsi"/>
              </w:rPr>
              <w:t xml:space="preserve">Усогласување на член 50 од Законот за енергетика со прописите за животна средина. Имено во член 50 став (2) се наведува дека  овластување за изградба на нови енергетски објекти не е потребно доколку новиот производен енергетски објект е со вкупна инсталирана електрична и/или топлинска моКност помала или еднаква на 10 MW. Согласно прописите за животна средина поточно Уредбата за дејности или активности за кои задолжително се изработува елаборат, а за чие одобрување е надлежен органот за вршење на стручни работи од областа на животната средина за овие објекти е предвидено изработка на елаборат за животна средина. Во членот е наведено дека за овие објекти не е потребно добивање овластување ниту пак подолу во членот е наведено дека за истите Ке важат прописите за животна </w:t>
            </w:r>
            <w:r w:rsidRPr="00D026E2">
              <w:rPr>
                <w:rFonts w:eastAsia="Times New Roman" w:cstheme="minorHAnsi"/>
              </w:rPr>
              <w:lastRenderedPageBreak/>
              <w:t>средина. Од тие причини бараме наведените објекти да ги иземете од овој став или пак во посебен став да наведете дека за новиот производен енергетски објект кој е со вкупна инсталирана електрична и/или топлинска моКност помала или еднаква на 10 MW Ке важат прописите за животна средина во однос на оценувањето на влијанијата врз животната средина,</w:t>
            </w:r>
          </w:p>
          <w:p w:rsidR="004001BB" w:rsidRPr="00D026E2" w:rsidRDefault="004001BB" w:rsidP="0070453C">
            <w:pPr>
              <w:spacing w:after="8" w:line="269" w:lineRule="auto"/>
              <w:ind w:right="597"/>
              <w:rPr>
                <w:rFonts w:cstheme="minorHAnsi"/>
              </w:rPr>
            </w:pPr>
            <w:r w:rsidRPr="00D026E2">
              <w:rPr>
                <w:rFonts w:eastAsia="Times New Roman" w:cstheme="minorHAnsi"/>
              </w:rPr>
              <w:t xml:space="preserve">Предлагаме во ставот (4) од истиот член на крајот се додадат и зборовите: „и заштитата на животната средина. Ова го бараме од причина што за некои објекти доколку им се зголемува обемот на работа односно капацитетот треба соодветно да се спроведе оценка на влијанието врз животната преку изработка  на студија или елаборат согласно Законот за животна средина </w:t>
            </w:r>
          </w:p>
        </w:tc>
        <w:tc>
          <w:tcPr>
            <w:tcW w:w="4110" w:type="dxa"/>
          </w:tcPr>
          <w:p w:rsidR="004001BB" w:rsidRPr="00D026E2" w:rsidRDefault="004001BB" w:rsidP="0070453C">
            <w:r w:rsidRPr="00D026E2">
              <w:lastRenderedPageBreak/>
              <w:t xml:space="preserve">Не се прифаќа забелешката бидејќи при изградба на енергетски објект во целост се применуваат прописите за градење во кои се вградени и обврските на инвеститорот во областа на заштитата на животната средина. </w:t>
            </w:r>
          </w:p>
        </w:tc>
      </w:tr>
      <w:tr w:rsidR="004001BB" w:rsidRPr="00D026E2" w:rsidTr="0070453C">
        <w:trPr>
          <w:trHeight w:val="315"/>
        </w:trPr>
        <w:tc>
          <w:tcPr>
            <w:tcW w:w="1857" w:type="dxa"/>
            <w:vMerge/>
          </w:tcPr>
          <w:p w:rsidR="004001BB" w:rsidRPr="00D026E2" w:rsidRDefault="004001BB" w:rsidP="0070453C"/>
        </w:tc>
        <w:tc>
          <w:tcPr>
            <w:tcW w:w="7069" w:type="dxa"/>
          </w:tcPr>
          <w:p w:rsidR="004001BB" w:rsidRPr="00D026E2" w:rsidRDefault="004001BB" w:rsidP="0070453C">
            <w:pPr>
              <w:spacing w:line="281" w:lineRule="auto"/>
              <w:ind w:right="739"/>
              <w:rPr>
                <w:rFonts w:cstheme="minorHAnsi"/>
              </w:rPr>
            </w:pPr>
            <w:r w:rsidRPr="00D026E2">
              <w:rPr>
                <w:rFonts w:eastAsia="Times New Roman" w:cstheme="minorHAnsi"/>
              </w:rPr>
              <w:t xml:space="preserve">во членот 53 покрај наведените услови ппотребно е да се додаде дека се обезбедени водостопански услови за објекти кои користат вода за производство на електрична енергија согласно прописите за  управување со водите. Целта на ова барање е обезбедување дека за објектот не постојат пречки за негова изградба и употреба од аспект на користење на водите и заштитата на животната средина </w:t>
            </w:r>
          </w:p>
        </w:tc>
        <w:tc>
          <w:tcPr>
            <w:tcW w:w="4110" w:type="dxa"/>
          </w:tcPr>
          <w:p w:rsidR="004001BB" w:rsidRPr="00D026E2" w:rsidRDefault="004001BB" w:rsidP="0070453C">
            <w:r w:rsidRPr="00D026E2">
              <w:t>Не се прифаќа бидејќи водостопанските услови за проектирање се составен дел на основниот проект кој што се поднесува кон барањето за издавање на дозвола за користење на вода. Бидејќи во фаза на прибавување на овластувањето за изградба на електроцентрала не е потребно да се достави одновен проект, сметаме дека барањето на МЖСПП е беспредметно.</w:t>
            </w:r>
          </w:p>
        </w:tc>
      </w:tr>
      <w:tr w:rsidR="004001BB" w:rsidRPr="00D026E2" w:rsidTr="0070453C">
        <w:trPr>
          <w:trHeight w:val="465"/>
        </w:trPr>
        <w:tc>
          <w:tcPr>
            <w:tcW w:w="1857" w:type="dxa"/>
            <w:vMerge/>
          </w:tcPr>
          <w:p w:rsidR="004001BB" w:rsidRPr="00D026E2" w:rsidRDefault="004001BB" w:rsidP="0070453C"/>
        </w:tc>
        <w:tc>
          <w:tcPr>
            <w:tcW w:w="7069" w:type="dxa"/>
          </w:tcPr>
          <w:p w:rsidR="004001BB" w:rsidRPr="00D026E2" w:rsidRDefault="004001BB" w:rsidP="0070453C">
            <w:pPr>
              <w:tabs>
                <w:tab w:val="left" w:pos="1065"/>
              </w:tabs>
              <w:rPr>
                <w:rFonts w:cstheme="minorHAnsi"/>
              </w:rPr>
            </w:pPr>
          </w:p>
          <w:p w:rsidR="004001BB" w:rsidRPr="00D026E2" w:rsidRDefault="004001BB" w:rsidP="0070453C">
            <w:pPr>
              <w:spacing w:after="26"/>
              <w:ind w:left="17"/>
              <w:rPr>
                <w:rFonts w:cstheme="minorHAnsi"/>
              </w:rPr>
            </w:pPr>
            <w:r w:rsidRPr="00D026E2">
              <w:rPr>
                <w:rFonts w:eastAsia="Times New Roman" w:cstheme="minorHAnsi"/>
              </w:rPr>
              <w:t>во членот 57 точка 6 да се преформулира и да гласи: услови кои треба да се исполнат за користење на водата и за заштита на животна средина во согласност со закон</w:t>
            </w:r>
          </w:p>
        </w:tc>
        <w:tc>
          <w:tcPr>
            <w:tcW w:w="4110" w:type="dxa"/>
          </w:tcPr>
          <w:p w:rsidR="004001BB" w:rsidRPr="00D026E2" w:rsidRDefault="004001BB" w:rsidP="0070453C">
            <w:r w:rsidRPr="00D026E2">
              <w:t xml:space="preserve">Не се прифаќа поради погорене наведените причини </w:t>
            </w:r>
          </w:p>
        </w:tc>
      </w:tr>
      <w:tr w:rsidR="004001BB" w:rsidRPr="00D026E2" w:rsidTr="0070453C">
        <w:trPr>
          <w:trHeight w:val="390"/>
        </w:trPr>
        <w:tc>
          <w:tcPr>
            <w:tcW w:w="1857" w:type="dxa"/>
            <w:vMerge/>
          </w:tcPr>
          <w:p w:rsidR="004001BB" w:rsidRPr="00D026E2" w:rsidRDefault="004001BB" w:rsidP="0070453C"/>
        </w:tc>
        <w:tc>
          <w:tcPr>
            <w:tcW w:w="7069" w:type="dxa"/>
          </w:tcPr>
          <w:p w:rsidR="004001BB" w:rsidRPr="00D026E2" w:rsidRDefault="004001BB" w:rsidP="0070453C">
            <w:pPr>
              <w:tabs>
                <w:tab w:val="left" w:pos="1065"/>
              </w:tabs>
              <w:rPr>
                <w:rFonts w:cstheme="minorHAnsi"/>
              </w:rPr>
            </w:pPr>
          </w:p>
        </w:tc>
        <w:tc>
          <w:tcPr>
            <w:tcW w:w="4110" w:type="dxa"/>
          </w:tcPr>
          <w:p w:rsidR="004001BB" w:rsidRPr="00D026E2" w:rsidRDefault="004001BB" w:rsidP="0070453C"/>
        </w:tc>
      </w:tr>
    </w:tbl>
    <w:p w:rsidR="004001BB" w:rsidRPr="00D026E2" w:rsidRDefault="004001BB" w:rsidP="004001BB"/>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6247"/>
        <w:gridCol w:w="6308"/>
      </w:tblGrid>
      <w:tr w:rsidR="004001BB" w:rsidRPr="00D026E2" w:rsidTr="0070453C">
        <w:trPr>
          <w:trHeight w:val="337"/>
        </w:trPr>
        <w:tc>
          <w:tcPr>
            <w:tcW w:w="1615" w:type="dxa"/>
            <w:vMerge w:val="restart"/>
          </w:tcPr>
          <w:p w:rsidR="004001BB" w:rsidRPr="00D026E2" w:rsidRDefault="004001BB" w:rsidP="0070453C">
            <w:pPr>
              <w:rPr>
                <w:rFonts w:asciiTheme="majorHAnsi" w:hAnsiTheme="majorHAnsi" w:cstheme="majorHAnsi"/>
                <w:b/>
                <w:color w:val="000000" w:themeColor="text1"/>
              </w:rPr>
            </w:pPr>
            <w:r w:rsidRPr="00D026E2">
              <w:rPr>
                <w:rFonts w:asciiTheme="majorHAnsi" w:hAnsiTheme="majorHAnsi" w:cstheme="majorHAnsi"/>
                <w:b/>
                <w:color w:val="000000" w:themeColor="text1"/>
              </w:rPr>
              <w:t>Регулаторна комисија за енергетика</w:t>
            </w: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Во член 16 да се додаде нов став:</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lastRenderedPageBreak/>
              <w:t>РКЕ е непрофитна организација и своето сметководство го води согласно Законот за сметководство на непрофитни организации.</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lastRenderedPageBreak/>
              <w:t xml:space="preserve">Прифатено член 16 став 1 гласи </w:t>
            </w:r>
            <w:r w:rsidRPr="00D026E2">
              <w:t xml:space="preserve">Регулаторната комисија за енергетика е самостојно, непрофитно регулаторно тело кое го </w:t>
            </w:r>
            <w:r w:rsidRPr="00D026E2">
              <w:lastRenderedPageBreak/>
              <w:t xml:space="preserve">регулира начинот на вршење на енергетските дејности од </w:t>
            </w:r>
            <w:r w:rsidRPr="00D026E2">
              <w:fldChar w:fldCharType="begin"/>
            </w:r>
            <w:r w:rsidRPr="00D026E2">
              <w:instrText xml:space="preserve"> REF _Ref499120943 \h </w:instrText>
            </w:r>
            <w:r w:rsidR="00D026E2">
              <w:instrText xml:space="preserve"> \* MERGEFORMAT </w:instrText>
            </w:r>
            <w:r w:rsidRPr="00D026E2">
              <w:fldChar w:fldCharType="separate"/>
            </w:r>
            <w:r w:rsidRPr="00D026E2">
              <w:t xml:space="preserve">Член </w:t>
            </w:r>
            <w:r w:rsidRPr="00D026E2">
              <w:rPr>
                <w:noProof/>
              </w:rPr>
              <w:t>4</w:t>
            </w:r>
            <w:r w:rsidRPr="00D026E2">
              <w:fldChar w:fldCharType="end"/>
            </w:r>
            <w:r w:rsidRPr="00D026E2">
              <w:t xml:space="preserve"> од овој закон</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Bo член 25, cтав (8), зборовите"став (7)" да се заменат со „став (6)“</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Прифатено. Направена е целосна промена на членовите.</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Bo член 35, став (6) да се брише или зборот „април “да се замени со „мај “</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Прифатено. Зборот „април“ е заменет со „мај“</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Bo член 36, зборовите „за усвојување “да се избришат</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Прифатено.</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Во член 42, став (2) да се промени и да гласи:</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(2) Регулаторната комисија за енергетика донесува одлука за издавање на лиценца откако носителот на привремената лиценца ќе достави одобрение за употреба на енергетскиот објект или извештај за извршен технички преглед од надзорниот инженер за објектите за кои што не е потребно издавање на одобрение за употреба или решение за ставање во употреба на опремата која што е вградена во постоечки градежен објект изграден во согласност со овој закон и прописите донесени врз основа на овој Закон.</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Прифатено. Вграден е нов член 44 со речиси идентичен текст.</w:t>
            </w:r>
          </w:p>
        </w:tc>
      </w:tr>
      <w:tr w:rsidR="004001BB" w:rsidRPr="00D026E2" w:rsidTr="0070453C">
        <w:trPr>
          <w:trHeight w:val="1125"/>
        </w:trPr>
        <w:tc>
          <w:tcPr>
            <w:tcW w:w="1615" w:type="dxa"/>
            <w:vMerge w:val="restart"/>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Во член 93, каде се уредуваат Мрежните правила за дистрибуција на електрична енергија, да се дополни дека истите, во корелација со Правилникот за обновливи извори на енергија, ги уредуваат и условите и начинот по кои вишокот од произведената енергија од обновливи извори на енергија наменета за сопствена потрошувачка се предава во електродистрибутивната мрежа. </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Ова е од причина што доколку не се пропише уредувањето на ова прашање и во Мрежните правила за дистрибуција на електрична енергија, при практична имплементација може да </w:t>
            </w:r>
            <w:r w:rsidRPr="00D026E2">
              <w:rPr>
                <w:rFonts w:asciiTheme="majorHAnsi" w:hAnsiTheme="majorHAnsi" w:cstheme="majorHAnsi"/>
                <w:color w:val="000000" w:themeColor="text1"/>
              </w:rPr>
              <w:lastRenderedPageBreak/>
              <w:t>дојде до неусогласеност и не применливост на овој значаен новитет што го нуди законот.</w:t>
            </w:r>
          </w:p>
        </w:tc>
        <w:tc>
          <w:tcPr>
            <w:tcW w:w="6308" w:type="dxa"/>
            <w:tcBorders>
              <w:top w:val="single" w:sz="4" w:space="0" w:color="auto"/>
              <w:bottom w:val="single" w:sz="4" w:space="0" w:color="auto"/>
            </w:tcBorders>
          </w:tcPr>
          <w:p w:rsidR="004001BB" w:rsidRPr="00D026E2" w:rsidRDefault="004001BB" w:rsidP="0070453C">
            <w:pPr>
              <w:jc w:val="both"/>
              <w:rPr>
                <w:rFonts w:asciiTheme="majorHAnsi" w:hAnsiTheme="majorHAnsi" w:cstheme="majorHAnsi"/>
                <w:color w:val="000000" w:themeColor="text1"/>
              </w:rPr>
            </w:pPr>
            <w:r w:rsidRPr="00D026E2">
              <w:rPr>
                <w:rFonts w:asciiTheme="majorHAnsi" w:hAnsiTheme="majorHAnsi" w:cstheme="majorHAnsi"/>
                <w:color w:val="000000" w:themeColor="text1"/>
              </w:rPr>
              <w:lastRenderedPageBreak/>
              <w:t xml:space="preserve">Прифатено. Во член 96 е вградена нова точка 4 која гласи: </w:t>
            </w:r>
          </w:p>
          <w:p w:rsidR="004001BB" w:rsidRPr="00D026E2" w:rsidRDefault="004001BB" w:rsidP="0070453C">
            <w:pPr>
              <w:jc w:val="both"/>
              <w:rPr>
                <w:rFonts w:asciiTheme="majorHAnsi" w:hAnsiTheme="majorHAnsi" w:cstheme="majorHAnsi"/>
                <w:color w:val="000000" w:themeColor="text1"/>
              </w:rPr>
            </w:pPr>
            <w:r w:rsidRPr="00D026E2">
              <w:rPr>
                <w:rFonts w:asciiTheme="majorHAnsi" w:hAnsiTheme="majorHAnsi" w:cstheme="majorHAnsi"/>
                <w:color w:val="000000" w:themeColor="text1"/>
              </w:rPr>
              <w:t>4) техничко-технолошките услови, начинот за приклучување и начинот на користење и пристап на електродистрибутивниот систем од корисниците кои произведуваат електрична енергија од обновливи извори на енергија за сопствена потрошувачка, како и начинот на кој произведената електрична енергија се предава во електродистрибутивната мрежа.</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Во член 23 од нацрт текстот на предлог Законот за енергетика (Цели на регулирање на енергетските дејности), став (1), точка 5) е наведено “оптимизирање на употребата на електричната енергија и природниот гас од страна на претпријатијата за електрична енергија и природен гас заради унапредување на енергетската ефикасност преку обезбедување на услуги за управување со енергијата, воведување на напредни системи за мерење, како и паметни мрежи кога е тоа потребно”. </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За постигнување на оваа цел потребно е да се предвидат конкретни обврски за операторите на системите за дистрибуција на електрична енергија и природен гас во член 90 став (3) и член 124 став (2) соодветно, во смисла: </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Да подготви економска проценка за сите долгорочни трошоци и придобивки за пазарот и за поединечниот потрошувач или која форма на напредни системи за мерење е економски оправдана и трошковно ефективна и во која временска рамка е изводливо нејзиното спроведување и истата да ја достави до Регулаторната комисија за енергетика на разгледување и понатамошно одобрување.</w:t>
            </w:r>
          </w:p>
          <w:p w:rsidR="004001BB" w:rsidRPr="00D026E2" w:rsidRDefault="004001BB" w:rsidP="0070453C">
            <w:pPr>
              <w:jc w:val="both"/>
              <w:rPr>
                <w:rFonts w:asciiTheme="majorHAnsi" w:hAnsiTheme="majorHAnsi" w:cstheme="majorHAnsi"/>
                <w:color w:val="000000" w:themeColor="text1"/>
              </w:rPr>
            </w:pPr>
            <w:r w:rsidRPr="00D026E2">
              <w:rPr>
                <w:rFonts w:asciiTheme="majorHAnsi" w:hAnsiTheme="majorHAnsi" w:cstheme="majorHAnsi"/>
                <w:color w:val="000000" w:themeColor="text1"/>
              </w:rPr>
              <w:t>Дополнително, во член 234 (Донесување на прописи) став (5) да се пропише обврската за изработка на оваа економска проценка во рок од една година од донесувањето на овој закон.</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Прифатено. Во член 94 е вграден нов став со вакво барање за ОДС.</w:t>
            </w:r>
          </w:p>
        </w:tc>
      </w:tr>
      <w:tr w:rsidR="004001BB" w:rsidRPr="00D026E2" w:rsidTr="0070453C">
        <w:trPr>
          <w:trHeight w:val="337"/>
        </w:trPr>
        <w:tc>
          <w:tcPr>
            <w:tcW w:w="1615" w:type="dxa"/>
            <w:vMerge w:val="restart"/>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Во член 155, став (4), на крајот на реченицата зборовите “крајните потрошувачи” да се заменат со зборовите </w:t>
            </w:r>
            <w:r w:rsidRPr="00D026E2">
              <w:rPr>
                <w:rFonts w:asciiTheme="majorHAnsi" w:hAnsiTheme="majorHAnsi" w:cstheme="majorHAnsi"/>
                <w:color w:val="000000" w:themeColor="text1"/>
              </w:rPr>
              <w:lastRenderedPageBreak/>
              <w:t>“Операторот на системот за дистрибуција на топлинска енергија”.</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lastRenderedPageBreak/>
              <w:t>Прифатено</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Во член 156, да се додаде нов став (3)</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(3) Во колективните станбени, станбено-деловни и деловно-станбени објекти каде распределбата на надоместокот се врши преку еден колективен мерен уред начинот на задолжување на исклучените потрошувачи го уредува Регулаторната комисија за енергетика, а во согласност со начелата на колективно домување од Законот за домување.</w:t>
            </w:r>
          </w:p>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или Законодавецот да дефинира одредба/одредби во Законот за енергетика со кои се уредува начинот на задолжување на исклучените потрошувачи.</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Не се прифаќа</w:t>
            </w:r>
            <w:r w:rsidR="00ED705B" w:rsidRPr="00D026E2">
              <w:rPr>
                <w:rFonts w:asciiTheme="majorHAnsi" w:hAnsiTheme="majorHAnsi" w:cstheme="majorHAnsi"/>
                <w:color w:val="000000" w:themeColor="text1"/>
              </w:rPr>
              <w:t xml:space="preserve">, доколку се утврди потреба за вакво регулирање тоа треба да биде сторено од страна на Регулаторната Комсија за енергетика. </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Во член 158, став (2), по зборовите “електрична енергија” сврзникот “и” да се замени со запирка, а по зборовите “природен гас” да се додадат зборовите “и топлинска енергија”.</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Прифатено </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Членот 203 да се избрише, бидејќи Третиот пакет не предвидува вклучување на Регулаторната комисија за енергетика во стечајна постапка врз носител на лиценца. Сметаме дека не може со Закон за енергетика да се утврдуваат обврски или начини на постапување на стечајниот судија или стечајниот управник, бидејќи тоа е регулирано со други закони и прописи од областа на правосудството.</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Делумно прифатено, избришан е ставот со кој се предвидуваше забрана за ликвидација.</w:t>
            </w:r>
          </w:p>
        </w:tc>
      </w:tr>
      <w:tr w:rsidR="004001BB" w:rsidRPr="00D026E2" w:rsidTr="0070453C">
        <w:trPr>
          <w:trHeight w:val="337"/>
        </w:trPr>
        <w:tc>
          <w:tcPr>
            <w:tcW w:w="1615" w:type="dxa"/>
            <w:vMerge w:val="restart"/>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Во членовите 227, 228 и 230 не е наведено кој орган е надлежен за изрекување прекршоци и тие членови треба да се преработат и точно да се наведе дека за изрекување прекршоци е надлежна Регулаторната комисија за енергетика.</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t>Сменет е пристапот според кој РКЕ може да води прекршочна постапка и во член 214 утврдени се прекршоцџите за кои се поведува постапка пред надлежен суд</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Во член 232 став (2) е предвидено членовите на Комисијата за жалби и нивните заменици да ја извршуваат својата функција до </w:t>
            </w:r>
            <w:r w:rsidRPr="00D026E2">
              <w:rPr>
                <w:rFonts w:asciiTheme="majorHAnsi" w:hAnsiTheme="majorHAnsi" w:cstheme="majorHAnsi"/>
                <w:color w:val="000000" w:themeColor="text1"/>
              </w:rPr>
              <w:lastRenderedPageBreak/>
              <w:t>завршување на постапките започнати согласност Законот за енергетика. Бидејќи останува нејасно до кој момент ќе работи Комисијата за жалби во областа на енергетиката, кој ќе ги продолжи започнатите спорови и кој ќе раководи со архивата. Предлагаме членовите на Комисијата за жалби и нивните заменици да ја извршуваат својата функција до престанок на нивниот мандат и/или до завршување на сите започнати управни постапки и управни спорови.</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lastRenderedPageBreak/>
              <w:t xml:space="preserve">Не е прифатено, односно членовите на Комисијата за жалби и нивните заменици именувани пред влегувањето во сила на овој </w:t>
            </w:r>
            <w:r w:rsidRPr="00D026E2">
              <w:rPr>
                <w:rFonts w:asciiTheme="majorHAnsi" w:hAnsiTheme="majorHAnsi" w:cstheme="majorHAnsi"/>
                <w:color w:val="000000" w:themeColor="text1"/>
              </w:rPr>
              <w:lastRenderedPageBreak/>
              <w:t>закон продолжуваат да ја извршуваат својата функција до завршување на постапките започнати согласно Законот за енергетика.(член 234)</w:t>
            </w:r>
          </w:p>
        </w:tc>
      </w:tr>
      <w:tr w:rsidR="004001BB" w:rsidRPr="00D026E2" w:rsidTr="0070453C">
        <w:trPr>
          <w:trHeight w:val="337"/>
        </w:trPr>
        <w:tc>
          <w:tcPr>
            <w:tcW w:w="1615" w:type="dxa"/>
            <w:vMerge/>
          </w:tcPr>
          <w:p w:rsidR="004001BB" w:rsidRPr="00D026E2" w:rsidRDefault="004001BB" w:rsidP="0070453C">
            <w:pPr>
              <w:rPr>
                <w:rFonts w:asciiTheme="majorHAnsi" w:hAnsiTheme="majorHAnsi" w:cstheme="majorHAnsi"/>
                <w:color w:val="000000" w:themeColor="text1"/>
              </w:rPr>
            </w:pPr>
          </w:p>
        </w:tc>
        <w:tc>
          <w:tcPr>
            <w:tcW w:w="6247"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Законодавецот да ја разгледа можноста за ребрендирање на Регулаторната комисија за енергетика на Република Македонија во Регулаторна комисија за енергетика и водни услуги на Република Македонија, или друг соодветен назив кој ќе ги вклучува водните услуги. </w:t>
            </w:r>
          </w:p>
        </w:tc>
        <w:tc>
          <w:tcPr>
            <w:tcW w:w="6308" w:type="dxa"/>
            <w:tcBorders>
              <w:top w:val="single" w:sz="4" w:space="0" w:color="auto"/>
              <w:bottom w:val="single" w:sz="4" w:space="0" w:color="auto"/>
            </w:tcBorders>
          </w:tcPr>
          <w:p w:rsidR="004001BB" w:rsidRPr="00D026E2"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rPr>
              <w:t xml:space="preserve">Прифатено. Член 4 став 2. </w:t>
            </w:r>
          </w:p>
        </w:tc>
      </w:tr>
    </w:tbl>
    <w:p w:rsidR="004001BB" w:rsidRPr="00D026E2" w:rsidRDefault="004001BB" w:rsidP="004001BB"/>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6237"/>
        <w:gridCol w:w="6378"/>
      </w:tblGrid>
      <w:tr w:rsidR="004001BB" w:rsidRPr="00113A3C" w:rsidTr="0070453C">
        <w:trPr>
          <w:trHeight w:val="337"/>
        </w:trPr>
        <w:tc>
          <w:tcPr>
            <w:tcW w:w="1555" w:type="dxa"/>
          </w:tcPr>
          <w:p w:rsidR="004001BB" w:rsidRPr="00D026E2" w:rsidRDefault="004001BB" w:rsidP="0070453C">
            <w:pPr>
              <w:rPr>
                <w:rFonts w:asciiTheme="majorHAnsi" w:hAnsiTheme="majorHAnsi" w:cstheme="majorHAnsi"/>
                <w:b/>
                <w:bCs/>
                <w:color w:val="000000" w:themeColor="text1"/>
              </w:rPr>
            </w:pPr>
            <w:r w:rsidRPr="00D026E2">
              <w:rPr>
                <w:rFonts w:asciiTheme="majorHAnsi" w:hAnsiTheme="majorHAnsi" w:cstheme="majorHAnsi"/>
                <w:b/>
                <w:bCs/>
                <w:color w:val="000000" w:themeColor="text1"/>
              </w:rPr>
              <w:t>МИОА</w:t>
            </w:r>
          </w:p>
        </w:tc>
        <w:tc>
          <w:tcPr>
            <w:tcW w:w="6237" w:type="dxa"/>
            <w:tcBorders>
              <w:top w:val="single" w:sz="4" w:space="0" w:color="auto"/>
              <w:bottom w:val="single" w:sz="4" w:space="0" w:color="auto"/>
            </w:tcBorders>
          </w:tcPr>
          <w:p w:rsidR="004001BB" w:rsidRPr="00D026E2" w:rsidRDefault="004001BB" w:rsidP="0070453C">
            <w:pPr>
              <w:autoSpaceDE w:val="0"/>
              <w:autoSpaceDN w:val="0"/>
              <w:adjustRightInd w:val="0"/>
              <w:spacing w:after="0" w:line="240" w:lineRule="auto"/>
              <w:jc w:val="both"/>
              <w:rPr>
                <w:rFonts w:asciiTheme="majorHAnsi" w:hAnsiTheme="majorHAnsi" w:cstheme="majorHAnsi"/>
                <w:b/>
                <w:bCs/>
                <w:color w:val="000000" w:themeColor="text1"/>
              </w:rPr>
            </w:pPr>
            <w:r w:rsidRPr="00D026E2">
              <w:rPr>
                <w:rFonts w:asciiTheme="majorHAnsi" w:hAnsiTheme="majorHAnsi" w:cstheme="majorHAnsi"/>
                <w:color w:val="000000" w:themeColor="text1"/>
                <w:shd w:val="clear" w:color="auto" w:fill="FFFFFF"/>
              </w:rPr>
              <w:t xml:space="preserve">Имајќи предвид дека Законот за енергетика е во процедура на донесување на сосема нов закон, а истиот се однесува и на ресурсите што ги обезбедуваат операторите на енергетскиот пазар преку соодветна инфраструктура, што во дел е хармонизирана и со Законот за електронските комуникации, МИОА има предлог којшто ќе биде потребно да биде интегриран во текстот на ЗЕ. Имено, согласно Законот за електронските комуникации е определено дека: „Електронска комуникациска мрежа е преносен систем и таму каде што е применливо и комутациска или насочувачка опрема и други средства вклучително мрежни елементи што не се активни, а коишто овозможуваат пренос на сигнали преку жичени, радиобранови, оптички или други електромагнетни средства, вклучувајќи сателитски мрежи, фиксни (со комутација на кола или комутација на пакети, вклучувајќи и Интернет) и мобилни земски мрежи, електроенергетски кабелски системи, доколку се користат за пренос на комуникациски сигнали, радиодифузни мрежи и </w:t>
            </w:r>
            <w:r w:rsidRPr="00D026E2">
              <w:rPr>
                <w:rFonts w:asciiTheme="majorHAnsi" w:hAnsiTheme="majorHAnsi" w:cstheme="majorHAnsi"/>
                <w:color w:val="000000" w:themeColor="text1"/>
                <w:shd w:val="clear" w:color="auto" w:fill="FFFFFF"/>
              </w:rPr>
              <w:lastRenderedPageBreak/>
              <w:t>кабелски телевизиски мрежи, независно од видот на информациите што се пренесуваат.“ Оттаму, а поради искористување на целосниот капацитет на инфраструктурата предлагаме во Законот за енергетика да се додаде нов член во глава X „Пристап на трети страни и приклучување на мрежи“ или каде сметате дека е соодветно и тоа:</w:t>
            </w:r>
            <w:r w:rsidRPr="00D026E2">
              <w:rPr>
                <w:rFonts w:asciiTheme="majorHAnsi" w:hAnsiTheme="majorHAnsi" w:cstheme="majorHAnsi"/>
                <w:color w:val="000000" w:themeColor="text1"/>
              </w:rPr>
              <w:br/>
            </w:r>
            <w:r w:rsidRPr="00D026E2">
              <w:rPr>
                <w:rFonts w:asciiTheme="majorHAnsi" w:hAnsiTheme="majorHAnsi" w:cstheme="majorHAnsi"/>
                <w:color w:val="000000" w:themeColor="text1"/>
                <w:shd w:val="clear" w:color="auto" w:fill="FFFFFF"/>
              </w:rPr>
              <w:t>“(1) Инфраструктурата што ја користат операторите за пренос на електрична енергија, може да ја користат и оператори на јавна електронска комуникациска мрежа кои обезбедуваат електронски комуникациски услуги за пренос на комуникациски сигнали, радиодифузни мрежи и кабелски телевизиски мрежи, независно од видот на информациите што се пренесуваат.</w:t>
            </w:r>
            <w:r w:rsidRPr="00D026E2">
              <w:rPr>
                <w:rFonts w:asciiTheme="majorHAnsi" w:hAnsiTheme="majorHAnsi" w:cstheme="majorHAnsi"/>
                <w:color w:val="000000" w:themeColor="text1"/>
              </w:rPr>
              <w:br/>
            </w:r>
            <w:r w:rsidRPr="00D026E2">
              <w:rPr>
                <w:rFonts w:asciiTheme="majorHAnsi" w:hAnsiTheme="majorHAnsi" w:cstheme="majorHAnsi"/>
                <w:color w:val="000000" w:themeColor="text1"/>
                <w:shd w:val="clear" w:color="auto" w:fill="FFFFFF"/>
              </w:rPr>
              <w:t>(2) Операторите за пренос на електрична енергија и операторите на јавна електронска комуникациска мрежа кои обезбедуваат електронски комуникациски услуги за пренос на комуникациски сигнали, радиодифузни мрежи и кабелски телевизиски мрежи склучуваат договор за користење на инфраструктура за пренос на комуникациски сигнали, радиодифузни мрежи и кабелски телевизиски мрежи, на начин и под услови утврдени со закон.”</w:t>
            </w:r>
            <w:r w:rsidRPr="00D026E2">
              <w:rPr>
                <w:rFonts w:asciiTheme="majorHAnsi" w:hAnsiTheme="majorHAnsi" w:cstheme="majorHAnsi"/>
                <w:color w:val="000000" w:themeColor="text1"/>
              </w:rPr>
              <w:br/>
            </w:r>
          </w:p>
        </w:tc>
        <w:tc>
          <w:tcPr>
            <w:tcW w:w="6378" w:type="dxa"/>
            <w:tcBorders>
              <w:top w:val="single" w:sz="4" w:space="0" w:color="auto"/>
              <w:bottom w:val="single" w:sz="4" w:space="0" w:color="auto"/>
            </w:tcBorders>
          </w:tcPr>
          <w:p w:rsidR="004001BB" w:rsidRPr="00113A3C" w:rsidRDefault="004001BB" w:rsidP="0070453C">
            <w:pPr>
              <w:rPr>
                <w:rFonts w:asciiTheme="majorHAnsi" w:hAnsiTheme="majorHAnsi" w:cstheme="majorHAnsi"/>
                <w:color w:val="000000" w:themeColor="text1"/>
              </w:rPr>
            </w:pPr>
            <w:r w:rsidRPr="00D026E2">
              <w:rPr>
                <w:rFonts w:asciiTheme="majorHAnsi" w:hAnsiTheme="majorHAnsi" w:cstheme="majorHAnsi"/>
                <w:color w:val="000000" w:themeColor="text1"/>
                <w:shd w:val="clear" w:color="auto" w:fill="FFFFFF"/>
              </w:rPr>
              <w:lastRenderedPageBreak/>
              <w:t>Прифатено. Инкорпорирано во член 198 и член 87 став (2).</w:t>
            </w:r>
          </w:p>
          <w:p w:rsidR="004001BB" w:rsidRPr="00113A3C" w:rsidRDefault="004001BB" w:rsidP="0070453C">
            <w:pPr>
              <w:rPr>
                <w:rFonts w:asciiTheme="majorHAnsi" w:hAnsiTheme="majorHAnsi" w:cstheme="majorHAnsi"/>
                <w:color w:val="000000" w:themeColor="text1"/>
              </w:rPr>
            </w:pPr>
          </w:p>
        </w:tc>
      </w:tr>
    </w:tbl>
    <w:p w:rsidR="004001BB" w:rsidRDefault="004001BB" w:rsidP="004001BB"/>
    <w:p w:rsidR="004001BB" w:rsidRDefault="004001BB"/>
    <w:sectPr w:rsidR="004001BB" w:rsidSect="0035345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05918"/>
    <w:multiLevelType w:val="hybridMultilevel"/>
    <w:tmpl w:val="897AB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343CD5"/>
    <w:multiLevelType w:val="hybridMultilevel"/>
    <w:tmpl w:val="0A7C8042"/>
    <w:lvl w:ilvl="0" w:tplc="B3483FB4">
      <w:start w:val="1"/>
      <w:numFmt w:val="decimal"/>
      <w:pStyle w:val="Stavovi"/>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59"/>
    <w:rsid w:val="000008B2"/>
    <w:rsid w:val="00012E91"/>
    <w:rsid w:val="0015261B"/>
    <w:rsid w:val="001B5509"/>
    <w:rsid w:val="001C66DC"/>
    <w:rsid w:val="00216077"/>
    <w:rsid w:val="003108AD"/>
    <w:rsid w:val="00353459"/>
    <w:rsid w:val="004001BB"/>
    <w:rsid w:val="00457707"/>
    <w:rsid w:val="005974D7"/>
    <w:rsid w:val="006B4816"/>
    <w:rsid w:val="00823726"/>
    <w:rsid w:val="00831B28"/>
    <w:rsid w:val="008545DA"/>
    <w:rsid w:val="00983D0A"/>
    <w:rsid w:val="009B7072"/>
    <w:rsid w:val="00B140CE"/>
    <w:rsid w:val="00BC36D2"/>
    <w:rsid w:val="00BF04BA"/>
    <w:rsid w:val="00C55D4A"/>
    <w:rsid w:val="00C87975"/>
    <w:rsid w:val="00CB7CF8"/>
    <w:rsid w:val="00D00E3C"/>
    <w:rsid w:val="00D026E2"/>
    <w:rsid w:val="00D0488E"/>
    <w:rsid w:val="00D2537F"/>
    <w:rsid w:val="00D34E94"/>
    <w:rsid w:val="00E06C52"/>
    <w:rsid w:val="00EA437F"/>
    <w:rsid w:val="00EA571F"/>
    <w:rsid w:val="00ED705B"/>
    <w:rsid w:val="00EF2F31"/>
    <w:rsid w:val="00F37CDB"/>
    <w:rsid w:val="00F6697B"/>
    <w:rsid w:val="00F77D1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F7C26-787E-41BA-AA6B-957402D1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ovi">
    <w:name w:val="Stavovi"/>
    <w:basedOn w:val="Normal"/>
    <w:link w:val="StavoviChar"/>
    <w:qFormat/>
    <w:rsid w:val="00E06C52"/>
    <w:pPr>
      <w:numPr>
        <w:numId w:val="1"/>
      </w:numPr>
    </w:pPr>
    <w:rPr>
      <w:lang w:val="en-US"/>
    </w:rPr>
  </w:style>
  <w:style w:type="character" w:customStyle="1" w:styleId="StavoviChar">
    <w:name w:val="Stavovi Char"/>
    <w:link w:val="Stavovi"/>
    <w:rsid w:val="00E06C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Mishko</dc:creator>
  <cp:keywords/>
  <dc:description/>
  <cp:lastModifiedBy>User</cp:lastModifiedBy>
  <cp:revision>8</cp:revision>
  <dcterms:created xsi:type="dcterms:W3CDTF">2018-03-09T20:45:00Z</dcterms:created>
  <dcterms:modified xsi:type="dcterms:W3CDTF">2018-03-12T14:48:00Z</dcterms:modified>
</cp:coreProperties>
</file>