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C2A" w:rsidRPr="00113A3C" w:rsidRDefault="00C52734" w:rsidP="001D74C4">
      <w:pPr>
        <w:jc w:val="center"/>
        <w:rPr>
          <w:rFonts w:asciiTheme="majorHAnsi" w:hAnsiTheme="majorHAnsi" w:cstheme="majorHAnsi"/>
          <w:b/>
          <w:color w:val="000000" w:themeColor="text1"/>
        </w:rPr>
      </w:pPr>
      <w:r w:rsidRPr="00113A3C">
        <w:rPr>
          <w:rFonts w:asciiTheme="majorHAnsi" w:hAnsiTheme="majorHAnsi" w:cstheme="majorHAnsi"/>
          <w:b/>
          <w:color w:val="000000" w:themeColor="text1"/>
        </w:rPr>
        <w:t xml:space="preserve">ЕВИДЕНЦИЈА НА </w:t>
      </w:r>
      <w:r w:rsidR="007752CB" w:rsidRPr="00113A3C">
        <w:rPr>
          <w:rFonts w:asciiTheme="majorHAnsi" w:hAnsiTheme="majorHAnsi" w:cstheme="majorHAnsi"/>
          <w:b/>
          <w:color w:val="000000" w:themeColor="text1"/>
        </w:rPr>
        <w:t xml:space="preserve">ДОБИЕНИ </w:t>
      </w:r>
      <w:r w:rsidRPr="00113A3C">
        <w:rPr>
          <w:rFonts w:asciiTheme="majorHAnsi" w:hAnsiTheme="majorHAnsi" w:cstheme="majorHAnsi"/>
          <w:b/>
          <w:color w:val="000000" w:themeColor="text1"/>
        </w:rPr>
        <w:t xml:space="preserve">КОМЕНТАРИ И </w:t>
      </w:r>
      <w:r w:rsidR="007752CB" w:rsidRPr="00113A3C">
        <w:rPr>
          <w:rFonts w:asciiTheme="majorHAnsi" w:hAnsiTheme="majorHAnsi" w:cstheme="majorHAnsi"/>
          <w:b/>
          <w:color w:val="000000" w:themeColor="text1"/>
        </w:rPr>
        <w:t>ПРЕДЛОЗИ И СТАТУС НА ИСТИТЕ</w:t>
      </w:r>
    </w:p>
    <w:p w:rsidR="00C52734" w:rsidRPr="00113A3C" w:rsidRDefault="00C52734" w:rsidP="007752CB">
      <w:pPr>
        <w:pStyle w:val="ListParagraph"/>
        <w:rPr>
          <w:rFonts w:asciiTheme="majorHAnsi" w:hAnsiTheme="majorHAnsi" w:cstheme="majorHAnsi"/>
          <w:b/>
          <w:color w:val="000000" w:themeColor="text1"/>
          <w:szCs w:val="22"/>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6247"/>
        <w:gridCol w:w="6308"/>
      </w:tblGrid>
      <w:tr w:rsidR="00C52734" w:rsidRPr="00113A3C" w:rsidTr="00D9652E">
        <w:tc>
          <w:tcPr>
            <w:tcW w:w="1615" w:type="dxa"/>
            <w:shd w:val="clear" w:color="auto" w:fill="D2D2D2"/>
          </w:tcPr>
          <w:p w:rsidR="00C52734" w:rsidRPr="00113A3C" w:rsidRDefault="00C52734" w:rsidP="001D74C4">
            <w:pPr>
              <w:spacing w:after="0"/>
              <w:jc w:val="center"/>
              <w:rPr>
                <w:rFonts w:asciiTheme="majorHAnsi" w:hAnsiTheme="majorHAnsi" w:cstheme="majorHAnsi"/>
                <w:b/>
                <w:color w:val="000000" w:themeColor="text1"/>
              </w:rPr>
            </w:pPr>
            <w:r w:rsidRPr="00113A3C">
              <w:rPr>
                <w:rFonts w:asciiTheme="majorHAnsi" w:hAnsiTheme="majorHAnsi" w:cstheme="majorHAnsi"/>
                <w:b/>
                <w:color w:val="000000" w:themeColor="text1"/>
              </w:rPr>
              <w:t>Институција</w:t>
            </w:r>
          </w:p>
        </w:tc>
        <w:tc>
          <w:tcPr>
            <w:tcW w:w="6247" w:type="dxa"/>
            <w:shd w:val="clear" w:color="auto" w:fill="D2D2D2"/>
          </w:tcPr>
          <w:p w:rsidR="00C52734" w:rsidRPr="00113A3C" w:rsidRDefault="00C52734" w:rsidP="001D74C4">
            <w:pPr>
              <w:spacing w:after="0"/>
              <w:jc w:val="center"/>
              <w:rPr>
                <w:rFonts w:asciiTheme="majorHAnsi" w:hAnsiTheme="majorHAnsi" w:cstheme="majorHAnsi"/>
                <w:b/>
                <w:color w:val="000000" w:themeColor="text1"/>
              </w:rPr>
            </w:pPr>
            <w:r w:rsidRPr="00113A3C">
              <w:rPr>
                <w:rFonts w:asciiTheme="majorHAnsi" w:hAnsiTheme="majorHAnsi" w:cstheme="majorHAnsi"/>
                <w:b/>
                <w:color w:val="000000" w:themeColor="text1"/>
              </w:rPr>
              <w:t>Коментар</w:t>
            </w:r>
          </w:p>
        </w:tc>
        <w:tc>
          <w:tcPr>
            <w:tcW w:w="6308" w:type="dxa"/>
            <w:shd w:val="clear" w:color="auto" w:fill="D2D2D2"/>
          </w:tcPr>
          <w:p w:rsidR="00C52734" w:rsidRPr="00113A3C" w:rsidRDefault="00C52734" w:rsidP="001D74C4">
            <w:pPr>
              <w:spacing w:after="0"/>
              <w:jc w:val="center"/>
              <w:rPr>
                <w:rFonts w:asciiTheme="majorHAnsi" w:hAnsiTheme="majorHAnsi" w:cstheme="majorHAnsi"/>
                <w:b/>
                <w:color w:val="000000" w:themeColor="text1"/>
              </w:rPr>
            </w:pPr>
            <w:r w:rsidRPr="00113A3C">
              <w:rPr>
                <w:rFonts w:asciiTheme="majorHAnsi" w:hAnsiTheme="majorHAnsi" w:cstheme="majorHAnsi"/>
                <w:b/>
                <w:color w:val="000000" w:themeColor="text1"/>
              </w:rPr>
              <w:t>Одговор</w:t>
            </w:r>
          </w:p>
        </w:tc>
      </w:tr>
      <w:tr w:rsidR="007752CB" w:rsidRPr="00113A3C" w:rsidTr="00D9652E">
        <w:trPr>
          <w:trHeight w:val="405"/>
        </w:trPr>
        <w:tc>
          <w:tcPr>
            <w:tcW w:w="1615" w:type="dxa"/>
            <w:vMerge w:val="restart"/>
          </w:tcPr>
          <w:p w:rsidR="007752CB" w:rsidRPr="00113A3C" w:rsidRDefault="007752CB" w:rsidP="00F253A2">
            <w:pPr>
              <w:spacing w:after="0"/>
              <w:rPr>
                <w:rFonts w:asciiTheme="majorHAnsi" w:hAnsiTheme="majorHAnsi" w:cstheme="majorHAnsi"/>
                <w:b/>
                <w:color w:val="000000" w:themeColor="text1"/>
              </w:rPr>
            </w:pPr>
            <w:r w:rsidRPr="00113A3C">
              <w:rPr>
                <w:rFonts w:asciiTheme="majorHAnsi" w:hAnsiTheme="majorHAnsi" w:cstheme="majorHAnsi"/>
                <w:b/>
                <w:color w:val="000000" w:themeColor="text1"/>
              </w:rPr>
              <w:t>ГАМА</w:t>
            </w:r>
          </w:p>
          <w:p w:rsidR="007752CB" w:rsidRPr="00113A3C" w:rsidRDefault="007752CB" w:rsidP="00F253A2">
            <w:pPr>
              <w:spacing w:after="0"/>
              <w:rPr>
                <w:rFonts w:asciiTheme="majorHAnsi" w:hAnsiTheme="majorHAnsi" w:cstheme="majorHAnsi"/>
                <w:color w:val="000000" w:themeColor="text1"/>
              </w:rPr>
            </w:pPr>
          </w:p>
        </w:tc>
        <w:tc>
          <w:tcPr>
            <w:tcW w:w="6247" w:type="dxa"/>
            <w:tcBorders>
              <w:bottom w:val="single" w:sz="4" w:space="0" w:color="auto"/>
            </w:tcBorders>
          </w:tcPr>
          <w:p w:rsidR="007752CB" w:rsidRPr="00113A3C" w:rsidRDefault="007752CB"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Израз</w:t>
            </w:r>
            <w:r w:rsidR="00450BF6">
              <w:rPr>
                <w:rFonts w:asciiTheme="majorHAnsi" w:hAnsiTheme="majorHAnsi" w:cstheme="majorHAnsi"/>
                <w:color w:val="000000" w:themeColor="text1"/>
              </w:rPr>
              <w:t>от</w:t>
            </w:r>
            <w:r w:rsidRPr="00113A3C">
              <w:rPr>
                <w:rFonts w:asciiTheme="majorHAnsi" w:hAnsiTheme="majorHAnsi" w:cstheme="majorHAnsi"/>
                <w:color w:val="000000" w:themeColor="text1"/>
              </w:rPr>
              <w:t xml:space="preserve"> lime pack треба да се преведе</w:t>
            </w:r>
          </w:p>
        </w:tc>
        <w:tc>
          <w:tcPr>
            <w:tcW w:w="6308" w:type="dxa"/>
            <w:tcBorders>
              <w:bottom w:val="single" w:sz="4" w:space="0" w:color="auto"/>
            </w:tcBorders>
          </w:tcPr>
          <w:p w:rsidR="007752CB" w:rsidRPr="00113A3C" w:rsidRDefault="007752CB"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 Дефиницијата е избришана, а во текстот на законот каде се споменува ставен е терминот „оперативна акумулација“</w:t>
            </w:r>
          </w:p>
        </w:tc>
      </w:tr>
      <w:tr w:rsidR="007752CB" w:rsidRPr="00113A3C" w:rsidTr="00D9652E">
        <w:trPr>
          <w:trHeight w:val="465"/>
        </w:trPr>
        <w:tc>
          <w:tcPr>
            <w:tcW w:w="1615" w:type="dxa"/>
            <w:vMerge/>
          </w:tcPr>
          <w:p w:rsidR="007752CB" w:rsidRPr="00113A3C" w:rsidRDefault="007752CB"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7752CB" w:rsidRPr="00113A3C" w:rsidRDefault="007752CB"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Дефиницијата во точка 66 за капацитет на природен гас не е добра.</w:t>
            </w:r>
          </w:p>
        </w:tc>
        <w:tc>
          <w:tcPr>
            <w:tcW w:w="6308" w:type="dxa"/>
            <w:tcBorders>
              <w:top w:val="single" w:sz="4" w:space="0" w:color="auto"/>
              <w:bottom w:val="single" w:sz="4" w:space="0" w:color="auto"/>
            </w:tcBorders>
          </w:tcPr>
          <w:p w:rsidR="007752CB" w:rsidRPr="00113A3C" w:rsidRDefault="007752CB"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 Направена е корекција во дефиницијата.</w:t>
            </w:r>
          </w:p>
        </w:tc>
      </w:tr>
      <w:tr w:rsidR="007752CB" w:rsidRPr="00113A3C" w:rsidTr="00D9652E">
        <w:trPr>
          <w:trHeight w:val="1785"/>
        </w:trPr>
        <w:tc>
          <w:tcPr>
            <w:tcW w:w="1615" w:type="dxa"/>
            <w:vMerge/>
          </w:tcPr>
          <w:p w:rsidR="007752CB" w:rsidRPr="00113A3C" w:rsidRDefault="007752CB"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7752CB" w:rsidRPr="00113A3C" w:rsidRDefault="007752CB"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Дефиницијата во точка 120 за гарантиран преносен капацитет да се избрише бидејќи изразот го има само во дефиниции а не во текстот на законот и може да се замени со преносен капацитет на систем за пренос како што е дефиниран во мрежните правила</w:t>
            </w:r>
          </w:p>
        </w:tc>
        <w:tc>
          <w:tcPr>
            <w:tcW w:w="6308" w:type="dxa"/>
            <w:tcBorders>
              <w:top w:val="single" w:sz="4" w:space="0" w:color="auto"/>
              <w:bottom w:val="single" w:sz="4" w:space="0" w:color="auto"/>
            </w:tcBorders>
          </w:tcPr>
          <w:p w:rsidR="007752CB" w:rsidRPr="00113A3C" w:rsidRDefault="007D308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 дефиницијата е избришана</w:t>
            </w:r>
            <w:r w:rsidR="007752CB" w:rsidRPr="00113A3C">
              <w:rPr>
                <w:rFonts w:asciiTheme="majorHAnsi" w:hAnsiTheme="majorHAnsi" w:cstheme="majorHAnsi"/>
                <w:color w:val="000000" w:themeColor="text1"/>
              </w:rPr>
              <w:t xml:space="preserve"> </w:t>
            </w:r>
          </w:p>
        </w:tc>
      </w:tr>
      <w:tr w:rsidR="007752CB" w:rsidRPr="00113A3C" w:rsidTr="00D9652E">
        <w:trPr>
          <w:trHeight w:val="360"/>
        </w:trPr>
        <w:tc>
          <w:tcPr>
            <w:tcW w:w="1615" w:type="dxa"/>
            <w:vMerge/>
          </w:tcPr>
          <w:p w:rsidR="007752CB" w:rsidRPr="00113A3C" w:rsidRDefault="007752CB" w:rsidP="00F253A2">
            <w:pPr>
              <w:spacing w:after="0"/>
              <w:rPr>
                <w:rFonts w:asciiTheme="majorHAnsi" w:hAnsiTheme="majorHAnsi" w:cstheme="majorHAnsi"/>
                <w:color w:val="000000" w:themeColor="text1"/>
              </w:rPr>
            </w:pPr>
          </w:p>
        </w:tc>
        <w:tc>
          <w:tcPr>
            <w:tcW w:w="6247" w:type="dxa"/>
            <w:tcBorders>
              <w:top w:val="single" w:sz="4" w:space="0" w:color="auto"/>
            </w:tcBorders>
          </w:tcPr>
          <w:p w:rsidR="007752CB" w:rsidRPr="00113A3C" w:rsidRDefault="007752CB"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Кај дефиницијата за мали крајни потрошувачи се користи термин „нормален метар кубен“ , подобро е да се види дефиниција на пазар на природен гас и од таму да се преземе</w:t>
            </w:r>
          </w:p>
        </w:tc>
        <w:tc>
          <w:tcPr>
            <w:tcW w:w="6308" w:type="dxa"/>
            <w:tcBorders>
              <w:top w:val="single" w:sz="4" w:space="0" w:color="auto"/>
            </w:tcBorders>
          </w:tcPr>
          <w:p w:rsidR="007752CB" w:rsidRPr="00113A3C" w:rsidRDefault="007D308F"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Делумно прифатено, променета е дефиницијата за мал потрошувач на природен гас</w:t>
            </w:r>
            <w:r w:rsidR="007752CB" w:rsidRPr="00113A3C">
              <w:rPr>
                <w:rFonts w:asciiTheme="majorHAnsi" w:hAnsiTheme="majorHAnsi" w:cstheme="majorHAnsi"/>
                <w:color w:val="000000" w:themeColor="text1"/>
              </w:rPr>
              <w:t xml:space="preserve"> </w:t>
            </w:r>
          </w:p>
        </w:tc>
      </w:tr>
      <w:tr w:rsidR="007752CB" w:rsidRPr="00113A3C" w:rsidTr="00F574EE">
        <w:trPr>
          <w:trHeight w:val="2745"/>
        </w:trPr>
        <w:tc>
          <w:tcPr>
            <w:tcW w:w="1615" w:type="dxa"/>
            <w:vMerge/>
          </w:tcPr>
          <w:p w:rsidR="007752CB" w:rsidRPr="00113A3C" w:rsidRDefault="007752CB"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7752CB" w:rsidRPr="00113A3C" w:rsidRDefault="007752CB"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Дефиницијата со точка 125 за пристап на трета страна е непотполна. Постои право на корисникот да пристапи на туѓ имот а ја нема обврската да му се даде обврска да се обезбеди пристап. Тоа е модел систем според кој на тој што сака да користи туѓ имот му се дава тоа право но под одредени услови.</w:t>
            </w:r>
          </w:p>
        </w:tc>
        <w:tc>
          <w:tcPr>
            <w:tcW w:w="6308" w:type="dxa"/>
            <w:tcBorders>
              <w:top w:val="single" w:sz="4" w:space="0" w:color="auto"/>
              <w:bottom w:val="single" w:sz="4" w:space="0" w:color="auto"/>
            </w:tcBorders>
          </w:tcPr>
          <w:p w:rsidR="007752CB" w:rsidRPr="00113A3C" w:rsidRDefault="00450BF6" w:rsidP="00F253A2">
            <w:pPr>
              <w:spacing w:after="0"/>
              <w:rPr>
                <w:rFonts w:asciiTheme="majorHAnsi" w:hAnsiTheme="majorHAnsi" w:cstheme="majorHAnsi"/>
                <w:color w:val="000000" w:themeColor="text1"/>
              </w:rPr>
            </w:pPr>
            <w:r>
              <w:rPr>
                <w:rFonts w:asciiTheme="majorHAnsi" w:hAnsiTheme="majorHAnsi" w:cstheme="majorHAnsi"/>
                <w:color w:val="000000" w:themeColor="text1"/>
              </w:rPr>
              <w:t>Делумно п</w:t>
            </w:r>
            <w:r w:rsidR="007752CB" w:rsidRPr="00113A3C">
              <w:rPr>
                <w:rFonts w:asciiTheme="majorHAnsi" w:hAnsiTheme="majorHAnsi" w:cstheme="majorHAnsi"/>
                <w:color w:val="000000" w:themeColor="text1"/>
              </w:rPr>
              <w:t>рифатено.</w:t>
            </w:r>
          </w:p>
        </w:tc>
      </w:tr>
      <w:tr w:rsidR="007752CB" w:rsidRPr="00113A3C" w:rsidTr="00D9652E">
        <w:trPr>
          <w:trHeight w:val="1920"/>
        </w:trPr>
        <w:tc>
          <w:tcPr>
            <w:tcW w:w="1615" w:type="dxa"/>
            <w:vMerge/>
          </w:tcPr>
          <w:p w:rsidR="007752CB" w:rsidRPr="00113A3C" w:rsidRDefault="007752CB"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7752CB" w:rsidRPr="00113A3C" w:rsidRDefault="007752CB"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Член 113 – поднаслов на член 112 – постапка за сертификација – дали му е соодветно местото – селективен превод со што се губи интегритет на основниот текст</w:t>
            </w:r>
          </w:p>
        </w:tc>
        <w:tc>
          <w:tcPr>
            <w:tcW w:w="6308" w:type="dxa"/>
            <w:tcBorders>
              <w:top w:val="single" w:sz="4" w:space="0" w:color="auto"/>
              <w:bottom w:val="single" w:sz="4" w:space="0" w:color="auto"/>
            </w:tcBorders>
          </w:tcPr>
          <w:p w:rsidR="007752CB" w:rsidRPr="00113A3C" w:rsidRDefault="00450BF6" w:rsidP="007D308F">
            <w:pPr>
              <w:spacing w:after="0"/>
              <w:rPr>
                <w:rFonts w:asciiTheme="majorHAnsi" w:hAnsiTheme="majorHAnsi" w:cstheme="majorHAnsi"/>
                <w:color w:val="000000" w:themeColor="text1"/>
              </w:rPr>
            </w:pPr>
            <w:r>
              <w:rPr>
                <w:rFonts w:asciiTheme="majorHAnsi" w:hAnsiTheme="majorHAnsi" w:cstheme="majorHAnsi"/>
                <w:color w:val="000000" w:themeColor="text1"/>
              </w:rPr>
              <w:t xml:space="preserve">Направена е корекција </w:t>
            </w:r>
          </w:p>
        </w:tc>
      </w:tr>
      <w:tr w:rsidR="007752CB" w:rsidRPr="00113A3C" w:rsidTr="00D9652E">
        <w:trPr>
          <w:trHeight w:val="675"/>
        </w:trPr>
        <w:tc>
          <w:tcPr>
            <w:tcW w:w="1615" w:type="dxa"/>
            <w:vMerge/>
          </w:tcPr>
          <w:p w:rsidR="007752CB" w:rsidRPr="00113A3C" w:rsidRDefault="007752CB" w:rsidP="00F253A2">
            <w:pPr>
              <w:spacing w:after="0"/>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7752CB" w:rsidRPr="00113A3C" w:rsidRDefault="00357AFD"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 xml:space="preserve">Изразот </w:t>
            </w:r>
            <w:r w:rsidR="007752CB" w:rsidRPr="00113A3C">
              <w:rPr>
                <w:rFonts w:asciiTheme="majorHAnsi" w:hAnsiTheme="majorHAnsi" w:cstheme="majorHAnsi"/>
                <w:color w:val="000000" w:themeColor="text1"/>
              </w:rPr>
              <w:t xml:space="preserve">ЛНГ да се смени </w:t>
            </w:r>
            <w:r w:rsidRPr="00113A3C">
              <w:rPr>
                <w:rFonts w:asciiTheme="majorHAnsi" w:hAnsiTheme="majorHAnsi" w:cstheme="majorHAnsi"/>
                <w:color w:val="000000" w:themeColor="text1"/>
              </w:rPr>
              <w:t xml:space="preserve">за </w:t>
            </w:r>
            <w:r w:rsidR="007752CB" w:rsidRPr="00113A3C">
              <w:rPr>
                <w:rFonts w:asciiTheme="majorHAnsi" w:hAnsiTheme="majorHAnsi" w:cstheme="majorHAnsi"/>
                <w:color w:val="000000" w:themeColor="text1"/>
              </w:rPr>
              <w:t xml:space="preserve">да не остане </w:t>
            </w:r>
            <w:r w:rsidRPr="00113A3C">
              <w:rPr>
                <w:rFonts w:asciiTheme="majorHAnsi" w:hAnsiTheme="majorHAnsi" w:cstheme="majorHAnsi"/>
                <w:color w:val="000000" w:themeColor="text1"/>
              </w:rPr>
              <w:t>„</w:t>
            </w:r>
            <w:r w:rsidR="007752CB" w:rsidRPr="00113A3C">
              <w:rPr>
                <w:rFonts w:asciiTheme="majorHAnsi" w:hAnsiTheme="majorHAnsi" w:cstheme="majorHAnsi"/>
                <w:color w:val="000000" w:themeColor="text1"/>
              </w:rPr>
              <w:t>втечнат природен гас</w:t>
            </w:r>
            <w:r w:rsidRPr="00113A3C">
              <w:rPr>
                <w:rFonts w:asciiTheme="majorHAnsi" w:hAnsiTheme="majorHAnsi" w:cstheme="majorHAnsi"/>
                <w:color w:val="000000" w:themeColor="text1"/>
              </w:rPr>
              <w:t>“.</w:t>
            </w:r>
          </w:p>
        </w:tc>
        <w:tc>
          <w:tcPr>
            <w:tcW w:w="6308" w:type="dxa"/>
            <w:tcBorders>
              <w:top w:val="single" w:sz="4" w:space="0" w:color="auto"/>
              <w:bottom w:val="single" w:sz="4" w:space="0" w:color="auto"/>
            </w:tcBorders>
          </w:tcPr>
          <w:p w:rsidR="007752CB" w:rsidRPr="00113A3C" w:rsidRDefault="00357AFD"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p>
        </w:tc>
      </w:tr>
      <w:tr w:rsidR="00C52734" w:rsidRPr="00113A3C" w:rsidTr="00D9652E">
        <w:trPr>
          <w:trHeight w:val="396"/>
        </w:trPr>
        <w:tc>
          <w:tcPr>
            <w:tcW w:w="1615" w:type="dxa"/>
          </w:tcPr>
          <w:p w:rsidR="00C52734" w:rsidRPr="00113A3C" w:rsidRDefault="00357AFD" w:rsidP="00F253A2">
            <w:pPr>
              <w:spacing w:after="0"/>
              <w:rPr>
                <w:rFonts w:asciiTheme="majorHAnsi" w:hAnsiTheme="majorHAnsi" w:cstheme="majorHAnsi"/>
                <w:b/>
                <w:color w:val="000000" w:themeColor="text1"/>
              </w:rPr>
            </w:pPr>
            <w:r w:rsidRPr="00113A3C">
              <w:rPr>
                <w:rFonts w:asciiTheme="majorHAnsi" w:hAnsiTheme="majorHAnsi" w:cstheme="majorHAnsi"/>
                <w:b/>
                <w:color w:val="000000" w:themeColor="text1"/>
              </w:rPr>
              <w:t xml:space="preserve">3. </w:t>
            </w:r>
            <w:r w:rsidR="00C52734" w:rsidRPr="00113A3C">
              <w:rPr>
                <w:rFonts w:asciiTheme="majorHAnsi" w:hAnsiTheme="majorHAnsi" w:cstheme="majorHAnsi"/>
                <w:b/>
                <w:color w:val="000000" w:themeColor="text1"/>
              </w:rPr>
              <w:t>МЕР</w:t>
            </w:r>
          </w:p>
        </w:tc>
        <w:tc>
          <w:tcPr>
            <w:tcW w:w="6247" w:type="dxa"/>
            <w:tcBorders>
              <w:top w:val="single" w:sz="4" w:space="0" w:color="auto"/>
              <w:bottom w:val="single" w:sz="4" w:space="0" w:color="auto"/>
            </w:tcBorders>
          </w:tcPr>
          <w:p w:rsidR="00C52734" w:rsidRPr="00113A3C" w:rsidRDefault="00357AFD"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Н</w:t>
            </w:r>
            <w:r w:rsidR="00C52734" w:rsidRPr="00113A3C">
              <w:rPr>
                <w:rFonts w:asciiTheme="majorHAnsi" w:hAnsiTheme="majorHAnsi" w:cstheme="majorHAnsi"/>
                <w:color w:val="000000" w:themeColor="text1"/>
              </w:rPr>
              <w:t xml:space="preserve">е е јасно </w:t>
            </w:r>
            <w:r w:rsidRPr="00113A3C">
              <w:rPr>
                <w:rFonts w:asciiTheme="majorHAnsi" w:hAnsiTheme="majorHAnsi" w:cstheme="majorHAnsi"/>
                <w:color w:val="000000" w:themeColor="text1"/>
              </w:rPr>
              <w:t xml:space="preserve">за </w:t>
            </w:r>
            <w:r w:rsidR="00C52734" w:rsidRPr="00113A3C">
              <w:rPr>
                <w:rFonts w:asciiTheme="majorHAnsi" w:hAnsiTheme="majorHAnsi" w:cstheme="majorHAnsi"/>
                <w:color w:val="000000" w:themeColor="text1"/>
              </w:rPr>
              <w:t xml:space="preserve">кои случаи </w:t>
            </w:r>
            <w:r w:rsidRPr="00113A3C">
              <w:rPr>
                <w:rFonts w:asciiTheme="majorHAnsi" w:hAnsiTheme="majorHAnsi" w:cstheme="majorHAnsi"/>
                <w:color w:val="000000" w:themeColor="text1"/>
              </w:rPr>
              <w:t xml:space="preserve">се однесува </w:t>
            </w:r>
            <w:r w:rsidR="00C52734" w:rsidRPr="00113A3C">
              <w:rPr>
                <w:rFonts w:asciiTheme="majorHAnsi" w:hAnsiTheme="majorHAnsi" w:cstheme="majorHAnsi"/>
                <w:color w:val="000000" w:themeColor="text1"/>
              </w:rPr>
              <w:t>изградба</w:t>
            </w:r>
            <w:r w:rsidRPr="00113A3C">
              <w:rPr>
                <w:rFonts w:asciiTheme="majorHAnsi" w:hAnsiTheme="majorHAnsi" w:cstheme="majorHAnsi"/>
                <w:color w:val="000000" w:themeColor="text1"/>
              </w:rPr>
              <w:t>та</w:t>
            </w:r>
            <w:r w:rsidR="00C52734" w:rsidRPr="00113A3C">
              <w:rPr>
                <w:rFonts w:asciiTheme="majorHAnsi" w:hAnsiTheme="majorHAnsi" w:cstheme="majorHAnsi"/>
                <w:color w:val="000000" w:themeColor="text1"/>
              </w:rPr>
              <w:t xml:space="preserve"> на нови водови за пренос</w:t>
            </w:r>
            <w:r w:rsidRPr="00113A3C">
              <w:rPr>
                <w:rFonts w:asciiTheme="majorHAnsi" w:hAnsiTheme="majorHAnsi" w:cstheme="majorHAnsi"/>
                <w:color w:val="000000" w:themeColor="text1"/>
              </w:rPr>
              <w:t xml:space="preserve"> од член 63, бидејќи</w:t>
            </w:r>
            <w:r w:rsidR="00C52734" w:rsidRPr="00113A3C">
              <w:rPr>
                <w:rFonts w:asciiTheme="majorHAnsi" w:hAnsiTheme="majorHAnsi" w:cstheme="majorHAnsi"/>
                <w:color w:val="000000" w:themeColor="text1"/>
              </w:rPr>
              <w:t xml:space="preserve"> не се збори за преносни мрежи туку за дистрибутивни мрежи</w:t>
            </w:r>
            <w:r w:rsidRPr="00113A3C">
              <w:rPr>
                <w:rFonts w:asciiTheme="majorHAnsi" w:hAnsiTheme="majorHAnsi" w:cstheme="majorHAnsi"/>
                <w:color w:val="000000" w:themeColor="text1"/>
              </w:rPr>
              <w:t>. Треба</w:t>
            </w:r>
            <w:r w:rsidR="00C52734" w:rsidRPr="00113A3C">
              <w:rPr>
                <w:rFonts w:asciiTheme="majorHAnsi" w:hAnsiTheme="majorHAnsi" w:cstheme="majorHAnsi"/>
                <w:color w:val="000000" w:themeColor="text1"/>
              </w:rPr>
              <w:t xml:space="preserve"> да се појасни</w:t>
            </w:r>
            <w:r w:rsidRPr="00113A3C">
              <w:rPr>
                <w:rFonts w:asciiTheme="majorHAnsi" w:hAnsiTheme="majorHAnsi" w:cstheme="majorHAnsi"/>
                <w:color w:val="000000" w:themeColor="text1"/>
              </w:rPr>
              <w:t xml:space="preserve"> и</w:t>
            </w:r>
            <w:r w:rsidR="00C52734" w:rsidRPr="00113A3C">
              <w:rPr>
                <w:rFonts w:asciiTheme="majorHAnsi" w:hAnsiTheme="majorHAnsi" w:cstheme="majorHAnsi"/>
                <w:color w:val="000000" w:themeColor="text1"/>
              </w:rPr>
              <w:t xml:space="preserve"> да се додефинира.  </w:t>
            </w:r>
          </w:p>
          <w:p w:rsidR="00C52734" w:rsidRPr="00113A3C" w:rsidRDefault="00C52734" w:rsidP="00F253A2">
            <w:pPr>
              <w:spacing w:after="0"/>
              <w:rPr>
                <w:rFonts w:asciiTheme="majorHAnsi" w:hAnsiTheme="majorHAnsi" w:cstheme="majorHAnsi"/>
                <w:color w:val="000000" w:themeColor="text1"/>
              </w:rPr>
            </w:pPr>
          </w:p>
        </w:tc>
        <w:tc>
          <w:tcPr>
            <w:tcW w:w="6308" w:type="dxa"/>
            <w:tcBorders>
              <w:top w:val="single" w:sz="4" w:space="0" w:color="auto"/>
              <w:bottom w:val="single" w:sz="4" w:space="0" w:color="auto"/>
            </w:tcBorders>
          </w:tcPr>
          <w:p w:rsidR="00C52734" w:rsidRPr="00113A3C" w:rsidRDefault="00F82F0E" w:rsidP="00F253A2">
            <w:pPr>
              <w:spacing w:after="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p>
        </w:tc>
      </w:tr>
    </w:tbl>
    <w:p w:rsidR="00B2129C" w:rsidRPr="00113A3C" w:rsidRDefault="00B2129C" w:rsidP="00EE3E81">
      <w:pPr>
        <w:autoSpaceDE w:val="0"/>
        <w:autoSpaceDN w:val="0"/>
        <w:adjustRightInd w:val="0"/>
        <w:spacing w:after="0" w:line="240" w:lineRule="auto"/>
        <w:rPr>
          <w:rFonts w:asciiTheme="majorHAnsi" w:hAnsiTheme="majorHAnsi" w:cstheme="majorHAnsi"/>
          <w:color w:val="000000" w:themeColor="text1"/>
        </w:rPr>
      </w:pPr>
    </w:p>
    <w:tbl>
      <w:tblPr>
        <w:tblStyle w:val="TableGrid"/>
        <w:tblW w:w="0" w:type="auto"/>
        <w:tblLook w:val="04A0" w:firstRow="1" w:lastRow="0" w:firstColumn="1" w:lastColumn="0" w:noHBand="0" w:noVBand="1"/>
      </w:tblPr>
      <w:tblGrid>
        <w:gridCol w:w="1701"/>
        <w:gridCol w:w="6232"/>
        <w:gridCol w:w="6015"/>
      </w:tblGrid>
      <w:tr w:rsidR="00877DCA" w:rsidRPr="00113A3C" w:rsidTr="00877DCA">
        <w:tc>
          <w:tcPr>
            <w:tcW w:w="1701" w:type="dxa"/>
          </w:tcPr>
          <w:p w:rsidR="00877DCA" w:rsidRPr="00113A3C" w:rsidRDefault="00877DCA"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МАКПЕТРОЛ</w:t>
            </w:r>
          </w:p>
        </w:tc>
        <w:tc>
          <w:tcPr>
            <w:tcW w:w="6232" w:type="dxa"/>
          </w:tcPr>
          <w:p w:rsidR="00877DCA" w:rsidRPr="006B3F68" w:rsidRDefault="00877DCA" w:rsidP="00877DCA">
            <w:pPr>
              <w:jc w:val="both"/>
              <w:rPr>
                <w:rFonts w:asciiTheme="majorHAnsi" w:hAnsiTheme="majorHAnsi" w:cstheme="majorHAnsi"/>
                <w:color w:val="000000" w:themeColor="text1"/>
              </w:rPr>
            </w:pPr>
            <w:r w:rsidRPr="006B3F68">
              <w:rPr>
                <w:rFonts w:asciiTheme="majorHAnsi" w:hAnsiTheme="majorHAnsi" w:cstheme="majorHAnsi"/>
                <w:color w:val="000000" w:themeColor="text1"/>
              </w:rPr>
              <w:t>Во врска со предлог Законот за енергетика, предлагаме членот 5 да се измени и да гласи :</w:t>
            </w:r>
          </w:p>
          <w:p w:rsidR="00877DCA" w:rsidRPr="006B3F68" w:rsidRDefault="00877DCA" w:rsidP="006B3F68">
            <w:pPr>
              <w:pStyle w:val="Stavovi"/>
              <w:numPr>
                <w:ilvl w:val="0"/>
                <w:numId w:val="28"/>
              </w:numPr>
              <w:rPr>
                <w:rFonts w:asciiTheme="majorHAnsi" w:hAnsiTheme="majorHAnsi" w:cstheme="majorHAnsi"/>
              </w:rPr>
            </w:pPr>
            <w:r w:rsidRPr="006B3F68">
              <w:rPr>
                <w:rFonts w:asciiTheme="majorHAnsi" w:hAnsiTheme="majorHAnsi" w:cstheme="majorHAnsi"/>
              </w:rPr>
              <w:t>Со цел да се оневозможи дискриминаторното однесување, вкрстеното субвенционирање и нарушувањето на конкуренцијата во случаите кога едно правно лице, независно од неговата сопственост и правна форма, врши една или повеќе регулирани енергетски дејности или една или повеќе регулирани енергетски дејности и друга енергетска дејност или друга дејност, тоа лице е должно до Регулаторната комисија за енергетика да го достави образецот СПД со искажани приходи по дејности.</w:t>
            </w:r>
          </w:p>
          <w:p w:rsidR="00877DCA" w:rsidRPr="006B3F68" w:rsidRDefault="00877DCA" w:rsidP="006B3F68">
            <w:pPr>
              <w:pStyle w:val="Stavovi"/>
              <w:numPr>
                <w:ilvl w:val="0"/>
                <w:numId w:val="28"/>
              </w:numPr>
              <w:rPr>
                <w:rFonts w:asciiTheme="majorHAnsi" w:hAnsiTheme="majorHAnsi" w:cstheme="majorHAnsi"/>
              </w:rPr>
            </w:pPr>
            <w:r w:rsidRPr="006B3F68">
              <w:rPr>
                <w:rFonts w:asciiTheme="majorHAnsi" w:hAnsiTheme="majorHAnsi" w:cstheme="majorHAnsi"/>
              </w:rPr>
              <w:t xml:space="preserve">Ако лицето кое врши една или повеќе регулирани енергетски дејности или една или повеќе регулирани енергетски дејности и друга енергетска дејност или друга дејност не е обврзано да ги објавува своите годишни </w:t>
            </w:r>
            <w:r w:rsidRPr="006B3F68">
              <w:rPr>
                <w:rFonts w:asciiTheme="majorHAnsi" w:hAnsiTheme="majorHAnsi" w:cstheme="majorHAnsi"/>
              </w:rPr>
              <w:lastRenderedPageBreak/>
              <w:t>сметки, но во своето седиште да чува копија од овие сметки за увид.</w:t>
            </w:r>
          </w:p>
          <w:p w:rsidR="00877DCA" w:rsidRPr="006B3F68" w:rsidRDefault="00877DCA" w:rsidP="006B3F68">
            <w:pPr>
              <w:pStyle w:val="Stavovi"/>
              <w:numPr>
                <w:ilvl w:val="0"/>
                <w:numId w:val="28"/>
              </w:numPr>
              <w:rPr>
                <w:rFonts w:asciiTheme="majorHAnsi" w:hAnsiTheme="majorHAnsi" w:cstheme="majorHAnsi"/>
              </w:rPr>
            </w:pPr>
            <w:r w:rsidRPr="006B3F68">
              <w:rPr>
                <w:rFonts w:asciiTheme="majorHAnsi" w:hAnsiTheme="majorHAnsi" w:cstheme="majorHAnsi"/>
              </w:rPr>
              <w:t xml:space="preserve">Ако лицето врши една или повеќе регулирани енергетски дејности или една или повеќе  регулирани енергетски дејности или друга дејност, неговото сметководство мора да вклучува финансиски извештаи пропишани со закон за секоја дејност и доколку тоа е случај, за регулирана енергетската дејност при чие вршење е должен да обезбеди јавна услуга за што во согласност со овој закон му се доделени финансиска или друг форма на надомест или ексклузивни права. </w:t>
            </w:r>
          </w:p>
          <w:p w:rsidR="00877DCA" w:rsidRPr="006B3F68" w:rsidRDefault="00877DCA" w:rsidP="006B3F68">
            <w:pPr>
              <w:pStyle w:val="Stavovi"/>
              <w:numPr>
                <w:ilvl w:val="0"/>
                <w:numId w:val="28"/>
              </w:numPr>
              <w:rPr>
                <w:rFonts w:asciiTheme="majorHAnsi" w:hAnsiTheme="majorHAnsi" w:cstheme="majorHAnsi"/>
              </w:rPr>
            </w:pPr>
            <w:r w:rsidRPr="006B3F68">
              <w:rPr>
                <w:rFonts w:asciiTheme="majorHAnsi" w:hAnsiTheme="majorHAnsi" w:cstheme="majorHAnsi"/>
              </w:rPr>
              <w:t>Покрај обврските од ставовите (1), (2) и (3) од овој член претпријатието за природен гас е должно:</w:t>
            </w:r>
          </w:p>
          <w:p w:rsidR="00877DCA" w:rsidRPr="006B3F68" w:rsidRDefault="00877DCA" w:rsidP="00877DCA">
            <w:pPr>
              <w:pStyle w:val="ListParagraph"/>
              <w:numPr>
                <w:ilvl w:val="0"/>
                <w:numId w:val="27"/>
              </w:numPr>
              <w:tabs>
                <w:tab w:val="left" w:pos="340"/>
              </w:tabs>
              <w:spacing w:before="60" w:after="60"/>
              <w:rPr>
                <w:rFonts w:asciiTheme="majorHAnsi" w:hAnsiTheme="majorHAnsi" w:cstheme="majorHAnsi"/>
                <w:color w:val="000000" w:themeColor="text1"/>
                <w:szCs w:val="22"/>
              </w:rPr>
            </w:pPr>
            <w:r w:rsidRPr="006B3F68">
              <w:rPr>
                <w:rFonts w:asciiTheme="majorHAnsi" w:hAnsiTheme="majorHAnsi" w:cstheme="majorHAnsi"/>
                <w:color w:val="000000" w:themeColor="text1"/>
                <w:szCs w:val="22"/>
              </w:rPr>
              <w:t>во својата сметководствена евиденција да ги наведе правилата за распределба на средствата и обврските, приходите и расходите и амортизацијата, во согласност со важечките сметководствени правила што се применуваат при изготвувањето на одвоеното сметководство од став (3) на овој член, а овие правила може да ги промени во исклучителни случаи при што е должно да ги наведе и образложи овие промени, и</w:t>
            </w:r>
          </w:p>
          <w:p w:rsidR="00877DCA" w:rsidRPr="006B3F68" w:rsidRDefault="00877DCA" w:rsidP="00877DCA">
            <w:pPr>
              <w:pStyle w:val="ListParagraph"/>
              <w:numPr>
                <w:ilvl w:val="0"/>
                <w:numId w:val="27"/>
              </w:numPr>
              <w:tabs>
                <w:tab w:val="left" w:pos="340"/>
              </w:tabs>
              <w:spacing w:before="60" w:after="60"/>
              <w:rPr>
                <w:rFonts w:asciiTheme="majorHAnsi" w:hAnsiTheme="majorHAnsi" w:cstheme="majorHAnsi"/>
                <w:color w:val="000000" w:themeColor="text1"/>
                <w:szCs w:val="22"/>
              </w:rPr>
            </w:pPr>
            <w:r w:rsidRPr="006B3F68">
              <w:rPr>
                <w:rFonts w:asciiTheme="majorHAnsi" w:hAnsiTheme="majorHAnsi" w:cstheme="majorHAnsi"/>
                <w:color w:val="000000" w:themeColor="text1"/>
                <w:szCs w:val="22"/>
              </w:rPr>
              <w:t>во објаснувачките белешки на годишните финансиски извештаи да ги наведе сите зделки со поврзаните претпријатија што го надминуваат дозволениот обем определен од Регулаторната комисија за енергетика.</w:t>
            </w:r>
          </w:p>
          <w:p w:rsidR="00877DCA" w:rsidRPr="006B3F68" w:rsidRDefault="00877DCA" w:rsidP="006B3F68">
            <w:pPr>
              <w:pStyle w:val="Stavovi"/>
              <w:numPr>
                <w:ilvl w:val="0"/>
                <w:numId w:val="28"/>
              </w:numPr>
              <w:rPr>
                <w:rFonts w:asciiTheme="majorHAnsi" w:hAnsiTheme="majorHAnsi" w:cstheme="majorHAnsi"/>
              </w:rPr>
            </w:pPr>
            <w:r w:rsidRPr="006B3F68">
              <w:rPr>
                <w:rFonts w:asciiTheme="majorHAnsi" w:hAnsiTheme="majorHAnsi" w:cstheme="majorHAnsi"/>
              </w:rPr>
              <w:t xml:space="preserve">Покрај финансиските извештаи од став (3) на овој член коишто треба да бидат изготвени во согласност со Меѓународните стандарди за финансиско известување, Регулаторната комисија за енергетика може да пропише обврска на регулираните претпријатија да објавуваат, водат </w:t>
            </w:r>
            <w:r w:rsidRPr="006B3F68">
              <w:rPr>
                <w:rFonts w:asciiTheme="majorHAnsi" w:hAnsiTheme="majorHAnsi" w:cstheme="majorHAnsi"/>
              </w:rPr>
              <w:lastRenderedPageBreak/>
              <w:t>и поднесуваат други извештаи, сметки и регистри, и да ја пропише нивната форма и содржина.</w:t>
            </w:r>
          </w:p>
          <w:p w:rsidR="00877DCA" w:rsidRPr="006B3F68" w:rsidRDefault="00877DCA" w:rsidP="006B3F68">
            <w:pPr>
              <w:pStyle w:val="Stavovi"/>
              <w:rPr>
                <w:rFonts w:asciiTheme="majorHAnsi" w:hAnsiTheme="majorHAnsi" w:cstheme="majorHAnsi"/>
              </w:rPr>
            </w:pPr>
          </w:p>
          <w:p w:rsidR="00877DCA" w:rsidRPr="006B3F68" w:rsidRDefault="00877DCA" w:rsidP="006B3F68">
            <w:pPr>
              <w:pStyle w:val="Stavovi"/>
              <w:rPr>
                <w:rFonts w:asciiTheme="majorHAnsi" w:hAnsiTheme="majorHAnsi" w:cstheme="majorHAnsi"/>
              </w:rPr>
            </w:pPr>
            <w:r w:rsidRPr="006B3F68">
              <w:rPr>
                <w:rFonts w:asciiTheme="majorHAnsi" w:hAnsiTheme="majorHAnsi" w:cstheme="majorHAnsi"/>
              </w:rPr>
              <w:t>Во контекс на оваа измена предлагаме и ставот 2 од членот 35 да измени и да гласи :</w:t>
            </w:r>
          </w:p>
          <w:p w:rsidR="00877DCA" w:rsidRPr="006B3F68" w:rsidRDefault="00877DCA" w:rsidP="006B3F68">
            <w:pPr>
              <w:pStyle w:val="Stavovi"/>
              <w:rPr>
                <w:rFonts w:asciiTheme="majorHAnsi" w:hAnsiTheme="majorHAnsi" w:cstheme="majorHAnsi"/>
              </w:rPr>
            </w:pPr>
            <w:r w:rsidRPr="006B3F68">
              <w:rPr>
                <w:rFonts w:asciiTheme="majorHAnsi" w:hAnsiTheme="majorHAnsi" w:cstheme="majorHAnsi"/>
              </w:rPr>
              <w:t xml:space="preserve">(2) Во случај кога носителот на лиценца на овој член врши енергетска и неенергетска дејност, годишниот надоместок од овој член се наплаќа за енергетските дејности, според податоците содржани во СПД образецот, во согласност со барањата од </w:t>
            </w:r>
            <w:r w:rsidRPr="006B3F68">
              <w:rPr>
                <w:rFonts w:asciiTheme="majorHAnsi" w:hAnsiTheme="majorHAnsi" w:cstheme="majorHAnsi"/>
              </w:rPr>
              <w:fldChar w:fldCharType="begin"/>
            </w:r>
            <w:r w:rsidRPr="006B3F68">
              <w:rPr>
                <w:rFonts w:asciiTheme="majorHAnsi" w:hAnsiTheme="majorHAnsi" w:cstheme="majorHAnsi"/>
              </w:rPr>
              <w:instrText xml:space="preserve"> REF _Ref499122695 \h  \* MERGEFORMAT </w:instrText>
            </w:r>
            <w:r w:rsidRPr="006B3F68">
              <w:rPr>
                <w:rFonts w:asciiTheme="majorHAnsi" w:hAnsiTheme="majorHAnsi" w:cstheme="majorHAnsi"/>
              </w:rPr>
            </w:r>
            <w:r w:rsidRPr="006B3F68">
              <w:rPr>
                <w:rFonts w:asciiTheme="majorHAnsi" w:hAnsiTheme="majorHAnsi" w:cstheme="majorHAnsi"/>
              </w:rPr>
              <w:fldChar w:fldCharType="separate"/>
            </w:r>
            <w:r w:rsidRPr="006B3F68">
              <w:rPr>
                <w:rFonts w:asciiTheme="majorHAnsi" w:hAnsiTheme="majorHAnsi" w:cstheme="majorHAnsi"/>
              </w:rPr>
              <w:t>Член 5</w:t>
            </w:r>
            <w:r w:rsidRPr="006B3F68">
              <w:rPr>
                <w:rFonts w:asciiTheme="majorHAnsi" w:hAnsiTheme="majorHAnsi" w:cstheme="majorHAnsi"/>
              </w:rPr>
              <w:fldChar w:fldCharType="end"/>
            </w:r>
            <w:r w:rsidRPr="006B3F68">
              <w:rPr>
                <w:rFonts w:asciiTheme="majorHAnsi" w:hAnsiTheme="majorHAnsi" w:cstheme="majorHAnsi"/>
              </w:rPr>
              <w:t xml:space="preserve"> од овој Закон. </w:t>
            </w:r>
          </w:p>
          <w:p w:rsidR="00877DCA" w:rsidRPr="006B3F68" w:rsidRDefault="00877DCA" w:rsidP="00877DCA">
            <w:pPr>
              <w:jc w:val="both"/>
              <w:rPr>
                <w:rFonts w:asciiTheme="majorHAnsi" w:hAnsiTheme="majorHAnsi" w:cstheme="majorHAnsi"/>
                <w:color w:val="000000" w:themeColor="text1"/>
              </w:rPr>
            </w:pPr>
            <w:r w:rsidRPr="006B3F68">
              <w:rPr>
                <w:rFonts w:asciiTheme="majorHAnsi" w:hAnsiTheme="majorHAnsi" w:cstheme="majorHAnsi"/>
                <w:color w:val="000000" w:themeColor="text1"/>
              </w:rPr>
              <w:t xml:space="preserve">Во членот 5 од Предлог Законот за енергетика е содржана одредба за водење на одвоено сметководство за секоја регулирана дејност и доставување на ревидирани финански извештаи за секоја регулирана дејност до Регулаторната комисија за енергетика. Ваквата одредба, покрај фактот што во голема мерка би ги поскапела трошоците во работењето, по наше мислење е практично неспроведлива, од причина што ниту една ревизорска куќа нема да врши парцијална ревизија на финанскиот извештај. Буквалната примена на оваа одредба би значела трансформација на организациониот облик на друштвото од сметководствена смисла, односно конкретно за потребите на решението содржано во цитираниот член Макпетрол АД Скопје би требал да се трансформира во некоја сложена правна (холдинг компанија). Актуелниот Закон за трговски друштва не познава сложени облици на организирање. Уште повеќе, синтагмата „одвоено сметководство“ во реалноста не може да постои во рамките на едно друштво од причина што сите процеси што се одвиваат се поврзани и неможе да се изврши прецизна дистинкција на трошоците по одреден вид на дејност (трошоци за превоз на деривати за продажба на големо или мало и сл.). </w:t>
            </w:r>
          </w:p>
          <w:p w:rsidR="00877DCA" w:rsidRPr="006B3F68" w:rsidRDefault="00877DCA" w:rsidP="00877DCA">
            <w:pPr>
              <w:jc w:val="both"/>
              <w:rPr>
                <w:rFonts w:asciiTheme="majorHAnsi" w:hAnsiTheme="majorHAnsi" w:cstheme="majorHAnsi"/>
                <w:color w:val="000000" w:themeColor="text1"/>
              </w:rPr>
            </w:pPr>
            <w:r w:rsidRPr="006B3F68">
              <w:rPr>
                <w:rFonts w:asciiTheme="majorHAnsi" w:hAnsiTheme="majorHAnsi" w:cstheme="majorHAnsi"/>
                <w:color w:val="000000" w:themeColor="text1"/>
              </w:rPr>
              <w:lastRenderedPageBreak/>
              <w:t>Ваквото решение има и практична импликација во членот 35 од Предлог Законот за енергетика кој предвидува начин и постапка за утврдување на надоместок за финансинарање на работењето на Регулаторната комисија за енергетика. Иако членот 5 предвидува одвоено сметководство, во членот 35 повторно се оперира со термин „вкупен приход“. Ова е сосема спротивно на членот 55 од Уставот на Република Македонија кој ја гарантира слободата на пазарот и претприемништвото. Доколку ваквото решение за наплата на надоместокот опстане, ќе значи дека Регулаторната комисија за енергетика ќе наплаќа за нешто што е надвор од опфатот на нејзините ингеренции и ќе значи против уставно нарушување на слободата на претприемништвото на субјектите кои се занимаваат со енергетски дејности.</w:t>
            </w:r>
          </w:p>
          <w:p w:rsidR="00877DCA" w:rsidRPr="006B3F68" w:rsidRDefault="00877DCA" w:rsidP="00877DCA">
            <w:pPr>
              <w:jc w:val="both"/>
              <w:rPr>
                <w:rFonts w:asciiTheme="majorHAnsi" w:hAnsiTheme="majorHAnsi" w:cstheme="majorHAnsi"/>
                <w:color w:val="000000" w:themeColor="text1"/>
              </w:rPr>
            </w:pPr>
            <w:r w:rsidRPr="006B3F68">
              <w:rPr>
                <w:rFonts w:asciiTheme="majorHAnsi" w:hAnsiTheme="majorHAnsi" w:cstheme="majorHAnsi"/>
                <w:color w:val="000000" w:themeColor="text1"/>
              </w:rPr>
              <w:t xml:space="preserve">За надминување на ваквата состојба постои многу ефикасно законско решение кое е веќе имплементирано и успешно функционира. Имено, субјектите од нефинанскиот сектор кои вршат трговска дејност заради остварување на добивка поднесуваат годишна сметка согласно Законот за трговски друштва на обрасци пропишани во Правилникот за формата и содржината на годишната сметка и Правилникот за посебни податоци потребни за системот за државна евиденција и формата и содржината на образецот за државна евиденција. Со последната измена на Правилникот за посебни податоци потребни за системот за државна евиденција и формата и содржината на образецот за државна евиденција (Службен весник на РМ 9/16), воведен е нов образец за структура по приходи СПД кој е составен дел од годишната сметка и кој како нејзин дел подлежи на ревизија. Во тој образец трговските субјекти се должни да ги внесат сите приходи по дејности расчленето во согласност со нумерацијата од Националната класификација на дејности. </w:t>
            </w:r>
          </w:p>
          <w:p w:rsidR="00877DCA" w:rsidRPr="006B3F68" w:rsidRDefault="00877DCA" w:rsidP="00877DCA">
            <w:pPr>
              <w:jc w:val="both"/>
              <w:rPr>
                <w:rFonts w:asciiTheme="majorHAnsi" w:hAnsiTheme="majorHAnsi" w:cstheme="majorHAnsi"/>
                <w:color w:val="000000" w:themeColor="text1"/>
              </w:rPr>
            </w:pPr>
            <w:r w:rsidRPr="006B3F68">
              <w:rPr>
                <w:rFonts w:asciiTheme="majorHAnsi" w:hAnsiTheme="majorHAnsi" w:cstheme="majorHAnsi"/>
                <w:color w:val="000000" w:themeColor="text1"/>
              </w:rPr>
              <w:t xml:space="preserve">Прифаќањето на ова решение во Законот за енергетика ќе придонесе за максимално олеснување на работење на </w:t>
            </w:r>
            <w:r w:rsidRPr="006B3F68">
              <w:rPr>
                <w:rFonts w:asciiTheme="majorHAnsi" w:hAnsiTheme="majorHAnsi" w:cstheme="majorHAnsi"/>
                <w:color w:val="000000" w:themeColor="text1"/>
              </w:rPr>
              <w:lastRenderedPageBreak/>
              <w:t>друштвата а воедно ќе претставува основа за транспарентно и законито утврдување на надоместокот кој го наплаќа Регулаторната комисија за енергетика. Образецот СПД, како составен дел од ревидираната годишна сметка служи за определување на претежна дејност на трговските субјекти што пак од друга страна се користи од Управата за јавни приходи за фискални цели. Со оглед на значењето и примената на овој образец сосема е логично истиот во целост да се искористи и за потребите на Законот за енергетика.</w:t>
            </w:r>
          </w:p>
          <w:p w:rsidR="00877DCA" w:rsidRPr="006B3F68" w:rsidRDefault="00877DCA" w:rsidP="00EE3E81">
            <w:pPr>
              <w:autoSpaceDE w:val="0"/>
              <w:autoSpaceDN w:val="0"/>
              <w:adjustRightInd w:val="0"/>
              <w:rPr>
                <w:rFonts w:asciiTheme="majorHAnsi" w:hAnsiTheme="majorHAnsi" w:cstheme="majorHAnsi"/>
                <w:color w:val="000000" w:themeColor="text1"/>
              </w:rPr>
            </w:pPr>
          </w:p>
        </w:tc>
        <w:tc>
          <w:tcPr>
            <w:tcW w:w="6015" w:type="dxa"/>
          </w:tcPr>
          <w:p w:rsidR="006B3F68" w:rsidRPr="006B3F68" w:rsidRDefault="006B3F68" w:rsidP="00EE3E81">
            <w:pPr>
              <w:autoSpaceDE w:val="0"/>
              <w:autoSpaceDN w:val="0"/>
              <w:adjustRightInd w:val="0"/>
              <w:rPr>
                <w:rFonts w:asciiTheme="majorHAnsi" w:hAnsiTheme="majorHAnsi" w:cstheme="majorHAnsi"/>
                <w:color w:val="000000" w:themeColor="text1"/>
              </w:rPr>
            </w:pPr>
            <w:r w:rsidRPr="006B3F68">
              <w:rPr>
                <w:rFonts w:asciiTheme="majorHAnsi" w:hAnsiTheme="majorHAnsi" w:cstheme="majorHAnsi"/>
                <w:color w:val="000000" w:themeColor="text1"/>
              </w:rPr>
              <w:lastRenderedPageBreak/>
              <w:t xml:space="preserve">Членот гласи </w:t>
            </w:r>
          </w:p>
          <w:p w:rsidR="006B3F68" w:rsidRPr="006B3F68" w:rsidRDefault="006B3F68" w:rsidP="00EE3E81">
            <w:pPr>
              <w:autoSpaceDE w:val="0"/>
              <w:autoSpaceDN w:val="0"/>
              <w:adjustRightInd w:val="0"/>
              <w:rPr>
                <w:rFonts w:asciiTheme="majorHAnsi" w:hAnsiTheme="majorHAnsi" w:cstheme="majorHAnsi"/>
                <w:color w:val="000000" w:themeColor="text1"/>
              </w:rPr>
            </w:pPr>
          </w:p>
          <w:p w:rsidR="006B3F68" w:rsidRPr="006B3F68" w:rsidRDefault="006B3F68" w:rsidP="006B3F68">
            <w:pPr>
              <w:pStyle w:val="Heading2"/>
              <w:outlineLvl w:val="1"/>
              <w:rPr>
                <w:rFonts w:asciiTheme="majorHAnsi" w:hAnsiTheme="majorHAnsi" w:cstheme="majorHAnsi"/>
                <w:szCs w:val="22"/>
              </w:rPr>
            </w:pPr>
            <w:bookmarkStart w:id="0" w:name="_Toc498721293"/>
            <w:bookmarkStart w:id="1" w:name="_Toc507587228"/>
            <w:bookmarkStart w:id="2" w:name="_Toc507587461"/>
            <w:r w:rsidRPr="006B3F68">
              <w:rPr>
                <w:rFonts w:asciiTheme="majorHAnsi" w:hAnsiTheme="majorHAnsi" w:cstheme="majorHAnsi"/>
                <w:szCs w:val="22"/>
              </w:rPr>
              <w:t>Одвоено сметководство</w:t>
            </w:r>
            <w:bookmarkEnd w:id="0"/>
            <w:bookmarkEnd w:id="1"/>
            <w:bookmarkEnd w:id="2"/>
          </w:p>
          <w:p w:rsidR="006B3F68" w:rsidRPr="006B3F68" w:rsidRDefault="006B3F68" w:rsidP="006B3F68">
            <w:pPr>
              <w:pStyle w:val="Caption"/>
              <w:rPr>
                <w:rFonts w:asciiTheme="majorHAnsi" w:hAnsiTheme="majorHAnsi" w:cstheme="majorHAnsi"/>
                <w:sz w:val="22"/>
                <w:szCs w:val="22"/>
              </w:rPr>
            </w:pPr>
            <w:bookmarkStart w:id="3" w:name="_Toc499071845"/>
            <w:bookmarkStart w:id="4" w:name="_Ref499122695"/>
            <w:r w:rsidRPr="006B3F68">
              <w:rPr>
                <w:rFonts w:asciiTheme="majorHAnsi" w:hAnsiTheme="majorHAnsi" w:cstheme="majorHAnsi"/>
                <w:sz w:val="22"/>
                <w:szCs w:val="22"/>
              </w:rPr>
              <w:t xml:space="preserve">Член </w:t>
            </w:r>
            <w:r w:rsidRPr="006B3F68">
              <w:rPr>
                <w:rFonts w:asciiTheme="majorHAnsi" w:hAnsiTheme="majorHAnsi" w:cstheme="majorHAnsi"/>
              </w:rPr>
              <w:fldChar w:fldCharType="begin"/>
            </w:r>
            <w:r w:rsidRPr="006B3F68">
              <w:rPr>
                <w:rFonts w:asciiTheme="majorHAnsi" w:hAnsiTheme="majorHAnsi" w:cstheme="majorHAnsi"/>
                <w:sz w:val="22"/>
                <w:szCs w:val="22"/>
              </w:rPr>
              <w:instrText xml:space="preserve"> SEQ Член \* ARABIC </w:instrText>
            </w:r>
            <w:r w:rsidRPr="006B3F68">
              <w:rPr>
                <w:rFonts w:asciiTheme="majorHAnsi" w:hAnsiTheme="majorHAnsi" w:cstheme="majorHAnsi"/>
              </w:rPr>
              <w:fldChar w:fldCharType="separate"/>
            </w:r>
            <w:r w:rsidRPr="006B3F68">
              <w:rPr>
                <w:rFonts w:asciiTheme="majorHAnsi" w:hAnsiTheme="majorHAnsi" w:cstheme="majorHAnsi"/>
                <w:noProof/>
                <w:sz w:val="22"/>
                <w:szCs w:val="22"/>
              </w:rPr>
              <w:t>5</w:t>
            </w:r>
            <w:bookmarkEnd w:id="3"/>
            <w:r w:rsidRPr="006B3F68">
              <w:rPr>
                <w:rFonts w:asciiTheme="majorHAnsi" w:hAnsiTheme="majorHAnsi" w:cstheme="majorHAnsi"/>
              </w:rPr>
              <w:fldChar w:fldCharType="end"/>
            </w:r>
            <w:bookmarkEnd w:id="4"/>
          </w:p>
          <w:p w:rsidR="006B3F68" w:rsidRPr="006B3F68" w:rsidRDefault="006B3F68" w:rsidP="00450BF6">
            <w:pPr>
              <w:pStyle w:val="Stavovi"/>
              <w:numPr>
                <w:ilvl w:val="0"/>
                <w:numId w:val="39"/>
              </w:numPr>
              <w:rPr>
                <w:rFonts w:asciiTheme="majorHAnsi" w:hAnsiTheme="majorHAnsi" w:cstheme="majorHAnsi"/>
              </w:rPr>
            </w:pPr>
            <w:r w:rsidRPr="006B3F68">
              <w:rPr>
                <w:rFonts w:asciiTheme="majorHAnsi" w:hAnsiTheme="majorHAnsi" w:cstheme="majorHAnsi"/>
              </w:rPr>
              <w:t xml:space="preserve">Со цел да се оневозможи дискриминаторното однесување, вкрстеното субвенционирање и нарушувањето на конкуренцијата во случаите кога едно друштво, независно од неговата сопственост и правна форма, врши една или повеќе регулирани енергетски дејности или една или повеќе регулирани енергетски дејности и друга енергетска дејност или друга дејност, тоа друштво е должно да: </w:t>
            </w:r>
          </w:p>
          <w:p w:rsidR="006B3F68" w:rsidRPr="006B3F68" w:rsidRDefault="006B3F68" w:rsidP="006B3F68">
            <w:pPr>
              <w:pStyle w:val="ListParagraph"/>
              <w:numPr>
                <w:ilvl w:val="0"/>
                <w:numId w:val="27"/>
              </w:numPr>
              <w:tabs>
                <w:tab w:val="left" w:pos="340"/>
              </w:tabs>
              <w:spacing w:before="60" w:after="60"/>
              <w:rPr>
                <w:rFonts w:asciiTheme="majorHAnsi" w:hAnsiTheme="majorHAnsi" w:cstheme="majorHAnsi"/>
              </w:rPr>
            </w:pPr>
            <w:r w:rsidRPr="006B3F68">
              <w:rPr>
                <w:rFonts w:asciiTheme="majorHAnsi" w:hAnsiTheme="majorHAnsi" w:cstheme="majorHAnsi"/>
              </w:rPr>
              <w:t>води одвоено сметководство за секоја поединечна регулирана енергетска дејност што ја врши,</w:t>
            </w:r>
          </w:p>
          <w:p w:rsidR="006B3F68" w:rsidRPr="006B3F68" w:rsidRDefault="006B3F68" w:rsidP="006B3F68">
            <w:pPr>
              <w:pStyle w:val="ListParagraph"/>
              <w:numPr>
                <w:ilvl w:val="0"/>
                <w:numId w:val="26"/>
              </w:numPr>
              <w:tabs>
                <w:tab w:val="left" w:pos="340"/>
              </w:tabs>
              <w:spacing w:before="60" w:after="60"/>
              <w:rPr>
                <w:rFonts w:asciiTheme="majorHAnsi" w:hAnsiTheme="majorHAnsi" w:cstheme="majorHAnsi"/>
              </w:rPr>
            </w:pPr>
            <w:r w:rsidRPr="006B3F68">
              <w:rPr>
                <w:rFonts w:asciiTheme="majorHAnsi" w:hAnsiTheme="majorHAnsi" w:cstheme="majorHAnsi"/>
              </w:rPr>
              <w:lastRenderedPageBreak/>
              <w:t>води одвоено сметководство за дејностите кои ги врши и кои не се регулирани енергетски дејности или други дејности кои ги извршува, и</w:t>
            </w:r>
          </w:p>
          <w:p w:rsidR="006B3F68" w:rsidRPr="006B3F68" w:rsidRDefault="006B3F68" w:rsidP="006B3F68">
            <w:pPr>
              <w:pStyle w:val="ListParagraph"/>
              <w:numPr>
                <w:ilvl w:val="0"/>
                <w:numId w:val="26"/>
              </w:numPr>
              <w:tabs>
                <w:tab w:val="left" w:pos="340"/>
              </w:tabs>
              <w:spacing w:before="60" w:after="60"/>
              <w:rPr>
                <w:rFonts w:asciiTheme="majorHAnsi" w:hAnsiTheme="majorHAnsi" w:cstheme="majorHAnsi"/>
              </w:rPr>
            </w:pPr>
            <w:r w:rsidRPr="006B3F68">
              <w:rPr>
                <w:rFonts w:asciiTheme="majorHAnsi" w:hAnsiTheme="majorHAnsi" w:cstheme="majorHAnsi"/>
              </w:rPr>
              <w:t>изготви и објави финансиски извештаи и други извештаи за активностите и обврските наведени во точките од 1) и 2) од овој став, во согласност со прописите и правилата за финансиско известување и ревизија.</w:t>
            </w:r>
          </w:p>
          <w:p w:rsidR="006B3F68" w:rsidRPr="006B3F68" w:rsidRDefault="006B3F68" w:rsidP="00450BF6">
            <w:pPr>
              <w:pStyle w:val="Stavovi"/>
              <w:numPr>
                <w:ilvl w:val="0"/>
                <w:numId w:val="39"/>
              </w:numPr>
              <w:rPr>
                <w:rFonts w:asciiTheme="majorHAnsi" w:hAnsiTheme="majorHAnsi" w:cstheme="majorHAnsi"/>
              </w:rPr>
            </w:pPr>
            <w:r w:rsidRPr="006B3F68">
              <w:rPr>
                <w:rFonts w:asciiTheme="majorHAnsi" w:hAnsiTheme="majorHAnsi" w:cstheme="majorHAnsi"/>
              </w:rPr>
              <w:t>Друштвото од став (1) на овој член е должно во своето седиште да чува копија од овие сметки и да ги направи достапни за увид на надлежните органи.</w:t>
            </w:r>
          </w:p>
          <w:p w:rsidR="006B3F68" w:rsidRPr="006B3F68" w:rsidRDefault="006B3F68" w:rsidP="00450BF6">
            <w:pPr>
              <w:pStyle w:val="Stavovi"/>
              <w:numPr>
                <w:ilvl w:val="0"/>
                <w:numId w:val="39"/>
              </w:numPr>
              <w:rPr>
                <w:rFonts w:asciiTheme="majorHAnsi" w:hAnsiTheme="majorHAnsi" w:cstheme="majorHAnsi"/>
              </w:rPr>
            </w:pPr>
            <w:r w:rsidRPr="006B3F68">
              <w:rPr>
                <w:rFonts w:asciiTheme="majorHAnsi" w:hAnsiTheme="majorHAnsi" w:cstheme="majorHAnsi"/>
              </w:rPr>
              <w:t xml:space="preserve">Ако друштвото врши една или повеќе регулирани енергетски дејности, една или повеќе регулирани енергетски дејности и друга енергетска дејност или друга дејност, неговото сметководство мора да вклучува финансиски извештаи пропишани со закон за секоја дејност и доколку тоа е случај, за енергетската дејност при чие вршење е должен да обезбеди јавна услуга за што во согласност со овој закон му се доделени финансиска или друга форма на надомест. </w:t>
            </w:r>
          </w:p>
          <w:p w:rsidR="006B3F68" w:rsidRPr="006B3F68" w:rsidRDefault="006B3F68" w:rsidP="00450BF6">
            <w:pPr>
              <w:pStyle w:val="Stavovi"/>
              <w:numPr>
                <w:ilvl w:val="0"/>
                <w:numId w:val="39"/>
              </w:numPr>
              <w:rPr>
                <w:rFonts w:asciiTheme="majorHAnsi" w:hAnsiTheme="majorHAnsi" w:cstheme="majorHAnsi"/>
              </w:rPr>
            </w:pPr>
            <w:r w:rsidRPr="006B3F68">
              <w:rPr>
                <w:rFonts w:asciiTheme="majorHAnsi" w:hAnsiTheme="majorHAnsi" w:cstheme="majorHAnsi"/>
              </w:rPr>
              <w:t>Покрај обврските наведени во ставовите (1), (2) и (3) од овој член, друштвото кое врши регулирана енергетска дејност e должно да достави до Регулаторната комисија за енергетика ревидирани годишни финансиски извештаи за секоја регулирана дејност одделно, и да ги објави на својата веб страница. За нерегулираните енергетски и други дејности, финансискиот извештај што се доставува до Регулаторната комисија за енергетика може да биде во консолидирана форма. Финансиските извештаи треба да бидат изготвени во согласност со Меѓународните стандарди за финансиско известување</w:t>
            </w:r>
          </w:p>
          <w:p w:rsidR="006B3F68" w:rsidRPr="006B3F68" w:rsidRDefault="006B3F68" w:rsidP="006B3F68">
            <w:pPr>
              <w:autoSpaceDE w:val="0"/>
              <w:autoSpaceDN w:val="0"/>
              <w:adjustRightInd w:val="0"/>
              <w:rPr>
                <w:rFonts w:asciiTheme="majorHAnsi" w:hAnsiTheme="majorHAnsi" w:cstheme="majorHAnsi"/>
              </w:rPr>
            </w:pPr>
            <w:r w:rsidRPr="006B3F68">
              <w:rPr>
                <w:rFonts w:asciiTheme="majorHAnsi" w:hAnsiTheme="majorHAnsi" w:cstheme="majorHAnsi"/>
              </w:rPr>
              <w:lastRenderedPageBreak/>
              <w:t>Регулаторната комисија за енергетика може да пропише обврска на друштвата кои вршат регулирани енергетски дејности да објавуваат, водат и поднесуваат други извештаи, сметки и евиденции, и да ја пропише нивната форма и содржина.</w:t>
            </w:r>
          </w:p>
          <w:p w:rsidR="006B3F68" w:rsidRPr="006B3F68" w:rsidRDefault="006B3F68" w:rsidP="006B3F68">
            <w:pPr>
              <w:autoSpaceDE w:val="0"/>
              <w:autoSpaceDN w:val="0"/>
              <w:adjustRightInd w:val="0"/>
              <w:rPr>
                <w:rFonts w:asciiTheme="majorHAnsi" w:hAnsiTheme="majorHAnsi" w:cstheme="majorHAnsi"/>
                <w:color w:val="000000" w:themeColor="text1"/>
              </w:rPr>
            </w:pPr>
          </w:p>
          <w:p w:rsidR="006B3F68" w:rsidRPr="006B3F68" w:rsidRDefault="006B3F68" w:rsidP="006B3F68">
            <w:pPr>
              <w:autoSpaceDE w:val="0"/>
              <w:autoSpaceDN w:val="0"/>
              <w:adjustRightInd w:val="0"/>
              <w:rPr>
                <w:rFonts w:asciiTheme="majorHAnsi" w:hAnsiTheme="majorHAnsi" w:cstheme="majorHAnsi"/>
                <w:color w:val="000000" w:themeColor="text1"/>
              </w:rPr>
            </w:pPr>
          </w:p>
          <w:p w:rsidR="00877DCA" w:rsidRPr="006B3F68" w:rsidRDefault="0089731A" w:rsidP="006B3F68">
            <w:pPr>
              <w:autoSpaceDE w:val="0"/>
              <w:autoSpaceDN w:val="0"/>
              <w:adjustRightInd w:val="0"/>
              <w:rPr>
                <w:rFonts w:asciiTheme="majorHAnsi" w:hAnsiTheme="majorHAnsi" w:cstheme="majorHAnsi"/>
                <w:color w:val="000000" w:themeColor="text1"/>
              </w:rPr>
            </w:pPr>
            <w:r w:rsidRPr="006B3F68">
              <w:rPr>
                <w:rFonts w:asciiTheme="majorHAnsi" w:hAnsiTheme="majorHAnsi" w:cstheme="majorHAnsi"/>
                <w:color w:val="000000" w:themeColor="text1"/>
              </w:rPr>
              <w:t>Со член 35 став (</w:t>
            </w:r>
            <w:r w:rsidR="006B3F68" w:rsidRPr="006B3F68">
              <w:rPr>
                <w:rFonts w:asciiTheme="majorHAnsi" w:hAnsiTheme="majorHAnsi" w:cstheme="majorHAnsi"/>
                <w:color w:val="000000" w:themeColor="text1"/>
                <w:lang w:val="en-US"/>
              </w:rPr>
              <w:t>2</w:t>
            </w:r>
            <w:r w:rsidRPr="006B3F68">
              <w:rPr>
                <w:rFonts w:asciiTheme="majorHAnsi" w:hAnsiTheme="majorHAnsi" w:cstheme="majorHAnsi"/>
                <w:color w:val="000000" w:themeColor="text1"/>
              </w:rPr>
              <w:t>) од нацрт законот се предлага:</w:t>
            </w:r>
          </w:p>
          <w:p w:rsidR="006B3F68" w:rsidRPr="006B3F68" w:rsidRDefault="0089731A" w:rsidP="006B3F68">
            <w:pPr>
              <w:pStyle w:val="Stavovi"/>
              <w:rPr>
                <w:rFonts w:asciiTheme="majorHAnsi" w:hAnsiTheme="majorHAnsi" w:cstheme="majorHAnsi"/>
              </w:rPr>
            </w:pPr>
            <w:r w:rsidRPr="006B3F68">
              <w:rPr>
                <w:rFonts w:asciiTheme="majorHAnsi" w:hAnsiTheme="majorHAnsi" w:cstheme="majorHAnsi"/>
              </w:rPr>
              <w:t>„</w:t>
            </w:r>
            <w:r w:rsidR="006B3F68" w:rsidRPr="006B3F68">
              <w:rPr>
                <w:rFonts w:asciiTheme="majorHAnsi" w:hAnsiTheme="majorHAnsi" w:cstheme="majorHAnsi"/>
              </w:rPr>
              <w:t xml:space="preserve"> Ако едно лице е носител на една или повеќе лиценци за вршење на енергетски дејности, годишниот надоместок се наплаќа од вкупниот приход остварен по основ на вршење на енергетските дејности. </w:t>
            </w:r>
          </w:p>
          <w:p w:rsidR="0089731A" w:rsidRPr="006B3F68" w:rsidRDefault="0089731A" w:rsidP="006B3F68">
            <w:pPr>
              <w:pStyle w:val="Stavovi"/>
              <w:rPr>
                <w:rFonts w:asciiTheme="majorHAnsi" w:hAnsiTheme="majorHAnsi" w:cstheme="majorHAnsi"/>
              </w:rPr>
            </w:pPr>
            <w:r w:rsidRPr="006B3F68">
              <w:rPr>
                <w:rFonts w:asciiTheme="majorHAnsi" w:hAnsiTheme="majorHAnsi" w:cstheme="majorHAnsi"/>
              </w:rPr>
              <w:t xml:space="preserve">.“ </w:t>
            </w:r>
          </w:p>
          <w:p w:rsidR="0089731A" w:rsidRPr="006B3F68" w:rsidRDefault="0089731A" w:rsidP="00EE3E81">
            <w:pPr>
              <w:autoSpaceDE w:val="0"/>
              <w:autoSpaceDN w:val="0"/>
              <w:adjustRightInd w:val="0"/>
              <w:rPr>
                <w:rFonts w:asciiTheme="majorHAnsi" w:hAnsiTheme="majorHAnsi" w:cstheme="majorHAnsi"/>
                <w:color w:val="000000" w:themeColor="text1"/>
              </w:rPr>
            </w:pPr>
          </w:p>
        </w:tc>
      </w:tr>
    </w:tbl>
    <w:p w:rsidR="00877DCA" w:rsidRPr="00113A3C" w:rsidRDefault="00877DCA" w:rsidP="00EE3E81">
      <w:pPr>
        <w:autoSpaceDE w:val="0"/>
        <w:autoSpaceDN w:val="0"/>
        <w:adjustRightInd w:val="0"/>
        <w:spacing w:after="0" w:line="240" w:lineRule="auto"/>
        <w:rPr>
          <w:rFonts w:asciiTheme="majorHAnsi" w:hAnsiTheme="majorHAnsi" w:cstheme="majorHAnsi"/>
          <w:color w:val="000000" w:themeColor="text1"/>
        </w:rPr>
      </w:pPr>
    </w:p>
    <w:tbl>
      <w:tblPr>
        <w:tblStyle w:val="TableGrid"/>
        <w:tblW w:w="0" w:type="auto"/>
        <w:tblLook w:val="04A0" w:firstRow="1" w:lastRow="0" w:firstColumn="1" w:lastColumn="0" w:noHBand="0" w:noVBand="1"/>
      </w:tblPr>
      <w:tblGrid>
        <w:gridCol w:w="1446"/>
        <w:gridCol w:w="8870"/>
        <w:gridCol w:w="3632"/>
      </w:tblGrid>
      <w:tr w:rsidR="0064347C" w:rsidRPr="00113A3C" w:rsidTr="002D4025">
        <w:tc>
          <w:tcPr>
            <w:tcW w:w="1446" w:type="dxa"/>
            <w:vMerge w:val="restart"/>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БЕГ и ТЕТО</w:t>
            </w:r>
          </w:p>
        </w:tc>
        <w:tc>
          <w:tcPr>
            <w:tcW w:w="8870" w:type="dxa"/>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54867329" wp14:editId="44FCCCB4">
                  <wp:extent cx="5358130" cy="155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8130" cy="1554480"/>
                          </a:xfrm>
                          <a:prstGeom prst="rect">
                            <a:avLst/>
                          </a:prstGeom>
                          <a:noFill/>
                          <a:ln>
                            <a:noFill/>
                          </a:ln>
                        </pic:spPr>
                      </pic:pic>
                    </a:graphicData>
                  </a:graphic>
                </wp:inline>
              </w:drawing>
            </w:r>
          </w:p>
        </w:tc>
        <w:tc>
          <w:tcPr>
            <w:tcW w:w="3632" w:type="dxa"/>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 грешка во електронската верзија. Коригирано во најновата верзија на нацрт законот, снабдување со топлинска енергија е регулирана енергетска дејност.</w:t>
            </w:r>
          </w:p>
        </w:tc>
      </w:tr>
      <w:tr w:rsidR="0064347C" w:rsidRPr="00113A3C" w:rsidTr="002D4025">
        <w:tc>
          <w:tcPr>
            <w:tcW w:w="1446" w:type="dxa"/>
            <w:vMerge/>
          </w:tcPr>
          <w:p w:rsidR="00467617" w:rsidRPr="00113A3C" w:rsidRDefault="00467617" w:rsidP="00EE3E81">
            <w:pPr>
              <w:autoSpaceDE w:val="0"/>
              <w:autoSpaceDN w:val="0"/>
              <w:adjustRightInd w:val="0"/>
              <w:rPr>
                <w:rFonts w:asciiTheme="majorHAnsi" w:hAnsiTheme="majorHAnsi" w:cstheme="majorHAnsi"/>
                <w:color w:val="000000" w:themeColor="text1"/>
              </w:rPr>
            </w:pPr>
          </w:p>
        </w:tc>
        <w:tc>
          <w:tcPr>
            <w:tcW w:w="8870" w:type="dxa"/>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3145E2F1" wp14:editId="61201150">
                  <wp:extent cx="5083810" cy="12433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3810" cy="1243330"/>
                          </a:xfrm>
                          <a:prstGeom prst="rect">
                            <a:avLst/>
                          </a:prstGeom>
                          <a:noFill/>
                          <a:ln>
                            <a:noFill/>
                          </a:ln>
                        </pic:spPr>
                      </pic:pic>
                    </a:graphicData>
                  </a:graphic>
                </wp:inline>
              </w:drawing>
            </w:r>
          </w:p>
        </w:tc>
        <w:tc>
          <w:tcPr>
            <w:tcW w:w="3632" w:type="dxa"/>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Снабдување со топлинска енергија е регулирана енергетска дејност и  нејзиното вршење се уредува со акти кои ги донесува РКЕ меѓу другото и со тарифни системи.</w:t>
            </w:r>
          </w:p>
        </w:tc>
      </w:tr>
      <w:tr w:rsidR="0064347C" w:rsidRPr="00113A3C" w:rsidTr="002D4025">
        <w:tc>
          <w:tcPr>
            <w:tcW w:w="1446" w:type="dxa"/>
            <w:vMerge/>
          </w:tcPr>
          <w:p w:rsidR="00467617" w:rsidRPr="00113A3C" w:rsidRDefault="00467617" w:rsidP="00EE3E81">
            <w:pPr>
              <w:autoSpaceDE w:val="0"/>
              <w:autoSpaceDN w:val="0"/>
              <w:adjustRightInd w:val="0"/>
              <w:rPr>
                <w:rFonts w:asciiTheme="majorHAnsi" w:hAnsiTheme="majorHAnsi" w:cstheme="majorHAnsi"/>
                <w:color w:val="000000" w:themeColor="text1"/>
              </w:rPr>
            </w:pPr>
          </w:p>
        </w:tc>
        <w:tc>
          <w:tcPr>
            <w:tcW w:w="8870" w:type="dxa"/>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26451B22" wp14:editId="442E9E80">
                  <wp:extent cx="5139055" cy="110617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9055" cy="1106170"/>
                          </a:xfrm>
                          <a:prstGeom prst="rect">
                            <a:avLst/>
                          </a:prstGeom>
                          <a:noFill/>
                          <a:ln>
                            <a:noFill/>
                          </a:ln>
                        </pic:spPr>
                      </pic:pic>
                    </a:graphicData>
                  </a:graphic>
                </wp:inline>
              </w:drawing>
            </w:r>
          </w:p>
        </w:tc>
        <w:tc>
          <w:tcPr>
            <w:tcW w:w="3632" w:type="dxa"/>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Не се прифаќа, цената за снабдување на топлинска енергија што ја испорачува вршител на енергетска дејност ја утврдува РКЕ</w:t>
            </w:r>
            <w:r w:rsidR="00450BF6">
              <w:rPr>
                <w:rFonts w:asciiTheme="majorHAnsi" w:hAnsiTheme="majorHAnsi" w:cstheme="majorHAnsi"/>
                <w:color w:val="000000" w:themeColor="text1"/>
              </w:rPr>
              <w:t xml:space="preserve"> (член 158)</w:t>
            </w:r>
            <w:r w:rsidRPr="00113A3C">
              <w:rPr>
                <w:rFonts w:asciiTheme="majorHAnsi" w:hAnsiTheme="majorHAnsi" w:cstheme="majorHAnsi"/>
                <w:color w:val="000000" w:themeColor="text1"/>
              </w:rPr>
              <w:t>.</w:t>
            </w:r>
          </w:p>
        </w:tc>
      </w:tr>
      <w:tr w:rsidR="0064347C" w:rsidRPr="00113A3C" w:rsidTr="005A6ADE">
        <w:tc>
          <w:tcPr>
            <w:tcW w:w="1446" w:type="dxa"/>
            <w:vMerge/>
          </w:tcPr>
          <w:p w:rsidR="00467617" w:rsidRPr="00113A3C" w:rsidRDefault="00467617" w:rsidP="00EE3E81">
            <w:pPr>
              <w:autoSpaceDE w:val="0"/>
              <w:autoSpaceDN w:val="0"/>
              <w:adjustRightInd w:val="0"/>
              <w:rPr>
                <w:rFonts w:asciiTheme="majorHAnsi" w:hAnsiTheme="majorHAnsi" w:cstheme="majorHAnsi"/>
                <w:color w:val="000000" w:themeColor="text1"/>
              </w:rPr>
            </w:pPr>
          </w:p>
        </w:tc>
        <w:tc>
          <w:tcPr>
            <w:tcW w:w="8870" w:type="dxa"/>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4B83625A" wp14:editId="0A60E5F9">
                  <wp:extent cx="5495290" cy="1490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290" cy="1490345"/>
                          </a:xfrm>
                          <a:prstGeom prst="rect">
                            <a:avLst/>
                          </a:prstGeom>
                          <a:noFill/>
                          <a:ln>
                            <a:noFill/>
                          </a:ln>
                        </pic:spPr>
                      </pic:pic>
                    </a:graphicData>
                  </a:graphic>
                </wp:inline>
              </w:drawing>
            </w:r>
          </w:p>
        </w:tc>
        <w:tc>
          <w:tcPr>
            <w:tcW w:w="3632" w:type="dxa"/>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p>
        </w:tc>
      </w:tr>
      <w:tr w:rsidR="0064347C" w:rsidRPr="00113A3C" w:rsidTr="005A6ADE">
        <w:tc>
          <w:tcPr>
            <w:tcW w:w="1446" w:type="dxa"/>
            <w:vMerge/>
          </w:tcPr>
          <w:p w:rsidR="00467617" w:rsidRPr="00113A3C" w:rsidRDefault="00467617" w:rsidP="00EE3E81">
            <w:pPr>
              <w:autoSpaceDE w:val="0"/>
              <w:autoSpaceDN w:val="0"/>
              <w:adjustRightInd w:val="0"/>
              <w:rPr>
                <w:rFonts w:asciiTheme="majorHAnsi" w:hAnsiTheme="majorHAnsi" w:cstheme="majorHAnsi"/>
                <w:color w:val="000000" w:themeColor="text1"/>
              </w:rPr>
            </w:pPr>
          </w:p>
        </w:tc>
        <w:tc>
          <w:tcPr>
            <w:tcW w:w="8870" w:type="dxa"/>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42633BAD" wp14:editId="73F53ADB">
                  <wp:extent cx="5413375"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3375" cy="1828800"/>
                          </a:xfrm>
                          <a:prstGeom prst="rect">
                            <a:avLst/>
                          </a:prstGeom>
                          <a:noFill/>
                          <a:ln>
                            <a:noFill/>
                          </a:ln>
                        </pic:spPr>
                      </pic:pic>
                    </a:graphicData>
                  </a:graphic>
                </wp:inline>
              </w:drawing>
            </w:r>
          </w:p>
        </w:tc>
        <w:tc>
          <w:tcPr>
            <w:tcW w:w="3632" w:type="dxa"/>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 со поинаков текст</w:t>
            </w:r>
          </w:p>
        </w:tc>
      </w:tr>
      <w:tr w:rsidR="0064347C" w:rsidRPr="00113A3C" w:rsidTr="005A6ADE">
        <w:tc>
          <w:tcPr>
            <w:tcW w:w="1446" w:type="dxa"/>
            <w:vMerge/>
          </w:tcPr>
          <w:p w:rsidR="00467617" w:rsidRPr="00113A3C" w:rsidRDefault="00467617" w:rsidP="00EE3E81">
            <w:pPr>
              <w:autoSpaceDE w:val="0"/>
              <w:autoSpaceDN w:val="0"/>
              <w:adjustRightInd w:val="0"/>
              <w:rPr>
                <w:rFonts w:asciiTheme="majorHAnsi" w:hAnsiTheme="majorHAnsi" w:cstheme="majorHAnsi"/>
                <w:color w:val="000000" w:themeColor="text1"/>
              </w:rPr>
            </w:pPr>
          </w:p>
        </w:tc>
        <w:tc>
          <w:tcPr>
            <w:tcW w:w="8870" w:type="dxa"/>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14:anchorId="21DFC9B0" wp14:editId="21492E98">
                  <wp:extent cx="5459095" cy="105156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9095" cy="1051560"/>
                          </a:xfrm>
                          <a:prstGeom prst="rect">
                            <a:avLst/>
                          </a:prstGeom>
                          <a:noFill/>
                          <a:ln>
                            <a:noFill/>
                          </a:ln>
                        </pic:spPr>
                      </pic:pic>
                    </a:graphicData>
                  </a:graphic>
                </wp:inline>
              </w:drawing>
            </w:r>
          </w:p>
        </w:tc>
        <w:tc>
          <w:tcPr>
            <w:tcW w:w="3632" w:type="dxa"/>
          </w:tcPr>
          <w:p w:rsidR="00467617"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p>
        </w:tc>
      </w:tr>
      <w:tr w:rsidR="0064347C" w:rsidRPr="00113A3C" w:rsidTr="005A6ADE">
        <w:tc>
          <w:tcPr>
            <w:tcW w:w="1446" w:type="dxa"/>
          </w:tcPr>
          <w:p w:rsidR="00FC4B43" w:rsidRPr="00113A3C" w:rsidRDefault="00FC4B43" w:rsidP="00EE3E81">
            <w:pPr>
              <w:autoSpaceDE w:val="0"/>
              <w:autoSpaceDN w:val="0"/>
              <w:adjustRightInd w:val="0"/>
              <w:rPr>
                <w:rFonts w:asciiTheme="majorHAnsi" w:hAnsiTheme="majorHAnsi" w:cstheme="majorHAnsi"/>
                <w:color w:val="000000" w:themeColor="text1"/>
              </w:rPr>
            </w:pPr>
          </w:p>
        </w:tc>
        <w:tc>
          <w:tcPr>
            <w:tcW w:w="8870" w:type="dxa"/>
          </w:tcPr>
          <w:p w:rsidR="00FC4B43"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extent cx="5431790" cy="13442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1790" cy="1344295"/>
                          </a:xfrm>
                          <a:prstGeom prst="rect">
                            <a:avLst/>
                          </a:prstGeom>
                          <a:noFill/>
                          <a:ln>
                            <a:noFill/>
                          </a:ln>
                        </pic:spPr>
                      </pic:pic>
                    </a:graphicData>
                  </a:graphic>
                </wp:inline>
              </w:drawing>
            </w:r>
          </w:p>
        </w:tc>
        <w:tc>
          <w:tcPr>
            <w:tcW w:w="3632" w:type="dxa"/>
          </w:tcPr>
          <w:p w:rsidR="00FC4B43"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Делумно прифатено</w:t>
            </w:r>
            <w:r w:rsidR="00CC259E">
              <w:rPr>
                <w:rFonts w:asciiTheme="majorHAnsi" w:hAnsiTheme="majorHAnsi" w:cstheme="majorHAnsi"/>
                <w:color w:val="000000" w:themeColor="text1"/>
              </w:rPr>
              <w:t xml:space="preserve"> (член 156 став (4) </w:t>
            </w:r>
            <w:r w:rsidRPr="00113A3C">
              <w:rPr>
                <w:rFonts w:asciiTheme="majorHAnsi" w:hAnsiTheme="majorHAnsi" w:cstheme="majorHAnsi"/>
                <w:color w:val="000000" w:themeColor="text1"/>
              </w:rPr>
              <w:t>, вграден е нов став кој гласи:</w:t>
            </w:r>
          </w:p>
          <w:p w:rsidR="00467617" w:rsidRPr="00113A3C" w:rsidRDefault="00467617" w:rsidP="00EE3E81">
            <w:pPr>
              <w:autoSpaceDE w:val="0"/>
              <w:autoSpaceDN w:val="0"/>
              <w:adjustRightInd w:val="0"/>
              <w:rPr>
                <w:rFonts w:asciiTheme="majorHAnsi" w:hAnsiTheme="majorHAnsi" w:cstheme="majorHAnsi"/>
                <w:color w:val="000000" w:themeColor="text1"/>
              </w:rPr>
            </w:pPr>
          </w:p>
          <w:p w:rsidR="00467617" w:rsidRPr="00113A3C" w:rsidRDefault="00467617" w:rsidP="006B3F68">
            <w:pPr>
              <w:pStyle w:val="Stavovi"/>
            </w:pPr>
            <w:r w:rsidRPr="00113A3C">
              <w:t xml:space="preserve">„ </w:t>
            </w:r>
            <w:r w:rsidR="00CC259E" w:rsidRPr="00DF032C">
              <w:t>Операторот на системот за дистрибуција на топлинска енергија е должен да ја откупува топлинската енергија испорачана од производителите на топлинска енергија во дистрибутивниот систем доколку цената на топлинската енергија понудена од производителот е пониска од цената за топлинската енергија на регулираниот производител</w:t>
            </w:r>
            <w:r w:rsidR="00CC259E">
              <w:t>, за</w:t>
            </w:r>
            <w:r w:rsidR="00CC259E" w:rsidRPr="001A1CCB">
              <w:t xml:space="preserve"> процент којшто секоја годи</w:t>
            </w:r>
            <w:r w:rsidR="00CC259E" w:rsidRPr="00DF613A">
              <w:t xml:space="preserve">на го </w:t>
            </w:r>
            <w:r w:rsidR="00CC259E" w:rsidRPr="005A5F3B">
              <w:t>утврдува Регулаторната комисија за енергетика во одлуката за утврдување на регулиран максимален приход за дистрибуција на топлинска енергија за греење</w:t>
            </w:r>
            <w:r w:rsidRPr="00113A3C">
              <w:t>.</w:t>
            </w:r>
          </w:p>
          <w:p w:rsidR="00467617" w:rsidRPr="00113A3C" w:rsidRDefault="00467617" w:rsidP="00467617">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 “</w:t>
            </w:r>
          </w:p>
        </w:tc>
      </w:tr>
      <w:tr w:rsidR="0064347C" w:rsidRPr="00113A3C" w:rsidTr="005A6ADE">
        <w:tc>
          <w:tcPr>
            <w:tcW w:w="1446" w:type="dxa"/>
          </w:tcPr>
          <w:p w:rsidR="00FC4B43" w:rsidRPr="00113A3C" w:rsidRDefault="00FC4B43" w:rsidP="00EE3E81">
            <w:pPr>
              <w:autoSpaceDE w:val="0"/>
              <w:autoSpaceDN w:val="0"/>
              <w:adjustRightInd w:val="0"/>
              <w:rPr>
                <w:rFonts w:asciiTheme="majorHAnsi" w:hAnsiTheme="majorHAnsi" w:cstheme="majorHAnsi"/>
                <w:color w:val="000000" w:themeColor="text1"/>
              </w:rPr>
            </w:pPr>
          </w:p>
        </w:tc>
        <w:tc>
          <w:tcPr>
            <w:tcW w:w="8870" w:type="dxa"/>
          </w:tcPr>
          <w:p w:rsidR="00FC4B43"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extent cx="5431790" cy="996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1790" cy="996950"/>
                          </a:xfrm>
                          <a:prstGeom prst="rect">
                            <a:avLst/>
                          </a:prstGeom>
                          <a:noFill/>
                          <a:ln>
                            <a:noFill/>
                          </a:ln>
                        </pic:spPr>
                      </pic:pic>
                    </a:graphicData>
                  </a:graphic>
                </wp:inline>
              </w:drawing>
            </w:r>
          </w:p>
        </w:tc>
        <w:tc>
          <w:tcPr>
            <w:tcW w:w="3632" w:type="dxa"/>
          </w:tcPr>
          <w:p w:rsidR="00FC4B43" w:rsidRPr="00113A3C" w:rsidRDefault="0046761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CC259E">
              <w:rPr>
                <w:rFonts w:asciiTheme="majorHAnsi" w:hAnsiTheme="majorHAnsi" w:cstheme="majorHAnsi"/>
                <w:color w:val="000000" w:themeColor="text1"/>
              </w:rPr>
              <w:t xml:space="preserve"> (член 158)</w:t>
            </w:r>
            <w:r w:rsidRPr="00113A3C">
              <w:rPr>
                <w:rFonts w:asciiTheme="majorHAnsi" w:hAnsiTheme="majorHAnsi" w:cstheme="majorHAnsi"/>
                <w:color w:val="000000" w:themeColor="text1"/>
              </w:rPr>
              <w:t>.</w:t>
            </w:r>
          </w:p>
        </w:tc>
      </w:tr>
      <w:tr w:rsidR="0064347C" w:rsidRPr="00113A3C" w:rsidTr="005A6ADE">
        <w:tc>
          <w:tcPr>
            <w:tcW w:w="1446" w:type="dxa"/>
          </w:tcPr>
          <w:p w:rsidR="00FC4B43" w:rsidRPr="00113A3C" w:rsidRDefault="00FC4B43" w:rsidP="00EE3E81">
            <w:pPr>
              <w:autoSpaceDE w:val="0"/>
              <w:autoSpaceDN w:val="0"/>
              <w:adjustRightInd w:val="0"/>
              <w:rPr>
                <w:rFonts w:asciiTheme="majorHAnsi" w:hAnsiTheme="majorHAnsi" w:cstheme="majorHAnsi"/>
                <w:color w:val="000000" w:themeColor="text1"/>
              </w:rPr>
            </w:pPr>
          </w:p>
        </w:tc>
        <w:tc>
          <w:tcPr>
            <w:tcW w:w="8870" w:type="dxa"/>
          </w:tcPr>
          <w:p w:rsidR="00FC4B43" w:rsidRPr="00113A3C" w:rsidRDefault="0020467F"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extent cx="5431790"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1790" cy="996950"/>
                          </a:xfrm>
                          <a:prstGeom prst="rect">
                            <a:avLst/>
                          </a:prstGeom>
                          <a:noFill/>
                          <a:ln>
                            <a:noFill/>
                          </a:ln>
                        </pic:spPr>
                      </pic:pic>
                    </a:graphicData>
                  </a:graphic>
                </wp:inline>
              </w:drawing>
            </w:r>
          </w:p>
        </w:tc>
        <w:tc>
          <w:tcPr>
            <w:tcW w:w="3632" w:type="dxa"/>
          </w:tcPr>
          <w:p w:rsidR="00FC4B43" w:rsidRPr="00113A3C" w:rsidRDefault="0020467F"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p>
        </w:tc>
      </w:tr>
      <w:tr w:rsidR="0064347C" w:rsidRPr="00113A3C" w:rsidTr="005A6ADE">
        <w:tc>
          <w:tcPr>
            <w:tcW w:w="1446" w:type="dxa"/>
          </w:tcPr>
          <w:p w:rsidR="00FC4B43" w:rsidRPr="00113A3C" w:rsidRDefault="00FC4B43" w:rsidP="00EE3E81">
            <w:pPr>
              <w:autoSpaceDE w:val="0"/>
              <w:autoSpaceDN w:val="0"/>
              <w:adjustRightInd w:val="0"/>
              <w:rPr>
                <w:rFonts w:asciiTheme="majorHAnsi" w:hAnsiTheme="majorHAnsi" w:cstheme="majorHAnsi"/>
                <w:color w:val="000000" w:themeColor="text1"/>
              </w:rPr>
            </w:pPr>
          </w:p>
        </w:tc>
        <w:tc>
          <w:tcPr>
            <w:tcW w:w="8870" w:type="dxa"/>
          </w:tcPr>
          <w:p w:rsidR="00FC4B43" w:rsidRPr="00113A3C" w:rsidRDefault="0020467F"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extent cx="5413375" cy="1207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3375" cy="1207135"/>
                          </a:xfrm>
                          <a:prstGeom prst="rect">
                            <a:avLst/>
                          </a:prstGeom>
                          <a:noFill/>
                          <a:ln>
                            <a:noFill/>
                          </a:ln>
                        </pic:spPr>
                      </pic:pic>
                    </a:graphicData>
                  </a:graphic>
                </wp:inline>
              </w:drawing>
            </w:r>
          </w:p>
        </w:tc>
        <w:tc>
          <w:tcPr>
            <w:tcW w:w="3632" w:type="dxa"/>
          </w:tcPr>
          <w:p w:rsidR="00FC4B43" w:rsidRPr="00113A3C" w:rsidRDefault="0020467F"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CC259E">
              <w:rPr>
                <w:rFonts w:asciiTheme="majorHAnsi" w:hAnsiTheme="majorHAnsi" w:cstheme="majorHAnsi"/>
                <w:color w:val="000000" w:themeColor="text1"/>
              </w:rPr>
              <w:t xml:space="preserve"> (член 162)</w:t>
            </w:r>
          </w:p>
        </w:tc>
      </w:tr>
      <w:tr w:rsidR="0064347C" w:rsidRPr="00113A3C" w:rsidTr="005A6ADE">
        <w:tc>
          <w:tcPr>
            <w:tcW w:w="1446" w:type="dxa"/>
          </w:tcPr>
          <w:p w:rsidR="00FC4B43" w:rsidRPr="00113A3C" w:rsidRDefault="00FC4B43" w:rsidP="00EE3E81">
            <w:pPr>
              <w:autoSpaceDE w:val="0"/>
              <w:autoSpaceDN w:val="0"/>
              <w:adjustRightInd w:val="0"/>
              <w:rPr>
                <w:rFonts w:asciiTheme="majorHAnsi" w:hAnsiTheme="majorHAnsi" w:cstheme="majorHAnsi"/>
                <w:color w:val="000000" w:themeColor="text1"/>
              </w:rPr>
            </w:pPr>
          </w:p>
        </w:tc>
        <w:tc>
          <w:tcPr>
            <w:tcW w:w="8870" w:type="dxa"/>
          </w:tcPr>
          <w:p w:rsidR="00FC4B43" w:rsidRPr="00113A3C" w:rsidRDefault="0020467F"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extent cx="5459095" cy="147193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9095" cy="1471930"/>
                          </a:xfrm>
                          <a:prstGeom prst="rect">
                            <a:avLst/>
                          </a:prstGeom>
                          <a:noFill/>
                          <a:ln>
                            <a:noFill/>
                          </a:ln>
                        </pic:spPr>
                      </pic:pic>
                    </a:graphicData>
                  </a:graphic>
                </wp:inline>
              </w:drawing>
            </w:r>
          </w:p>
        </w:tc>
        <w:tc>
          <w:tcPr>
            <w:tcW w:w="3632" w:type="dxa"/>
          </w:tcPr>
          <w:p w:rsidR="00FC4B43" w:rsidRPr="00113A3C" w:rsidRDefault="0020467F"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CC259E">
              <w:rPr>
                <w:rFonts w:asciiTheme="majorHAnsi" w:hAnsiTheme="majorHAnsi" w:cstheme="majorHAnsi"/>
                <w:color w:val="000000" w:themeColor="text1"/>
              </w:rPr>
              <w:t xml:space="preserve"> (член 170)</w:t>
            </w:r>
          </w:p>
        </w:tc>
      </w:tr>
      <w:tr w:rsidR="0064347C" w:rsidRPr="00113A3C" w:rsidTr="005A6ADE">
        <w:tc>
          <w:tcPr>
            <w:tcW w:w="1446" w:type="dxa"/>
          </w:tcPr>
          <w:p w:rsidR="00FC4B43" w:rsidRPr="00113A3C" w:rsidRDefault="00FC4B43" w:rsidP="00EE3E81">
            <w:pPr>
              <w:autoSpaceDE w:val="0"/>
              <w:autoSpaceDN w:val="0"/>
              <w:adjustRightInd w:val="0"/>
              <w:rPr>
                <w:rFonts w:asciiTheme="majorHAnsi" w:hAnsiTheme="majorHAnsi" w:cstheme="majorHAnsi"/>
                <w:color w:val="000000" w:themeColor="text1"/>
              </w:rPr>
            </w:pPr>
          </w:p>
        </w:tc>
        <w:tc>
          <w:tcPr>
            <w:tcW w:w="8870" w:type="dxa"/>
          </w:tcPr>
          <w:p w:rsidR="00FC4B43" w:rsidRPr="00113A3C" w:rsidRDefault="0020467F"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extent cx="5413375" cy="17005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3375" cy="1700530"/>
                          </a:xfrm>
                          <a:prstGeom prst="rect">
                            <a:avLst/>
                          </a:prstGeom>
                          <a:noFill/>
                          <a:ln>
                            <a:noFill/>
                          </a:ln>
                        </pic:spPr>
                      </pic:pic>
                    </a:graphicData>
                  </a:graphic>
                </wp:inline>
              </w:drawing>
            </w:r>
          </w:p>
        </w:tc>
        <w:tc>
          <w:tcPr>
            <w:tcW w:w="3632" w:type="dxa"/>
          </w:tcPr>
          <w:p w:rsidR="00FC4B43" w:rsidRPr="00113A3C" w:rsidRDefault="0020467F"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816998">
              <w:rPr>
                <w:rFonts w:asciiTheme="majorHAnsi" w:hAnsiTheme="majorHAnsi" w:cstheme="majorHAnsi"/>
                <w:color w:val="000000" w:themeColor="text1"/>
              </w:rPr>
              <w:t xml:space="preserve"> (член 170)</w:t>
            </w:r>
          </w:p>
        </w:tc>
      </w:tr>
      <w:tr w:rsidR="0064347C" w:rsidRPr="00113A3C" w:rsidTr="005A6ADE">
        <w:tc>
          <w:tcPr>
            <w:tcW w:w="1446" w:type="dxa"/>
          </w:tcPr>
          <w:p w:rsidR="00FC4B43" w:rsidRPr="00113A3C" w:rsidRDefault="00FC4B43" w:rsidP="00EE3E81">
            <w:pPr>
              <w:autoSpaceDE w:val="0"/>
              <w:autoSpaceDN w:val="0"/>
              <w:adjustRightInd w:val="0"/>
              <w:rPr>
                <w:rFonts w:asciiTheme="majorHAnsi" w:hAnsiTheme="majorHAnsi" w:cstheme="majorHAnsi"/>
                <w:color w:val="000000" w:themeColor="text1"/>
              </w:rPr>
            </w:pPr>
          </w:p>
        </w:tc>
        <w:tc>
          <w:tcPr>
            <w:tcW w:w="8870" w:type="dxa"/>
          </w:tcPr>
          <w:p w:rsidR="00FC4B43" w:rsidRPr="00113A3C" w:rsidRDefault="0020467F"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extent cx="5248656" cy="63119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0028" cy="631355"/>
                          </a:xfrm>
                          <a:prstGeom prst="rect">
                            <a:avLst/>
                          </a:prstGeom>
                          <a:noFill/>
                          <a:ln>
                            <a:noFill/>
                          </a:ln>
                        </pic:spPr>
                      </pic:pic>
                    </a:graphicData>
                  </a:graphic>
                </wp:inline>
              </w:drawing>
            </w:r>
          </w:p>
          <w:p w:rsidR="0020467F" w:rsidRPr="00113A3C" w:rsidRDefault="0020467F"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noProof/>
                <w:color w:val="000000" w:themeColor="text1"/>
              </w:rPr>
              <w:drawing>
                <wp:inline distT="0" distB="0" distL="0" distR="0">
                  <wp:extent cx="5477510" cy="110617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7510" cy="1106170"/>
                          </a:xfrm>
                          <a:prstGeom prst="rect">
                            <a:avLst/>
                          </a:prstGeom>
                          <a:noFill/>
                          <a:ln>
                            <a:noFill/>
                          </a:ln>
                        </pic:spPr>
                      </pic:pic>
                    </a:graphicData>
                  </a:graphic>
                </wp:inline>
              </w:drawing>
            </w:r>
          </w:p>
        </w:tc>
        <w:tc>
          <w:tcPr>
            <w:tcW w:w="3632" w:type="dxa"/>
          </w:tcPr>
          <w:p w:rsidR="00FC4B43" w:rsidRPr="00113A3C" w:rsidRDefault="0020467F"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Прифатено.</w:t>
            </w:r>
            <w:r w:rsidR="00816998">
              <w:rPr>
                <w:rFonts w:asciiTheme="majorHAnsi" w:hAnsiTheme="majorHAnsi" w:cstheme="majorHAnsi"/>
                <w:color w:val="000000" w:themeColor="text1"/>
              </w:rPr>
              <w:t xml:space="preserve"> (член 171)</w:t>
            </w:r>
            <w:bookmarkStart w:id="5" w:name="_GoBack"/>
            <w:bookmarkEnd w:id="5"/>
          </w:p>
        </w:tc>
      </w:tr>
      <w:tr w:rsidR="0064347C" w:rsidRPr="006B3F68" w:rsidTr="005A6ADE">
        <w:tc>
          <w:tcPr>
            <w:tcW w:w="1446" w:type="dxa"/>
          </w:tcPr>
          <w:p w:rsidR="004C1597" w:rsidRPr="006B3F68" w:rsidRDefault="004C1597" w:rsidP="00EE3E81">
            <w:pPr>
              <w:autoSpaceDE w:val="0"/>
              <w:autoSpaceDN w:val="0"/>
              <w:adjustRightInd w:val="0"/>
              <w:rPr>
                <w:rFonts w:asciiTheme="majorHAnsi" w:hAnsiTheme="majorHAnsi" w:cstheme="majorHAnsi"/>
                <w:color w:val="000000" w:themeColor="text1"/>
              </w:rPr>
            </w:pPr>
            <w:r w:rsidRPr="006B3F68">
              <w:rPr>
                <w:rFonts w:asciiTheme="majorHAnsi" w:hAnsiTheme="majorHAnsi" w:cstheme="majorHAnsi"/>
                <w:color w:val="000000" w:themeColor="text1"/>
              </w:rPr>
              <w:t>Александар Толевски</w:t>
            </w:r>
          </w:p>
        </w:tc>
        <w:tc>
          <w:tcPr>
            <w:tcW w:w="8870" w:type="dxa"/>
          </w:tcPr>
          <w:p w:rsidR="004C1597" w:rsidRPr="006B3F68" w:rsidRDefault="004C1597" w:rsidP="004C1597">
            <w:pPr>
              <w:shd w:val="clear" w:color="auto" w:fill="FFFFFF"/>
              <w:rPr>
                <w:rFonts w:asciiTheme="majorHAnsi" w:eastAsia="Times New Roman" w:hAnsiTheme="majorHAnsi" w:cstheme="majorHAnsi"/>
                <w:color w:val="000000" w:themeColor="text1"/>
              </w:rPr>
            </w:pPr>
            <w:r w:rsidRPr="006B3F68">
              <w:rPr>
                <w:rFonts w:asciiTheme="majorHAnsi" w:eastAsia="Times New Roman" w:hAnsiTheme="majorHAnsi" w:cstheme="majorHAnsi"/>
                <w:color w:val="000000" w:themeColor="text1"/>
              </w:rPr>
              <w:t>1.Немање на обврска за откуп на ел.енергија  од повластени производители на ОИЕ е ризично за пласман и атрактивност по инвестирањето во ОИЕ</w:t>
            </w:r>
          </w:p>
          <w:p w:rsidR="004C1597" w:rsidRPr="006B3F68" w:rsidRDefault="004C1597"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4C1597" w:rsidRPr="006B3F68" w:rsidRDefault="004C1597" w:rsidP="004C1597">
            <w:pPr>
              <w:shd w:val="clear" w:color="auto" w:fill="FFFFFF"/>
              <w:rPr>
                <w:rFonts w:asciiTheme="majorHAnsi" w:eastAsia="Times New Roman" w:hAnsiTheme="majorHAnsi" w:cstheme="majorHAnsi"/>
                <w:color w:val="000000" w:themeColor="text1"/>
              </w:rPr>
            </w:pPr>
            <w:r w:rsidRPr="006B3F68">
              <w:rPr>
                <w:rFonts w:asciiTheme="majorHAnsi" w:eastAsia="Times New Roman" w:hAnsiTheme="majorHAnsi" w:cstheme="majorHAnsi"/>
                <w:color w:val="000000" w:themeColor="text1"/>
              </w:rPr>
              <w:t>2.Сертификација на инсталатери на опрема и системи треба да важи за сите, не само за оние што користат повластени тарифи и премии</w:t>
            </w:r>
          </w:p>
          <w:p w:rsidR="004C1597" w:rsidRPr="006B3F68" w:rsidRDefault="004C1597"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796CF1" w:rsidRPr="006B3F68" w:rsidRDefault="00796CF1" w:rsidP="004C1597">
            <w:pPr>
              <w:shd w:val="clear" w:color="auto" w:fill="FFFFFF"/>
              <w:rPr>
                <w:rFonts w:asciiTheme="majorHAnsi" w:eastAsia="Times New Roman" w:hAnsiTheme="majorHAnsi" w:cstheme="majorHAnsi"/>
                <w:color w:val="000000" w:themeColor="text1"/>
              </w:rPr>
            </w:pPr>
          </w:p>
          <w:p w:rsidR="004C1597" w:rsidRPr="006B3F68" w:rsidRDefault="004C1597" w:rsidP="004C1597">
            <w:pPr>
              <w:shd w:val="clear" w:color="auto" w:fill="FFFFFF"/>
              <w:rPr>
                <w:rFonts w:asciiTheme="majorHAnsi" w:eastAsia="Times New Roman" w:hAnsiTheme="majorHAnsi" w:cstheme="majorHAnsi"/>
                <w:color w:val="000000" w:themeColor="text1"/>
              </w:rPr>
            </w:pPr>
            <w:r w:rsidRPr="006B3F68">
              <w:rPr>
                <w:rFonts w:asciiTheme="majorHAnsi" w:eastAsia="Times New Roman" w:hAnsiTheme="majorHAnsi" w:cstheme="majorHAnsi"/>
                <w:color w:val="000000" w:themeColor="text1"/>
              </w:rPr>
              <w:t>Да се пропише стимулативна мерка за оние што произведуваат опрема за ОИЕ, како што е случај во Турција</w:t>
            </w:r>
          </w:p>
          <w:p w:rsidR="004C1597" w:rsidRPr="006B3F68" w:rsidRDefault="004C1597" w:rsidP="00EE3E81">
            <w:pPr>
              <w:autoSpaceDE w:val="0"/>
              <w:autoSpaceDN w:val="0"/>
              <w:adjustRightInd w:val="0"/>
              <w:rPr>
                <w:rFonts w:asciiTheme="majorHAnsi" w:hAnsiTheme="majorHAnsi" w:cstheme="majorHAnsi"/>
                <w:color w:val="000000" w:themeColor="text1"/>
              </w:rPr>
            </w:pPr>
          </w:p>
        </w:tc>
        <w:tc>
          <w:tcPr>
            <w:tcW w:w="3632" w:type="dxa"/>
          </w:tcPr>
          <w:p w:rsidR="004C1597" w:rsidRPr="006B3F68" w:rsidRDefault="00796CF1" w:rsidP="006B3F68">
            <w:pPr>
              <w:autoSpaceDE w:val="0"/>
              <w:autoSpaceDN w:val="0"/>
              <w:adjustRightInd w:val="0"/>
              <w:rPr>
                <w:rFonts w:asciiTheme="majorHAnsi" w:hAnsiTheme="majorHAnsi" w:cstheme="majorHAnsi"/>
                <w:color w:val="000000" w:themeColor="text1"/>
              </w:rPr>
            </w:pPr>
            <w:r w:rsidRPr="006B3F68">
              <w:rPr>
                <w:rFonts w:asciiTheme="majorHAnsi" w:hAnsiTheme="majorHAnsi" w:cstheme="majorHAnsi"/>
                <w:color w:val="000000" w:themeColor="text1"/>
              </w:rPr>
              <w:t xml:space="preserve">Обврската за откуп на електрична енергија постои за повластените производители кои користат повластена тарифа, додека повластени производители кои користат премии самостојно бараат купувачи на пазарот </w:t>
            </w:r>
          </w:p>
          <w:p w:rsidR="00796CF1" w:rsidRPr="006B3F68" w:rsidRDefault="00796CF1" w:rsidP="00796CF1">
            <w:pPr>
              <w:autoSpaceDE w:val="0"/>
              <w:autoSpaceDN w:val="0"/>
              <w:adjustRightInd w:val="0"/>
              <w:rPr>
                <w:rFonts w:asciiTheme="majorHAnsi" w:hAnsiTheme="majorHAnsi" w:cstheme="majorHAnsi"/>
                <w:color w:val="000000" w:themeColor="text1"/>
              </w:rPr>
            </w:pPr>
          </w:p>
          <w:p w:rsidR="006B3F68" w:rsidRPr="006B3F68" w:rsidRDefault="006B3F68" w:rsidP="006B3F68">
            <w:pPr>
              <w:autoSpaceDE w:val="0"/>
              <w:autoSpaceDN w:val="0"/>
              <w:adjustRightInd w:val="0"/>
              <w:rPr>
                <w:rFonts w:asciiTheme="majorHAnsi" w:hAnsiTheme="majorHAnsi" w:cstheme="majorHAnsi"/>
                <w:color w:val="000000" w:themeColor="text1"/>
              </w:rPr>
            </w:pPr>
          </w:p>
          <w:p w:rsidR="00796CF1" w:rsidRPr="006B3F68" w:rsidRDefault="00796CF1" w:rsidP="006B3F68">
            <w:pPr>
              <w:autoSpaceDE w:val="0"/>
              <w:autoSpaceDN w:val="0"/>
              <w:adjustRightInd w:val="0"/>
              <w:rPr>
                <w:rFonts w:asciiTheme="majorHAnsi" w:hAnsiTheme="majorHAnsi" w:cstheme="majorHAnsi"/>
                <w:color w:val="000000" w:themeColor="text1"/>
              </w:rPr>
            </w:pPr>
            <w:r w:rsidRPr="006B3F68">
              <w:rPr>
                <w:rFonts w:asciiTheme="majorHAnsi" w:hAnsiTheme="majorHAnsi" w:cstheme="majorHAnsi"/>
                <w:color w:val="000000" w:themeColor="text1"/>
              </w:rPr>
              <w:t xml:space="preserve">Инсталацијата на опрема и системи, за наведените технологии задолжително ја прави лиценциран инсталатер независно од тоа дали за опремата или системот се користи повластена тарифа или премија Лиценцирањето на инсталатери важи за сите </w:t>
            </w:r>
          </w:p>
          <w:p w:rsidR="00796CF1" w:rsidRPr="006B3F68" w:rsidRDefault="00796CF1" w:rsidP="00796CF1">
            <w:pPr>
              <w:pStyle w:val="ListParagraph"/>
              <w:rPr>
                <w:rFonts w:asciiTheme="majorHAnsi" w:hAnsiTheme="majorHAnsi" w:cstheme="majorHAnsi"/>
                <w:color w:val="000000" w:themeColor="text1"/>
                <w:szCs w:val="22"/>
              </w:rPr>
            </w:pPr>
          </w:p>
          <w:p w:rsidR="00796CF1" w:rsidRPr="006B3F68" w:rsidRDefault="00796CF1" w:rsidP="00796CF1">
            <w:pPr>
              <w:autoSpaceDE w:val="0"/>
              <w:autoSpaceDN w:val="0"/>
              <w:adjustRightInd w:val="0"/>
              <w:rPr>
                <w:rFonts w:asciiTheme="majorHAnsi" w:hAnsiTheme="majorHAnsi" w:cstheme="majorHAnsi"/>
                <w:color w:val="000000" w:themeColor="text1"/>
              </w:rPr>
            </w:pPr>
            <w:r w:rsidRPr="006B3F68">
              <w:rPr>
                <w:rFonts w:asciiTheme="majorHAnsi" w:hAnsiTheme="majorHAnsi" w:cstheme="majorHAnsi"/>
                <w:color w:val="000000" w:themeColor="text1"/>
              </w:rPr>
              <w:t>Ова прашање треба да биде предмет на политиките за економски разој</w:t>
            </w:r>
          </w:p>
          <w:p w:rsidR="00796CF1" w:rsidRPr="006B3F68" w:rsidRDefault="00796CF1" w:rsidP="00796CF1">
            <w:pPr>
              <w:autoSpaceDE w:val="0"/>
              <w:autoSpaceDN w:val="0"/>
              <w:adjustRightInd w:val="0"/>
              <w:rPr>
                <w:rFonts w:asciiTheme="majorHAnsi" w:hAnsiTheme="majorHAnsi" w:cstheme="majorHAnsi"/>
                <w:color w:val="000000" w:themeColor="text1"/>
              </w:rPr>
            </w:pPr>
          </w:p>
        </w:tc>
      </w:tr>
      <w:tr w:rsidR="0064347C" w:rsidRPr="006B3F68" w:rsidTr="005A6ADE">
        <w:tc>
          <w:tcPr>
            <w:tcW w:w="1446" w:type="dxa"/>
          </w:tcPr>
          <w:p w:rsidR="004C1597" w:rsidRPr="006B3F68" w:rsidRDefault="004C1597" w:rsidP="00EE3E81">
            <w:pPr>
              <w:autoSpaceDE w:val="0"/>
              <w:autoSpaceDN w:val="0"/>
              <w:adjustRightInd w:val="0"/>
              <w:rPr>
                <w:rFonts w:asciiTheme="majorHAnsi" w:hAnsiTheme="majorHAnsi" w:cstheme="majorHAnsi"/>
                <w:color w:val="000000" w:themeColor="text1"/>
              </w:rPr>
            </w:pPr>
            <w:r w:rsidRPr="006B3F68">
              <w:rPr>
                <w:rFonts w:asciiTheme="majorHAnsi" w:hAnsiTheme="majorHAnsi" w:cstheme="majorHAnsi"/>
                <w:color w:val="000000" w:themeColor="text1"/>
              </w:rPr>
              <w:lastRenderedPageBreak/>
              <w:t>Горан Милевски, пратеник</w:t>
            </w:r>
          </w:p>
        </w:tc>
        <w:tc>
          <w:tcPr>
            <w:tcW w:w="8870" w:type="dxa"/>
          </w:tcPr>
          <w:p w:rsidR="004C1597" w:rsidRPr="006B3F68" w:rsidRDefault="004C1597" w:rsidP="00EE3E81">
            <w:pPr>
              <w:autoSpaceDE w:val="0"/>
              <w:autoSpaceDN w:val="0"/>
              <w:adjustRightInd w:val="0"/>
              <w:rPr>
                <w:rFonts w:asciiTheme="majorHAnsi" w:hAnsiTheme="majorHAnsi" w:cstheme="majorHAnsi"/>
                <w:color w:val="000000" w:themeColor="text1"/>
              </w:rPr>
            </w:pPr>
            <w:r w:rsidRPr="006B3F68">
              <w:rPr>
                <w:rFonts w:asciiTheme="majorHAnsi" w:hAnsiTheme="majorHAnsi" w:cstheme="majorHAnsi"/>
                <w:color w:val="000000" w:themeColor="text1"/>
                <w:shd w:val="clear" w:color="auto" w:fill="FFFFFF"/>
              </w:rPr>
              <w:t>Дефиниции за деловен субјект и промена во дефиниција на домаќинство (треба да може да пласира, а не само да биде потрошувач)</w:t>
            </w:r>
          </w:p>
        </w:tc>
        <w:tc>
          <w:tcPr>
            <w:tcW w:w="3632" w:type="dxa"/>
          </w:tcPr>
          <w:p w:rsidR="004C1597" w:rsidRPr="006B3F68" w:rsidRDefault="00796CF1" w:rsidP="00EE3E81">
            <w:pPr>
              <w:autoSpaceDE w:val="0"/>
              <w:autoSpaceDN w:val="0"/>
              <w:adjustRightInd w:val="0"/>
              <w:rPr>
                <w:rFonts w:asciiTheme="majorHAnsi" w:hAnsiTheme="majorHAnsi" w:cstheme="majorHAnsi"/>
                <w:color w:val="000000" w:themeColor="text1"/>
              </w:rPr>
            </w:pPr>
            <w:r w:rsidRPr="006B3F68">
              <w:rPr>
                <w:rFonts w:asciiTheme="majorHAnsi" w:hAnsiTheme="majorHAnsi" w:cstheme="majorHAnsi"/>
                <w:color w:val="000000" w:themeColor="text1"/>
              </w:rPr>
              <w:t>Прифатено, дефиницијата за домаќинство е преработена</w:t>
            </w:r>
          </w:p>
          <w:p w:rsidR="00796CF1" w:rsidRPr="006B3F68" w:rsidRDefault="00796CF1" w:rsidP="00796CF1">
            <w:pPr>
              <w:tabs>
                <w:tab w:val="left" w:pos="340"/>
              </w:tabs>
              <w:spacing w:before="60" w:after="60"/>
              <w:rPr>
                <w:rFonts w:asciiTheme="majorHAnsi" w:hAnsiTheme="majorHAnsi" w:cstheme="majorHAnsi"/>
                <w:color w:val="000000" w:themeColor="text1"/>
              </w:rPr>
            </w:pPr>
            <w:r w:rsidRPr="006B3F68">
              <w:rPr>
                <w:rFonts w:asciiTheme="majorHAnsi" w:hAnsiTheme="majorHAnsi" w:cstheme="majorHAnsi"/>
                <w:b/>
                <w:color w:val="000000" w:themeColor="text1"/>
              </w:rPr>
              <w:t>„домаќинство"</w:t>
            </w:r>
            <w:r w:rsidRPr="006B3F68">
              <w:rPr>
                <w:rFonts w:asciiTheme="majorHAnsi" w:hAnsiTheme="majorHAnsi" w:cstheme="majorHAnsi"/>
                <w:color w:val="000000" w:themeColor="text1"/>
              </w:rPr>
              <w:t xml:space="preserve"> е потрошувач приклучен на систем за дистрибуција на енергија,  којшто набавува или произведува енергија за сопствена потрошувачка во домаќинството, но не и за трговски или професионални цели“</w:t>
            </w:r>
          </w:p>
        </w:tc>
      </w:tr>
      <w:tr w:rsidR="0064347C" w:rsidRPr="006B3F68" w:rsidTr="005A6ADE">
        <w:tc>
          <w:tcPr>
            <w:tcW w:w="1446" w:type="dxa"/>
          </w:tcPr>
          <w:p w:rsidR="004C1597" w:rsidRPr="006B3F68" w:rsidRDefault="00796CF1" w:rsidP="00796CF1">
            <w:pPr>
              <w:autoSpaceDE w:val="0"/>
              <w:autoSpaceDN w:val="0"/>
              <w:adjustRightInd w:val="0"/>
              <w:rPr>
                <w:rFonts w:asciiTheme="majorHAnsi" w:hAnsiTheme="majorHAnsi" w:cstheme="majorHAnsi"/>
                <w:color w:val="000000" w:themeColor="text1"/>
              </w:rPr>
            </w:pPr>
            <w:r w:rsidRPr="006B3F68">
              <w:rPr>
                <w:rFonts w:asciiTheme="majorHAnsi" w:hAnsiTheme="majorHAnsi" w:cstheme="majorHAnsi"/>
                <w:color w:val="000000" w:themeColor="text1"/>
              </w:rPr>
              <w:t>Антонио</w:t>
            </w:r>
            <w:r w:rsidR="004C1597" w:rsidRPr="006B3F68">
              <w:rPr>
                <w:rFonts w:asciiTheme="majorHAnsi" w:hAnsiTheme="majorHAnsi" w:cstheme="majorHAnsi"/>
                <w:color w:val="000000" w:themeColor="text1"/>
              </w:rPr>
              <w:t>, ЕЛЕМ</w:t>
            </w:r>
          </w:p>
        </w:tc>
        <w:tc>
          <w:tcPr>
            <w:tcW w:w="8870" w:type="dxa"/>
          </w:tcPr>
          <w:p w:rsidR="004C1597" w:rsidRPr="006B3F68" w:rsidRDefault="004C1597" w:rsidP="004C1597">
            <w:pPr>
              <w:shd w:val="clear" w:color="auto" w:fill="FFFFFF"/>
              <w:rPr>
                <w:rFonts w:asciiTheme="majorHAnsi" w:eastAsia="Times New Roman" w:hAnsiTheme="majorHAnsi" w:cstheme="majorHAnsi"/>
                <w:color w:val="000000" w:themeColor="text1"/>
              </w:rPr>
            </w:pPr>
            <w:r w:rsidRPr="006B3F68">
              <w:rPr>
                <w:rFonts w:asciiTheme="majorHAnsi" w:eastAsia="Times New Roman" w:hAnsiTheme="majorHAnsi" w:cstheme="majorHAnsi"/>
                <w:color w:val="000000" w:themeColor="text1"/>
              </w:rPr>
              <w:t>Обврската на ЕЛЕМ за нудење на продажба на произведената електрична енергија во преодните одредби треба да се допрецизира – на кои потреби се мисли и дали треба ЕЛЕМ да се појави на секој тендер</w:t>
            </w:r>
          </w:p>
          <w:p w:rsidR="004C1597" w:rsidRPr="006B3F68" w:rsidRDefault="004C1597" w:rsidP="00EE3E81">
            <w:pPr>
              <w:autoSpaceDE w:val="0"/>
              <w:autoSpaceDN w:val="0"/>
              <w:adjustRightInd w:val="0"/>
              <w:rPr>
                <w:rFonts w:asciiTheme="majorHAnsi" w:hAnsiTheme="majorHAnsi" w:cstheme="majorHAnsi"/>
                <w:color w:val="000000" w:themeColor="text1"/>
              </w:rPr>
            </w:pPr>
          </w:p>
        </w:tc>
        <w:tc>
          <w:tcPr>
            <w:tcW w:w="3632" w:type="dxa"/>
          </w:tcPr>
          <w:p w:rsidR="004C1597" w:rsidRPr="006B3F68" w:rsidRDefault="00796CF1" w:rsidP="00EE3E81">
            <w:pPr>
              <w:autoSpaceDE w:val="0"/>
              <w:autoSpaceDN w:val="0"/>
              <w:adjustRightInd w:val="0"/>
              <w:rPr>
                <w:rFonts w:asciiTheme="majorHAnsi" w:hAnsiTheme="majorHAnsi" w:cstheme="majorHAnsi"/>
                <w:color w:val="000000" w:themeColor="text1"/>
              </w:rPr>
            </w:pPr>
            <w:r w:rsidRPr="006B3F68">
              <w:rPr>
                <w:rFonts w:asciiTheme="majorHAnsi" w:hAnsiTheme="majorHAnsi" w:cstheme="majorHAnsi"/>
                <w:color w:val="000000" w:themeColor="text1"/>
              </w:rPr>
              <w:t>Прифатено, одредбата е преработена</w:t>
            </w:r>
          </w:p>
        </w:tc>
      </w:tr>
      <w:tr w:rsidR="0064347C" w:rsidRPr="00113A3C" w:rsidTr="005A6ADE">
        <w:tc>
          <w:tcPr>
            <w:tcW w:w="1446"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Ѕвонко Марковски, Сието</w:t>
            </w:r>
          </w:p>
        </w:tc>
        <w:tc>
          <w:tcPr>
            <w:tcW w:w="8870" w:type="dxa"/>
          </w:tcPr>
          <w:p w:rsidR="004C1597" w:rsidRPr="00113A3C" w:rsidRDefault="00796CF1" w:rsidP="004C1597">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1.</w:t>
            </w:r>
            <w:r w:rsidR="004C1597" w:rsidRPr="00113A3C">
              <w:rPr>
                <w:rFonts w:asciiTheme="majorHAnsi" w:hAnsiTheme="majorHAnsi" w:cstheme="majorHAnsi"/>
                <w:color w:val="000000" w:themeColor="text1"/>
              </w:rPr>
              <w:t>Лиценцирани изведувачи – дали им е потребна лиценца за инстлатери и на оние лица што имаат лиценца за изведба</w:t>
            </w:r>
          </w:p>
          <w:p w:rsidR="004C1597" w:rsidRPr="00113A3C" w:rsidRDefault="004C1597" w:rsidP="004C1597">
            <w:pPr>
              <w:autoSpaceDE w:val="0"/>
              <w:autoSpaceDN w:val="0"/>
              <w:adjustRightInd w:val="0"/>
              <w:rPr>
                <w:rFonts w:asciiTheme="majorHAnsi" w:hAnsiTheme="majorHAnsi" w:cstheme="majorHAnsi"/>
                <w:color w:val="000000" w:themeColor="text1"/>
              </w:rPr>
            </w:pPr>
          </w:p>
          <w:p w:rsidR="004C1597" w:rsidRPr="00113A3C" w:rsidRDefault="00796CF1" w:rsidP="004C1597">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2.</w:t>
            </w:r>
            <w:r w:rsidR="004C1597" w:rsidRPr="00113A3C">
              <w:rPr>
                <w:rFonts w:asciiTheme="majorHAnsi" w:hAnsiTheme="majorHAnsi" w:cstheme="majorHAnsi"/>
                <w:color w:val="000000" w:themeColor="text1"/>
              </w:rPr>
              <w:t>Треба да се наведе за кои технологии ќе има повластена тарифа а за кои премија</w:t>
            </w:r>
          </w:p>
          <w:p w:rsidR="004C1597" w:rsidRPr="00113A3C" w:rsidRDefault="004C1597" w:rsidP="004C1597">
            <w:pPr>
              <w:autoSpaceDE w:val="0"/>
              <w:autoSpaceDN w:val="0"/>
              <w:adjustRightInd w:val="0"/>
              <w:rPr>
                <w:rFonts w:asciiTheme="majorHAnsi" w:hAnsiTheme="majorHAnsi" w:cstheme="majorHAnsi"/>
                <w:color w:val="000000" w:themeColor="text1"/>
              </w:rPr>
            </w:pPr>
          </w:p>
          <w:p w:rsidR="004C1597" w:rsidRPr="00113A3C" w:rsidRDefault="00796CF1" w:rsidP="004C1597">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3.</w:t>
            </w:r>
            <w:r w:rsidR="004C1597" w:rsidRPr="00113A3C">
              <w:rPr>
                <w:rFonts w:asciiTheme="majorHAnsi" w:hAnsiTheme="majorHAnsi" w:cstheme="majorHAnsi"/>
                <w:color w:val="000000" w:themeColor="text1"/>
              </w:rPr>
              <w:t>Дали законски ќе се регулира што ќе се случи со неискористените 1,5 MW неизградени капацитети за фотонапонски централи</w:t>
            </w:r>
          </w:p>
        </w:tc>
        <w:tc>
          <w:tcPr>
            <w:tcW w:w="3632" w:type="dxa"/>
          </w:tcPr>
          <w:p w:rsidR="004C1597" w:rsidRPr="00113A3C" w:rsidRDefault="00796CF1"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1</w:t>
            </w:r>
            <w:r w:rsidR="000526B2">
              <w:rPr>
                <w:rFonts w:asciiTheme="majorHAnsi" w:hAnsiTheme="majorHAnsi" w:cstheme="majorHAnsi"/>
                <w:color w:val="000000" w:themeColor="text1"/>
              </w:rPr>
              <w:t xml:space="preserve">. </w:t>
            </w:r>
            <w:r w:rsidRPr="00113A3C">
              <w:rPr>
                <w:rFonts w:asciiTheme="majorHAnsi" w:hAnsiTheme="majorHAnsi" w:cstheme="majorHAnsi"/>
                <w:color w:val="000000" w:themeColor="text1"/>
              </w:rPr>
              <w:t>Ова прашање ќе биде разгледано и уредено во правилникот за инсталатери</w:t>
            </w:r>
          </w:p>
          <w:p w:rsidR="00796CF1" w:rsidRPr="00113A3C" w:rsidRDefault="00796CF1"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2. Ќе биде уредено во уредбата</w:t>
            </w:r>
          </w:p>
          <w:p w:rsidR="00796CF1" w:rsidRPr="00113A3C" w:rsidRDefault="00796CF1" w:rsidP="00EE3E81">
            <w:pPr>
              <w:autoSpaceDE w:val="0"/>
              <w:autoSpaceDN w:val="0"/>
              <w:adjustRightInd w:val="0"/>
              <w:rPr>
                <w:rFonts w:asciiTheme="majorHAnsi" w:hAnsiTheme="majorHAnsi" w:cstheme="majorHAnsi"/>
                <w:color w:val="000000" w:themeColor="text1"/>
              </w:rPr>
            </w:pPr>
          </w:p>
          <w:p w:rsidR="00796CF1" w:rsidRPr="00113A3C" w:rsidRDefault="00796CF1"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3. Не </w:t>
            </w:r>
          </w:p>
        </w:tc>
      </w:tr>
      <w:tr w:rsidR="0064347C" w:rsidRPr="00113A3C" w:rsidTr="005A6ADE">
        <w:tc>
          <w:tcPr>
            <w:tcW w:w="1446"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Горан Анчевски</w:t>
            </w:r>
          </w:p>
        </w:tc>
        <w:tc>
          <w:tcPr>
            <w:tcW w:w="8870" w:type="dxa"/>
          </w:tcPr>
          <w:p w:rsidR="004C1597" w:rsidRPr="00113A3C" w:rsidRDefault="004C1597" w:rsidP="004C1597">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Членовите од 163 до 18? се дестимулирачки за инвестиции</w:t>
            </w:r>
          </w:p>
          <w:p w:rsidR="004C1597" w:rsidRPr="00113A3C" w:rsidRDefault="004C1597" w:rsidP="004C1597">
            <w:pPr>
              <w:autoSpaceDE w:val="0"/>
              <w:autoSpaceDN w:val="0"/>
              <w:adjustRightInd w:val="0"/>
              <w:rPr>
                <w:rFonts w:asciiTheme="majorHAnsi" w:hAnsiTheme="majorHAnsi" w:cstheme="majorHAnsi"/>
                <w:color w:val="000000" w:themeColor="text1"/>
              </w:rPr>
            </w:pPr>
          </w:p>
          <w:p w:rsidR="004C1597" w:rsidRPr="00113A3C" w:rsidRDefault="004C1597" w:rsidP="004C1597">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Да се размисли дали може РКЕ да биде прекршочен орган</w:t>
            </w:r>
          </w:p>
        </w:tc>
        <w:tc>
          <w:tcPr>
            <w:tcW w:w="3632" w:type="dxa"/>
          </w:tcPr>
          <w:p w:rsidR="004C1597" w:rsidRPr="00113A3C" w:rsidRDefault="00796CF1"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Неразбирлива забелешка</w:t>
            </w:r>
          </w:p>
          <w:p w:rsidR="00796CF1" w:rsidRPr="00113A3C" w:rsidRDefault="00796CF1" w:rsidP="00EE3E81">
            <w:pPr>
              <w:autoSpaceDE w:val="0"/>
              <w:autoSpaceDN w:val="0"/>
              <w:adjustRightInd w:val="0"/>
              <w:rPr>
                <w:rFonts w:asciiTheme="majorHAnsi" w:hAnsiTheme="majorHAnsi" w:cstheme="majorHAnsi"/>
                <w:color w:val="000000" w:themeColor="text1"/>
              </w:rPr>
            </w:pPr>
          </w:p>
          <w:p w:rsidR="00796CF1" w:rsidRPr="00113A3C" w:rsidRDefault="000526B2" w:rsidP="00EE3E81">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 xml:space="preserve">Концептот е напуштен </w:t>
            </w:r>
          </w:p>
        </w:tc>
      </w:tr>
      <w:tr w:rsidR="0064347C" w:rsidRPr="00113A3C" w:rsidTr="005A6ADE">
        <w:tc>
          <w:tcPr>
            <w:tcW w:w="1446" w:type="dxa"/>
          </w:tcPr>
          <w:p w:rsidR="004C1597" w:rsidRPr="00113A3C" w:rsidRDefault="004C1597"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Супер Трејд</w:t>
            </w:r>
          </w:p>
        </w:tc>
        <w:tc>
          <w:tcPr>
            <w:tcW w:w="8870" w:type="dxa"/>
          </w:tcPr>
          <w:p w:rsidR="004C1597" w:rsidRPr="00113A3C" w:rsidRDefault="00697408" w:rsidP="004C1597">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1.</w:t>
            </w:r>
            <w:r w:rsidR="004C1597" w:rsidRPr="00113A3C">
              <w:rPr>
                <w:rFonts w:asciiTheme="majorHAnsi" w:hAnsiTheme="majorHAnsi" w:cstheme="majorHAnsi"/>
                <w:color w:val="000000" w:themeColor="text1"/>
              </w:rPr>
              <w:t>Рок за РКЕ да ја менува лицената за нафта и нафтени дериват да се пропише</w:t>
            </w:r>
          </w:p>
          <w:p w:rsidR="00697408" w:rsidRPr="00113A3C" w:rsidRDefault="00697408" w:rsidP="004C1597">
            <w:pPr>
              <w:autoSpaceDE w:val="0"/>
              <w:autoSpaceDN w:val="0"/>
              <w:adjustRightInd w:val="0"/>
              <w:rPr>
                <w:rFonts w:asciiTheme="majorHAnsi" w:hAnsiTheme="majorHAnsi" w:cstheme="majorHAnsi"/>
                <w:color w:val="000000" w:themeColor="text1"/>
              </w:rPr>
            </w:pPr>
          </w:p>
          <w:p w:rsidR="00697408" w:rsidRPr="00113A3C" w:rsidRDefault="00697408" w:rsidP="004C1597">
            <w:pPr>
              <w:autoSpaceDE w:val="0"/>
              <w:autoSpaceDN w:val="0"/>
              <w:adjustRightInd w:val="0"/>
              <w:rPr>
                <w:rFonts w:asciiTheme="majorHAnsi" w:hAnsiTheme="majorHAnsi" w:cstheme="majorHAnsi"/>
                <w:color w:val="000000" w:themeColor="text1"/>
              </w:rPr>
            </w:pPr>
          </w:p>
          <w:p w:rsidR="004C1597" w:rsidRPr="00113A3C" w:rsidRDefault="004C1597" w:rsidP="004C1597">
            <w:pPr>
              <w:autoSpaceDE w:val="0"/>
              <w:autoSpaceDN w:val="0"/>
              <w:adjustRightInd w:val="0"/>
              <w:rPr>
                <w:rFonts w:asciiTheme="majorHAnsi" w:hAnsiTheme="majorHAnsi" w:cstheme="majorHAnsi"/>
                <w:color w:val="000000" w:themeColor="text1"/>
              </w:rPr>
            </w:pPr>
          </w:p>
          <w:p w:rsidR="004C1597" w:rsidRPr="00113A3C" w:rsidRDefault="00697408" w:rsidP="004C1597">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2.</w:t>
            </w:r>
            <w:r w:rsidR="004C1597" w:rsidRPr="00113A3C">
              <w:rPr>
                <w:rFonts w:asciiTheme="majorHAnsi" w:hAnsiTheme="majorHAnsi" w:cstheme="majorHAnsi"/>
                <w:color w:val="000000" w:themeColor="text1"/>
              </w:rPr>
              <w:t>Чл. 38 и 141 – набавка на нафта за сопствена потрошувачка – контрадикторни се</w:t>
            </w:r>
          </w:p>
          <w:p w:rsidR="004C1597" w:rsidRPr="00113A3C" w:rsidRDefault="004C1597" w:rsidP="004C1597">
            <w:pPr>
              <w:autoSpaceDE w:val="0"/>
              <w:autoSpaceDN w:val="0"/>
              <w:adjustRightInd w:val="0"/>
              <w:rPr>
                <w:rFonts w:asciiTheme="majorHAnsi" w:hAnsiTheme="majorHAnsi" w:cstheme="majorHAnsi"/>
                <w:color w:val="000000" w:themeColor="text1"/>
              </w:rPr>
            </w:pPr>
          </w:p>
          <w:p w:rsidR="004C1597" w:rsidRPr="00113A3C" w:rsidRDefault="00697408" w:rsidP="004C1597">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3.</w:t>
            </w:r>
            <w:r w:rsidR="004C1597" w:rsidRPr="00113A3C">
              <w:rPr>
                <w:rFonts w:asciiTheme="majorHAnsi" w:hAnsiTheme="majorHAnsi" w:cstheme="majorHAnsi"/>
                <w:color w:val="000000" w:themeColor="text1"/>
              </w:rPr>
              <w:t>чл.234 став 3 т.16 и чл.40 – рокот за донесување на правилник треба да биде повеќе од 6 месеци за да не биде контрадилторен со рокот за донесување на правилникот за условите</w:t>
            </w:r>
          </w:p>
        </w:tc>
        <w:tc>
          <w:tcPr>
            <w:tcW w:w="3632" w:type="dxa"/>
          </w:tcPr>
          <w:p w:rsidR="004C1597" w:rsidRPr="00113A3C" w:rsidRDefault="00697408"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1.</w:t>
            </w:r>
            <w:r w:rsidR="006B3F68">
              <w:rPr>
                <w:rFonts w:asciiTheme="majorHAnsi" w:hAnsiTheme="majorHAnsi" w:cstheme="majorHAnsi"/>
                <w:color w:val="000000" w:themeColor="text1"/>
              </w:rPr>
              <w:t xml:space="preserve"> </w:t>
            </w:r>
            <w:r w:rsidRPr="00113A3C">
              <w:rPr>
                <w:rFonts w:asciiTheme="majorHAnsi" w:hAnsiTheme="majorHAnsi" w:cstheme="majorHAnsi"/>
                <w:color w:val="000000" w:themeColor="text1"/>
              </w:rPr>
              <w:t>Прифатено во преодните одредби и во план е да се донесе соодветниот подзаконски акт.</w:t>
            </w:r>
          </w:p>
          <w:p w:rsidR="00697408" w:rsidRPr="00113A3C" w:rsidRDefault="00697408" w:rsidP="00EE3E81">
            <w:pPr>
              <w:autoSpaceDE w:val="0"/>
              <w:autoSpaceDN w:val="0"/>
              <w:adjustRightInd w:val="0"/>
              <w:rPr>
                <w:rFonts w:asciiTheme="majorHAnsi" w:hAnsiTheme="majorHAnsi" w:cstheme="majorHAnsi"/>
                <w:color w:val="000000" w:themeColor="text1"/>
              </w:rPr>
            </w:pPr>
          </w:p>
          <w:p w:rsidR="00697408" w:rsidRPr="00113A3C" w:rsidRDefault="00697408" w:rsidP="00EE3E81">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2. </w:t>
            </w:r>
            <w:r w:rsidR="003F4A1A" w:rsidRPr="00113A3C">
              <w:rPr>
                <w:rFonts w:asciiTheme="majorHAnsi" w:hAnsiTheme="majorHAnsi" w:cstheme="majorHAnsi"/>
                <w:color w:val="000000" w:themeColor="text1"/>
              </w:rPr>
              <w:t xml:space="preserve">Променет е членот 141 </w:t>
            </w:r>
          </w:p>
          <w:p w:rsidR="003F4A1A" w:rsidRPr="00113A3C" w:rsidRDefault="003F4A1A" w:rsidP="00EE3E81">
            <w:pPr>
              <w:autoSpaceDE w:val="0"/>
              <w:autoSpaceDN w:val="0"/>
              <w:adjustRightInd w:val="0"/>
              <w:rPr>
                <w:rFonts w:asciiTheme="majorHAnsi" w:hAnsiTheme="majorHAnsi" w:cstheme="majorHAnsi"/>
                <w:color w:val="000000" w:themeColor="text1"/>
              </w:rPr>
            </w:pPr>
          </w:p>
          <w:p w:rsidR="003F4A1A" w:rsidRPr="00113A3C" w:rsidRDefault="003F4A1A" w:rsidP="003F4A1A">
            <w:pPr>
              <w:autoSpaceDE w:val="0"/>
              <w:autoSpaceDN w:val="0"/>
              <w:adjustRightInd w:val="0"/>
              <w:rPr>
                <w:rFonts w:asciiTheme="majorHAnsi" w:hAnsiTheme="majorHAnsi" w:cstheme="majorHAnsi"/>
                <w:color w:val="000000" w:themeColor="text1"/>
              </w:rPr>
            </w:pPr>
            <w:r w:rsidRPr="00113A3C">
              <w:rPr>
                <w:rFonts w:asciiTheme="majorHAnsi" w:hAnsiTheme="majorHAnsi" w:cstheme="majorHAnsi"/>
                <w:color w:val="000000" w:themeColor="text1"/>
              </w:rPr>
              <w:t xml:space="preserve">3. </w:t>
            </w:r>
            <w:r w:rsidR="00352684" w:rsidRPr="00113A3C">
              <w:rPr>
                <w:rFonts w:asciiTheme="majorHAnsi" w:hAnsiTheme="majorHAnsi" w:cstheme="majorHAnsi"/>
                <w:color w:val="000000" w:themeColor="text1"/>
              </w:rPr>
              <w:t xml:space="preserve">Правилникот за лиценци во рок од шест месеци и правилник за </w:t>
            </w:r>
            <w:r w:rsidR="00352684" w:rsidRPr="00113A3C">
              <w:rPr>
                <w:rFonts w:asciiTheme="majorHAnsi" w:hAnsiTheme="majorHAnsi" w:cstheme="majorHAnsi"/>
                <w:color w:val="000000" w:themeColor="text1"/>
              </w:rPr>
              <w:lastRenderedPageBreak/>
              <w:t xml:space="preserve">минимално технички услови во рок од </w:t>
            </w:r>
            <w:r w:rsidR="000526B2">
              <w:rPr>
                <w:rFonts w:asciiTheme="majorHAnsi" w:hAnsiTheme="majorHAnsi" w:cstheme="majorHAnsi"/>
                <w:color w:val="000000" w:themeColor="text1"/>
              </w:rPr>
              <w:t>90 дена</w:t>
            </w:r>
            <w:r w:rsidR="00352684" w:rsidRPr="00113A3C">
              <w:rPr>
                <w:rFonts w:asciiTheme="majorHAnsi" w:hAnsiTheme="majorHAnsi" w:cstheme="majorHAnsi"/>
                <w:color w:val="000000" w:themeColor="text1"/>
              </w:rPr>
              <w:t>.</w:t>
            </w:r>
          </w:p>
        </w:tc>
      </w:tr>
      <w:tr w:rsidR="002D4025" w:rsidRPr="00113A3C" w:rsidTr="002D4025">
        <w:tc>
          <w:tcPr>
            <w:tcW w:w="1446" w:type="dxa"/>
          </w:tcPr>
          <w:p w:rsidR="002D4025" w:rsidRPr="00113A3C" w:rsidRDefault="002D4025" w:rsidP="002D4025">
            <w:pPr>
              <w:autoSpaceDE w:val="0"/>
              <w:autoSpaceDN w:val="0"/>
              <w:adjustRightInd w:val="0"/>
              <w:rPr>
                <w:rFonts w:asciiTheme="majorHAnsi" w:hAnsiTheme="majorHAnsi" w:cstheme="majorHAnsi"/>
                <w:color w:val="000000" w:themeColor="text1"/>
              </w:rPr>
            </w:pPr>
          </w:p>
        </w:tc>
        <w:tc>
          <w:tcPr>
            <w:tcW w:w="8870" w:type="dxa"/>
          </w:tcPr>
          <w:p w:rsidR="002D4025" w:rsidRPr="00113A3C" w:rsidRDefault="002D4025" w:rsidP="002D4025">
            <w:pPr>
              <w:autoSpaceDE w:val="0"/>
              <w:autoSpaceDN w:val="0"/>
              <w:adjustRightInd w:val="0"/>
              <w:rPr>
                <w:rFonts w:asciiTheme="majorHAnsi" w:hAnsiTheme="majorHAnsi" w:cstheme="majorHAnsi"/>
                <w:color w:val="000000" w:themeColor="text1"/>
              </w:rPr>
            </w:pPr>
          </w:p>
        </w:tc>
        <w:tc>
          <w:tcPr>
            <w:tcW w:w="3632" w:type="dxa"/>
          </w:tcPr>
          <w:p w:rsidR="002D4025" w:rsidRPr="00113A3C" w:rsidRDefault="002D4025" w:rsidP="002D4025">
            <w:pPr>
              <w:autoSpaceDE w:val="0"/>
              <w:autoSpaceDN w:val="0"/>
              <w:adjustRightInd w:val="0"/>
              <w:rPr>
                <w:rFonts w:asciiTheme="majorHAnsi" w:hAnsiTheme="majorHAnsi" w:cstheme="majorHAnsi"/>
                <w:color w:val="000000" w:themeColor="text1"/>
              </w:rPr>
            </w:pPr>
          </w:p>
        </w:tc>
      </w:tr>
      <w:tr w:rsidR="002D4025" w:rsidRPr="00113A3C" w:rsidTr="002D4025">
        <w:tc>
          <w:tcPr>
            <w:tcW w:w="1446" w:type="dxa"/>
          </w:tcPr>
          <w:p w:rsidR="002D4025" w:rsidRPr="00113A3C" w:rsidRDefault="002D4025" w:rsidP="002D4025">
            <w:pPr>
              <w:autoSpaceDE w:val="0"/>
              <w:autoSpaceDN w:val="0"/>
              <w:adjustRightInd w:val="0"/>
              <w:rPr>
                <w:rFonts w:asciiTheme="majorHAnsi" w:hAnsiTheme="majorHAnsi" w:cstheme="majorHAnsi"/>
                <w:color w:val="000000" w:themeColor="text1"/>
              </w:rPr>
            </w:pPr>
          </w:p>
        </w:tc>
        <w:tc>
          <w:tcPr>
            <w:tcW w:w="8870" w:type="dxa"/>
          </w:tcPr>
          <w:p w:rsidR="002D4025" w:rsidRPr="00113A3C" w:rsidRDefault="002D4025" w:rsidP="002D4025">
            <w:pPr>
              <w:autoSpaceDE w:val="0"/>
              <w:autoSpaceDN w:val="0"/>
              <w:adjustRightInd w:val="0"/>
              <w:rPr>
                <w:rFonts w:asciiTheme="majorHAnsi" w:hAnsiTheme="majorHAnsi" w:cstheme="majorHAnsi"/>
                <w:color w:val="000000" w:themeColor="text1"/>
              </w:rPr>
            </w:pPr>
          </w:p>
        </w:tc>
        <w:tc>
          <w:tcPr>
            <w:tcW w:w="3632" w:type="dxa"/>
          </w:tcPr>
          <w:p w:rsidR="002D4025" w:rsidRPr="00113A3C" w:rsidRDefault="002D4025" w:rsidP="002D4025">
            <w:pPr>
              <w:autoSpaceDE w:val="0"/>
              <w:autoSpaceDN w:val="0"/>
              <w:adjustRightInd w:val="0"/>
              <w:rPr>
                <w:rFonts w:asciiTheme="majorHAnsi" w:hAnsiTheme="majorHAnsi" w:cstheme="majorHAnsi"/>
                <w:color w:val="000000" w:themeColor="text1"/>
              </w:rPr>
            </w:pPr>
          </w:p>
        </w:tc>
      </w:tr>
    </w:tbl>
    <w:p w:rsidR="00877DCA" w:rsidRPr="00113A3C" w:rsidRDefault="00877DCA" w:rsidP="00EE3E81">
      <w:pPr>
        <w:autoSpaceDE w:val="0"/>
        <w:autoSpaceDN w:val="0"/>
        <w:adjustRightInd w:val="0"/>
        <w:spacing w:after="0" w:line="240" w:lineRule="auto"/>
        <w:rPr>
          <w:rFonts w:asciiTheme="majorHAnsi" w:hAnsiTheme="majorHAnsi" w:cstheme="majorHAnsi"/>
          <w:color w:val="000000" w:themeColor="text1"/>
        </w:rPr>
      </w:pPr>
    </w:p>
    <w:p w:rsidR="00877DCA" w:rsidRPr="00113A3C" w:rsidRDefault="00877DCA" w:rsidP="00EE3E81">
      <w:pPr>
        <w:autoSpaceDE w:val="0"/>
        <w:autoSpaceDN w:val="0"/>
        <w:adjustRightInd w:val="0"/>
        <w:spacing w:after="0" w:line="240" w:lineRule="auto"/>
        <w:rPr>
          <w:rFonts w:asciiTheme="majorHAnsi" w:hAnsiTheme="majorHAnsi" w:cstheme="majorHAnsi"/>
          <w:color w:val="000000" w:themeColor="text1"/>
        </w:rPr>
      </w:pPr>
    </w:p>
    <w:p w:rsidR="00877DCA" w:rsidRPr="00113A3C" w:rsidRDefault="00877DCA" w:rsidP="00EE3E81">
      <w:pPr>
        <w:autoSpaceDE w:val="0"/>
        <w:autoSpaceDN w:val="0"/>
        <w:adjustRightInd w:val="0"/>
        <w:spacing w:after="0" w:line="240" w:lineRule="auto"/>
        <w:rPr>
          <w:rFonts w:asciiTheme="majorHAnsi" w:hAnsiTheme="majorHAnsi" w:cstheme="majorHAnsi"/>
          <w:color w:val="000000" w:themeColor="text1"/>
        </w:rPr>
      </w:pPr>
    </w:p>
    <w:p w:rsidR="00877DCA" w:rsidRPr="00113A3C" w:rsidRDefault="00877DCA" w:rsidP="00EE3E81">
      <w:pPr>
        <w:autoSpaceDE w:val="0"/>
        <w:autoSpaceDN w:val="0"/>
        <w:adjustRightInd w:val="0"/>
        <w:spacing w:after="0" w:line="240" w:lineRule="auto"/>
        <w:rPr>
          <w:rFonts w:asciiTheme="majorHAnsi" w:hAnsiTheme="majorHAnsi" w:cstheme="majorHAnsi"/>
          <w:color w:val="000000" w:themeColor="text1"/>
        </w:rPr>
      </w:pPr>
    </w:p>
    <w:sectPr w:rsidR="00877DCA" w:rsidRPr="00113A3C" w:rsidSect="001D74C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3DE924"/>
    <w:multiLevelType w:val="hybridMultilevel"/>
    <w:tmpl w:val="03A76F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2D0841"/>
    <w:multiLevelType w:val="hybridMultilevel"/>
    <w:tmpl w:val="F2533D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DE385E"/>
    <w:multiLevelType w:val="hybridMultilevel"/>
    <w:tmpl w:val="24EEDF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1DF0A1"/>
    <w:multiLevelType w:val="hybridMultilevel"/>
    <w:tmpl w:val="7B77E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10F71D"/>
    <w:multiLevelType w:val="hybridMultilevel"/>
    <w:tmpl w:val="9336F3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45A90"/>
    <w:multiLevelType w:val="hybridMultilevel"/>
    <w:tmpl w:val="C46CEF3A"/>
    <w:lvl w:ilvl="0" w:tplc="0D06EAE0">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9A0D56"/>
    <w:multiLevelType w:val="hybridMultilevel"/>
    <w:tmpl w:val="A336BDD6"/>
    <w:lvl w:ilvl="0" w:tplc="58925D06">
      <w:start w:val="1"/>
      <w:numFmt w:val="decimal"/>
      <w:lvlText w:val="(%1)"/>
      <w:lvlJc w:val="left"/>
      <w:pPr>
        <w:ind w:left="360" w:hanging="360"/>
      </w:pPr>
      <w:rPr>
        <w:rFonts w:ascii="Arial" w:hAnsi="Arial" w:cs="Arial" w:hint="default"/>
        <w:b w:val="0"/>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02CA2098"/>
    <w:multiLevelType w:val="hybridMultilevel"/>
    <w:tmpl w:val="25DCC2F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 w15:restartNumberingAfterBreak="0">
    <w:nsid w:val="04B66C5D"/>
    <w:multiLevelType w:val="hybridMultilevel"/>
    <w:tmpl w:val="BCDA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26043B"/>
    <w:multiLevelType w:val="hybridMultilevel"/>
    <w:tmpl w:val="BCDA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A5626"/>
    <w:multiLevelType w:val="hybridMultilevel"/>
    <w:tmpl w:val="E3525C76"/>
    <w:lvl w:ilvl="0" w:tplc="79DEB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A27091"/>
    <w:multiLevelType w:val="hybridMultilevel"/>
    <w:tmpl w:val="539E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B2BD0"/>
    <w:multiLevelType w:val="hybridMultilevel"/>
    <w:tmpl w:val="98A6A83E"/>
    <w:lvl w:ilvl="0" w:tplc="BB4E48B6">
      <w:start w:val="1"/>
      <w:numFmt w:val="decimal"/>
      <w:lvlText w:val="(%1)"/>
      <w:lvlJc w:val="left"/>
      <w:pPr>
        <w:ind w:left="45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5E14F8"/>
    <w:multiLevelType w:val="hybridMultilevel"/>
    <w:tmpl w:val="78A60C90"/>
    <w:lvl w:ilvl="0" w:tplc="C464D3AE">
      <w:start w:val="1"/>
      <w:numFmt w:val="decimal"/>
      <w:lvlText w:val="(%1)"/>
      <w:lvlJc w:val="left"/>
      <w:pPr>
        <w:ind w:left="418" w:hanging="360"/>
      </w:pPr>
      <w:rPr>
        <w:rFonts w:hint="default"/>
      </w:rPr>
    </w:lvl>
    <w:lvl w:ilvl="1" w:tplc="042F0019" w:tentative="1">
      <w:start w:val="1"/>
      <w:numFmt w:val="lowerLetter"/>
      <w:lvlText w:val="%2."/>
      <w:lvlJc w:val="left"/>
      <w:pPr>
        <w:ind w:left="1138" w:hanging="360"/>
      </w:pPr>
    </w:lvl>
    <w:lvl w:ilvl="2" w:tplc="042F001B" w:tentative="1">
      <w:start w:val="1"/>
      <w:numFmt w:val="lowerRoman"/>
      <w:lvlText w:val="%3."/>
      <w:lvlJc w:val="right"/>
      <w:pPr>
        <w:ind w:left="1858" w:hanging="180"/>
      </w:pPr>
    </w:lvl>
    <w:lvl w:ilvl="3" w:tplc="042F000F" w:tentative="1">
      <w:start w:val="1"/>
      <w:numFmt w:val="decimal"/>
      <w:lvlText w:val="%4."/>
      <w:lvlJc w:val="left"/>
      <w:pPr>
        <w:ind w:left="2578" w:hanging="360"/>
      </w:pPr>
    </w:lvl>
    <w:lvl w:ilvl="4" w:tplc="042F0019" w:tentative="1">
      <w:start w:val="1"/>
      <w:numFmt w:val="lowerLetter"/>
      <w:lvlText w:val="%5."/>
      <w:lvlJc w:val="left"/>
      <w:pPr>
        <w:ind w:left="3298" w:hanging="360"/>
      </w:pPr>
    </w:lvl>
    <w:lvl w:ilvl="5" w:tplc="042F001B" w:tentative="1">
      <w:start w:val="1"/>
      <w:numFmt w:val="lowerRoman"/>
      <w:lvlText w:val="%6."/>
      <w:lvlJc w:val="right"/>
      <w:pPr>
        <w:ind w:left="4018" w:hanging="180"/>
      </w:pPr>
    </w:lvl>
    <w:lvl w:ilvl="6" w:tplc="042F000F" w:tentative="1">
      <w:start w:val="1"/>
      <w:numFmt w:val="decimal"/>
      <w:lvlText w:val="%7."/>
      <w:lvlJc w:val="left"/>
      <w:pPr>
        <w:ind w:left="4738" w:hanging="360"/>
      </w:pPr>
    </w:lvl>
    <w:lvl w:ilvl="7" w:tplc="042F0019" w:tentative="1">
      <w:start w:val="1"/>
      <w:numFmt w:val="lowerLetter"/>
      <w:lvlText w:val="%8."/>
      <w:lvlJc w:val="left"/>
      <w:pPr>
        <w:ind w:left="5458" w:hanging="360"/>
      </w:pPr>
    </w:lvl>
    <w:lvl w:ilvl="8" w:tplc="042F001B" w:tentative="1">
      <w:start w:val="1"/>
      <w:numFmt w:val="lowerRoman"/>
      <w:lvlText w:val="%9."/>
      <w:lvlJc w:val="right"/>
      <w:pPr>
        <w:ind w:left="6178" w:hanging="180"/>
      </w:pPr>
    </w:lvl>
  </w:abstractNum>
  <w:abstractNum w:abstractNumId="14" w15:restartNumberingAfterBreak="0">
    <w:nsid w:val="1B390238"/>
    <w:multiLevelType w:val="hybridMultilevel"/>
    <w:tmpl w:val="539E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F01F4"/>
    <w:multiLevelType w:val="hybridMultilevel"/>
    <w:tmpl w:val="14EE4B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C9BED1"/>
    <w:multiLevelType w:val="hybridMultilevel"/>
    <w:tmpl w:val="3F75A1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52B1E40"/>
    <w:multiLevelType w:val="hybridMultilevel"/>
    <w:tmpl w:val="3A3654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70B01C6"/>
    <w:multiLevelType w:val="hybridMultilevel"/>
    <w:tmpl w:val="02DC115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28A70611"/>
    <w:multiLevelType w:val="hybridMultilevel"/>
    <w:tmpl w:val="069D46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977FC26"/>
    <w:multiLevelType w:val="hybridMultilevel"/>
    <w:tmpl w:val="CF4980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9DC79F4"/>
    <w:multiLevelType w:val="hybridMultilevel"/>
    <w:tmpl w:val="B958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26A56"/>
    <w:multiLevelType w:val="hybridMultilevel"/>
    <w:tmpl w:val="C46CEF3A"/>
    <w:lvl w:ilvl="0" w:tplc="0D06EAE0">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0EDDC"/>
    <w:multiLevelType w:val="hybridMultilevel"/>
    <w:tmpl w:val="9DED9C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28A05D7"/>
    <w:multiLevelType w:val="hybridMultilevel"/>
    <w:tmpl w:val="116CAC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42E3180"/>
    <w:multiLevelType w:val="hybridMultilevel"/>
    <w:tmpl w:val="7EEE03FE"/>
    <w:lvl w:ilvl="0" w:tplc="395E3A02">
      <w:start w:val="2"/>
      <w:numFmt w:val="decimal"/>
      <w:lvlText w:val="(%1)"/>
      <w:lvlJc w:val="left"/>
      <w:pPr>
        <w:ind w:left="45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576BB"/>
    <w:multiLevelType w:val="hybridMultilevel"/>
    <w:tmpl w:val="1422B42E"/>
    <w:lvl w:ilvl="0" w:tplc="8E8C2872">
      <w:start w:val="1"/>
      <w:numFmt w:val="decimal"/>
      <w:lvlText w:val="(%1)"/>
      <w:lvlJc w:val="left"/>
      <w:pPr>
        <w:ind w:left="450" w:hanging="360"/>
      </w:pPr>
      <w:rPr>
        <w:rFonts w:hint="default"/>
      </w:rPr>
    </w:lvl>
    <w:lvl w:ilvl="1" w:tplc="042F0019" w:tentative="1">
      <w:start w:val="1"/>
      <w:numFmt w:val="lowerLetter"/>
      <w:lvlText w:val="%2."/>
      <w:lvlJc w:val="left"/>
      <w:pPr>
        <w:ind w:left="1170" w:hanging="360"/>
      </w:pPr>
    </w:lvl>
    <w:lvl w:ilvl="2" w:tplc="042F001B" w:tentative="1">
      <w:start w:val="1"/>
      <w:numFmt w:val="lowerRoman"/>
      <w:lvlText w:val="%3."/>
      <w:lvlJc w:val="right"/>
      <w:pPr>
        <w:ind w:left="1890" w:hanging="180"/>
      </w:pPr>
    </w:lvl>
    <w:lvl w:ilvl="3" w:tplc="042F000F" w:tentative="1">
      <w:start w:val="1"/>
      <w:numFmt w:val="decimal"/>
      <w:lvlText w:val="%4."/>
      <w:lvlJc w:val="left"/>
      <w:pPr>
        <w:ind w:left="2610" w:hanging="360"/>
      </w:pPr>
    </w:lvl>
    <w:lvl w:ilvl="4" w:tplc="042F0019" w:tentative="1">
      <w:start w:val="1"/>
      <w:numFmt w:val="lowerLetter"/>
      <w:lvlText w:val="%5."/>
      <w:lvlJc w:val="left"/>
      <w:pPr>
        <w:ind w:left="3330" w:hanging="360"/>
      </w:pPr>
    </w:lvl>
    <w:lvl w:ilvl="5" w:tplc="042F001B" w:tentative="1">
      <w:start w:val="1"/>
      <w:numFmt w:val="lowerRoman"/>
      <w:lvlText w:val="%6."/>
      <w:lvlJc w:val="right"/>
      <w:pPr>
        <w:ind w:left="4050" w:hanging="180"/>
      </w:pPr>
    </w:lvl>
    <w:lvl w:ilvl="6" w:tplc="042F000F" w:tentative="1">
      <w:start w:val="1"/>
      <w:numFmt w:val="decimal"/>
      <w:lvlText w:val="%7."/>
      <w:lvlJc w:val="left"/>
      <w:pPr>
        <w:ind w:left="4770" w:hanging="360"/>
      </w:pPr>
    </w:lvl>
    <w:lvl w:ilvl="7" w:tplc="042F0019" w:tentative="1">
      <w:start w:val="1"/>
      <w:numFmt w:val="lowerLetter"/>
      <w:lvlText w:val="%8."/>
      <w:lvlJc w:val="left"/>
      <w:pPr>
        <w:ind w:left="5490" w:hanging="360"/>
      </w:pPr>
    </w:lvl>
    <w:lvl w:ilvl="8" w:tplc="042F001B" w:tentative="1">
      <w:start w:val="1"/>
      <w:numFmt w:val="lowerRoman"/>
      <w:lvlText w:val="%9."/>
      <w:lvlJc w:val="right"/>
      <w:pPr>
        <w:ind w:left="6210" w:hanging="180"/>
      </w:pPr>
    </w:lvl>
  </w:abstractNum>
  <w:abstractNum w:abstractNumId="27" w15:restartNumberingAfterBreak="0">
    <w:nsid w:val="58AC5554"/>
    <w:multiLevelType w:val="hybridMultilevel"/>
    <w:tmpl w:val="8FCEF2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9043A99"/>
    <w:multiLevelType w:val="hybridMultilevel"/>
    <w:tmpl w:val="539E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E153A"/>
    <w:multiLevelType w:val="hybridMultilevel"/>
    <w:tmpl w:val="C46CEF3A"/>
    <w:lvl w:ilvl="0" w:tplc="0D06EAE0">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34315"/>
    <w:multiLevelType w:val="hybridMultilevel"/>
    <w:tmpl w:val="C46CEF3A"/>
    <w:lvl w:ilvl="0" w:tplc="0D06EAE0">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163C0"/>
    <w:multiLevelType w:val="hybridMultilevel"/>
    <w:tmpl w:val="C46CEF3A"/>
    <w:lvl w:ilvl="0" w:tplc="0D06EAE0">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E90A38"/>
    <w:multiLevelType w:val="hybridMultilevel"/>
    <w:tmpl w:val="BCDA6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EF514E"/>
    <w:multiLevelType w:val="hybridMultilevel"/>
    <w:tmpl w:val="BCDA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570F5"/>
    <w:multiLevelType w:val="hybridMultilevel"/>
    <w:tmpl w:val="C46CEF3A"/>
    <w:lvl w:ilvl="0" w:tplc="0D06EAE0">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666B3"/>
    <w:multiLevelType w:val="hybridMultilevel"/>
    <w:tmpl w:val="BCDA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97012"/>
    <w:multiLevelType w:val="hybridMultilevel"/>
    <w:tmpl w:val="BCDA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14"/>
  </w:num>
  <w:num w:numId="4">
    <w:abstractNumId w:val="11"/>
  </w:num>
  <w:num w:numId="5">
    <w:abstractNumId w:val="28"/>
  </w:num>
  <w:num w:numId="6">
    <w:abstractNumId w:val="17"/>
  </w:num>
  <w:num w:numId="7">
    <w:abstractNumId w:val="27"/>
  </w:num>
  <w:num w:numId="8">
    <w:abstractNumId w:val="3"/>
  </w:num>
  <w:num w:numId="9">
    <w:abstractNumId w:val="23"/>
  </w:num>
  <w:num w:numId="10">
    <w:abstractNumId w:val="1"/>
  </w:num>
  <w:num w:numId="11">
    <w:abstractNumId w:val="4"/>
  </w:num>
  <w:num w:numId="12">
    <w:abstractNumId w:val="0"/>
  </w:num>
  <w:num w:numId="13">
    <w:abstractNumId w:val="24"/>
  </w:num>
  <w:num w:numId="14">
    <w:abstractNumId w:val="19"/>
  </w:num>
  <w:num w:numId="15">
    <w:abstractNumId w:val="2"/>
  </w:num>
  <w:num w:numId="16">
    <w:abstractNumId w:val="20"/>
  </w:num>
  <w:num w:numId="17">
    <w:abstractNumId w:val="16"/>
  </w:num>
  <w:num w:numId="18">
    <w:abstractNumId w:val="18"/>
  </w:num>
  <w:num w:numId="19">
    <w:abstractNumId w:val="8"/>
  </w:num>
  <w:num w:numId="20">
    <w:abstractNumId w:val="32"/>
  </w:num>
  <w:num w:numId="21">
    <w:abstractNumId w:val="36"/>
  </w:num>
  <w:num w:numId="22">
    <w:abstractNumId w:val="33"/>
  </w:num>
  <w:num w:numId="23">
    <w:abstractNumId w:val="9"/>
  </w:num>
  <w:num w:numId="24">
    <w:abstractNumId w:val="35"/>
  </w:num>
  <w:num w:numId="25">
    <w:abstractNumId w:val="7"/>
  </w:num>
  <w:num w:numId="26">
    <w:abstractNumId w:val="31"/>
  </w:num>
  <w:num w:numId="27">
    <w:abstractNumId w:val="31"/>
    <w:lvlOverride w:ilvl="0">
      <w:startOverride w:val="1"/>
    </w:lvlOverride>
  </w:num>
  <w:num w:numId="28">
    <w:abstractNumId w:val="26"/>
  </w:num>
  <w:num w:numId="29">
    <w:abstractNumId w:val="12"/>
  </w:num>
  <w:num w:numId="30">
    <w:abstractNumId w:val="25"/>
  </w:num>
  <w:num w:numId="31">
    <w:abstractNumId w:val="12"/>
    <w:lvlOverride w:ilvl="0">
      <w:startOverride w:val="1"/>
    </w:lvlOverride>
  </w:num>
  <w:num w:numId="32">
    <w:abstractNumId w:val="5"/>
  </w:num>
  <w:num w:numId="33">
    <w:abstractNumId w:val="29"/>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0"/>
  </w:num>
  <w:num w:numId="37">
    <w:abstractNumId w:val="15"/>
  </w:num>
  <w:num w:numId="38">
    <w:abstractNumId w:val="2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734"/>
    <w:rsid w:val="000526B2"/>
    <w:rsid w:val="000A34C3"/>
    <w:rsid w:val="000A4747"/>
    <w:rsid w:val="000C6ECE"/>
    <w:rsid w:val="000F639A"/>
    <w:rsid w:val="00113A3C"/>
    <w:rsid w:val="00125665"/>
    <w:rsid w:val="00154E96"/>
    <w:rsid w:val="00180BE5"/>
    <w:rsid w:val="001B0B3E"/>
    <w:rsid w:val="001C71DC"/>
    <w:rsid w:val="001D74C4"/>
    <w:rsid w:val="0020467F"/>
    <w:rsid w:val="0021625A"/>
    <w:rsid w:val="002225D4"/>
    <w:rsid w:val="00244F40"/>
    <w:rsid w:val="00256F26"/>
    <w:rsid w:val="002B4259"/>
    <w:rsid w:val="002B7161"/>
    <w:rsid w:val="002C422E"/>
    <w:rsid w:val="002D4025"/>
    <w:rsid w:val="00352684"/>
    <w:rsid w:val="00357AFD"/>
    <w:rsid w:val="00375090"/>
    <w:rsid w:val="00381BCA"/>
    <w:rsid w:val="0039322E"/>
    <w:rsid w:val="003A42EF"/>
    <w:rsid w:val="003D5FD9"/>
    <w:rsid w:val="003E300D"/>
    <w:rsid w:val="003F4A1A"/>
    <w:rsid w:val="00450BF6"/>
    <w:rsid w:val="00467617"/>
    <w:rsid w:val="00471106"/>
    <w:rsid w:val="00473864"/>
    <w:rsid w:val="004747AA"/>
    <w:rsid w:val="004966EF"/>
    <w:rsid w:val="004A7C13"/>
    <w:rsid w:val="004C1597"/>
    <w:rsid w:val="004D3C4F"/>
    <w:rsid w:val="004F5BB8"/>
    <w:rsid w:val="00530AC1"/>
    <w:rsid w:val="005334B4"/>
    <w:rsid w:val="00574A36"/>
    <w:rsid w:val="00595395"/>
    <w:rsid w:val="005A6ADE"/>
    <w:rsid w:val="005C0FA1"/>
    <w:rsid w:val="005F2C3E"/>
    <w:rsid w:val="00622AFA"/>
    <w:rsid w:val="00626AD0"/>
    <w:rsid w:val="0063107A"/>
    <w:rsid w:val="006343E7"/>
    <w:rsid w:val="0064347C"/>
    <w:rsid w:val="00697408"/>
    <w:rsid w:val="006B3F68"/>
    <w:rsid w:val="006F4E89"/>
    <w:rsid w:val="0074034A"/>
    <w:rsid w:val="00752CA3"/>
    <w:rsid w:val="007752CB"/>
    <w:rsid w:val="0078464F"/>
    <w:rsid w:val="00796CF1"/>
    <w:rsid w:val="007B2560"/>
    <w:rsid w:val="007C47E1"/>
    <w:rsid w:val="007D308F"/>
    <w:rsid w:val="007D373C"/>
    <w:rsid w:val="007E7767"/>
    <w:rsid w:val="0080108B"/>
    <w:rsid w:val="00816998"/>
    <w:rsid w:val="00877DCA"/>
    <w:rsid w:val="00890F01"/>
    <w:rsid w:val="0089731A"/>
    <w:rsid w:val="00950C2A"/>
    <w:rsid w:val="00960D0C"/>
    <w:rsid w:val="009B66A9"/>
    <w:rsid w:val="009D2772"/>
    <w:rsid w:val="00A600A4"/>
    <w:rsid w:val="00A71726"/>
    <w:rsid w:val="00A7533F"/>
    <w:rsid w:val="00A81899"/>
    <w:rsid w:val="00AD586E"/>
    <w:rsid w:val="00B2129C"/>
    <w:rsid w:val="00B25C41"/>
    <w:rsid w:val="00B445D9"/>
    <w:rsid w:val="00B645B7"/>
    <w:rsid w:val="00C04B55"/>
    <w:rsid w:val="00C21C00"/>
    <w:rsid w:val="00C50B31"/>
    <w:rsid w:val="00C52734"/>
    <w:rsid w:val="00C6544B"/>
    <w:rsid w:val="00C8343F"/>
    <w:rsid w:val="00C857E3"/>
    <w:rsid w:val="00C97F03"/>
    <w:rsid w:val="00CC259E"/>
    <w:rsid w:val="00CE2181"/>
    <w:rsid w:val="00CE4EF9"/>
    <w:rsid w:val="00D27BC7"/>
    <w:rsid w:val="00D33E62"/>
    <w:rsid w:val="00D7192E"/>
    <w:rsid w:val="00D9652E"/>
    <w:rsid w:val="00DC3480"/>
    <w:rsid w:val="00DD5DB1"/>
    <w:rsid w:val="00E1608D"/>
    <w:rsid w:val="00E20F17"/>
    <w:rsid w:val="00E40389"/>
    <w:rsid w:val="00E832FC"/>
    <w:rsid w:val="00EB2265"/>
    <w:rsid w:val="00EE3E81"/>
    <w:rsid w:val="00EE46A3"/>
    <w:rsid w:val="00F0081A"/>
    <w:rsid w:val="00F253A2"/>
    <w:rsid w:val="00F574EE"/>
    <w:rsid w:val="00F6187E"/>
    <w:rsid w:val="00F63D40"/>
    <w:rsid w:val="00F82F0E"/>
    <w:rsid w:val="00FC2140"/>
    <w:rsid w:val="00FC4B4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186C"/>
  <w15:chartTrackingRefBased/>
  <w15:docId w15:val="{05084077-8A4F-4960-8FB6-38C165AB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F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9"/>
    <w:qFormat/>
    <w:rsid w:val="006B3F68"/>
    <w:pPr>
      <w:keepLines w:val="0"/>
      <w:spacing w:after="240" w:line="240" w:lineRule="auto"/>
      <w:jc w:val="center"/>
      <w:outlineLvl w:val="1"/>
    </w:pPr>
    <w:rPr>
      <w:rFonts w:ascii="StobiSerif Regular" w:eastAsia="Times New Roman" w:hAnsi="StobiSerif Regular" w:cs="Times New Roman"/>
      <w:b/>
      <w:iCs/>
      <w:color w:val="auto"/>
      <w:kern w:val="32"/>
      <w:sz w:val="2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734"/>
    <w:pPr>
      <w:spacing w:after="120" w:line="240" w:lineRule="auto"/>
      <w:ind w:left="720"/>
      <w:jc w:val="both"/>
    </w:pPr>
    <w:rPr>
      <w:rFonts w:ascii="Arial" w:eastAsia="Times New Roman" w:hAnsi="Arial" w:cs="Times New Roman"/>
      <w:szCs w:val="24"/>
    </w:rPr>
  </w:style>
  <w:style w:type="paragraph" w:customStyle="1" w:styleId="Default">
    <w:name w:val="Default"/>
    <w:rsid w:val="00C52734"/>
    <w:pPr>
      <w:autoSpaceDE w:val="0"/>
      <w:autoSpaceDN w:val="0"/>
      <w:adjustRightInd w:val="0"/>
      <w:spacing w:after="0" w:line="240" w:lineRule="auto"/>
    </w:pPr>
    <w:rPr>
      <w:rFonts w:ascii="EUAlbertina" w:eastAsia="Calibri" w:hAnsi="EUAlbertina" w:cs="EUAlbertina"/>
      <w:color w:val="000000"/>
      <w:sz w:val="24"/>
      <w:szCs w:val="24"/>
      <w:lang w:val="en-US"/>
    </w:rPr>
  </w:style>
  <w:style w:type="paragraph" w:styleId="CommentText">
    <w:name w:val="annotation text"/>
    <w:basedOn w:val="Normal"/>
    <w:link w:val="CommentTextChar"/>
    <w:uiPriority w:val="99"/>
    <w:unhideWhenUsed/>
    <w:rsid w:val="00C52734"/>
    <w:pPr>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C52734"/>
    <w:rPr>
      <w:rFonts w:ascii="Calibri" w:eastAsia="Calibri" w:hAnsi="Calibri" w:cs="Times New Roman"/>
      <w:sz w:val="20"/>
      <w:szCs w:val="20"/>
      <w:lang w:val="en-US"/>
    </w:rPr>
  </w:style>
  <w:style w:type="paragraph" w:customStyle="1" w:styleId="Stavovi">
    <w:name w:val="Stavovi"/>
    <w:basedOn w:val="Normal"/>
    <w:link w:val="StavoviChar"/>
    <w:autoRedefine/>
    <w:qFormat/>
    <w:rsid w:val="006B3F68"/>
    <w:pPr>
      <w:spacing w:before="60" w:after="60" w:line="240" w:lineRule="auto"/>
      <w:ind w:left="58"/>
      <w:jc w:val="both"/>
    </w:pPr>
    <w:rPr>
      <w:rFonts w:eastAsia="Times New Roman" w:cstheme="minorHAnsi"/>
      <w:color w:val="000000" w:themeColor="text1"/>
      <w:lang w:eastAsia="mk-MK"/>
    </w:rPr>
  </w:style>
  <w:style w:type="character" w:customStyle="1" w:styleId="StavoviChar">
    <w:name w:val="Stavovi Char"/>
    <w:link w:val="Stavovi"/>
    <w:rsid w:val="006B3F68"/>
    <w:rPr>
      <w:rFonts w:eastAsia="Times New Roman" w:cstheme="minorHAnsi"/>
      <w:color w:val="000000" w:themeColor="text1"/>
      <w:lang w:eastAsia="mk-MK"/>
    </w:rPr>
  </w:style>
  <w:style w:type="character" w:styleId="CommentReference">
    <w:name w:val="annotation reference"/>
    <w:uiPriority w:val="99"/>
    <w:rsid w:val="00125665"/>
    <w:rPr>
      <w:rFonts w:cs="Times New Roman"/>
      <w:sz w:val="16"/>
    </w:rPr>
  </w:style>
  <w:style w:type="character" w:customStyle="1" w:styleId="CommentTextChar1">
    <w:name w:val="Comment Text Char1"/>
    <w:uiPriority w:val="99"/>
    <w:locked/>
    <w:rsid w:val="00125665"/>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125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665"/>
    <w:rPr>
      <w:rFonts w:ascii="Segoe UI" w:hAnsi="Segoe UI" w:cs="Segoe UI"/>
      <w:sz w:val="18"/>
      <w:szCs w:val="18"/>
    </w:rPr>
  </w:style>
  <w:style w:type="table" w:styleId="TableGrid">
    <w:name w:val="Table Grid"/>
    <w:basedOn w:val="TableNormal"/>
    <w:uiPriority w:val="39"/>
    <w:rsid w:val="00B2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39A"/>
    <w:pPr>
      <w:spacing w:before="100" w:beforeAutospacing="1" w:after="100" w:afterAutospacing="1" w:line="240" w:lineRule="auto"/>
    </w:pPr>
    <w:rPr>
      <w:rFonts w:ascii="Verdana" w:eastAsia="Times New Roman" w:hAnsi="Verdana" w:cs="Times New Roman"/>
      <w:color w:val="000066"/>
      <w:sz w:val="13"/>
      <w:szCs w:val="13"/>
      <w:lang w:val="en-GB" w:eastAsia="en-GB"/>
    </w:rPr>
  </w:style>
  <w:style w:type="character" w:customStyle="1" w:styleId="Heading2Char">
    <w:name w:val="Heading 2 Char"/>
    <w:basedOn w:val="DefaultParagraphFont"/>
    <w:link w:val="Heading2"/>
    <w:uiPriority w:val="99"/>
    <w:rsid w:val="006B3F68"/>
    <w:rPr>
      <w:rFonts w:ascii="StobiSerif Regular" w:eastAsia="Times New Roman" w:hAnsi="StobiSerif Regular" w:cs="Times New Roman"/>
      <w:b/>
      <w:iCs/>
      <w:kern w:val="32"/>
      <w:szCs w:val="28"/>
      <w:lang w:val="x-none" w:eastAsia="x-none"/>
    </w:rPr>
  </w:style>
  <w:style w:type="paragraph" w:styleId="Caption">
    <w:name w:val="caption"/>
    <w:basedOn w:val="Normal"/>
    <w:next w:val="Normal"/>
    <w:uiPriority w:val="35"/>
    <w:unhideWhenUsed/>
    <w:qFormat/>
    <w:rsid w:val="006B3F68"/>
    <w:pPr>
      <w:spacing w:before="60" w:after="200" w:line="240" w:lineRule="auto"/>
      <w:jc w:val="center"/>
    </w:pPr>
    <w:rPr>
      <w:rFonts w:ascii="StobiSerif Regular" w:eastAsia="Times New Roman" w:hAnsi="StobiSerif Regular" w:cs="Times New Roman"/>
      <w:b/>
      <w:iCs/>
      <w:color w:val="000000"/>
      <w:sz w:val="24"/>
      <w:szCs w:val="18"/>
    </w:rPr>
  </w:style>
  <w:style w:type="character" w:customStyle="1" w:styleId="Heading1Char">
    <w:name w:val="Heading 1 Char"/>
    <w:basedOn w:val="DefaultParagraphFont"/>
    <w:link w:val="Heading1"/>
    <w:uiPriority w:val="9"/>
    <w:rsid w:val="006B3F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639781">
      <w:bodyDiv w:val="1"/>
      <w:marLeft w:val="0"/>
      <w:marRight w:val="0"/>
      <w:marTop w:val="0"/>
      <w:marBottom w:val="0"/>
      <w:divBdr>
        <w:top w:val="none" w:sz="0" w:space="0" w:color="auto"/>
        <w:left w:val="none" w:sz="0" w:space="0" w:color="auto"/>
        <w:bottom w:val="none" w:sz="0" w:space="0" w:color="auto"/>
        <w:right w:val="none" w:sz="0" w:space="0" w:color="auto"/>
      </w:divBdr>
    </w:div>
    <w:div w:id="1100878013">
      <w:bodyDiv w:val="1"/>
      <w:marLeft w:val="0"/>
      <w:marRight w:val="0"/>
      <w:marTop w:val="0"/>
      <w:marBottom w:val="0"/>
      <w:divBdr>
        <w:top w:val="none" w:sz="0" w:space="0" w:color="auto"/>
        <w:left w:val="none" w:sz="0" w:space="0" w:color="auto"/>
        <w:bottom w:val="none" w:sz="0" w:space="0" w:color="auto"/>
        <w:right w:val="none" w:sz="0" w:space="0" w:color="auto"/>
      </w:divBdr>
    </w:div>
    <w:div w:id="1690331852">
      <w:bodyDiv w:val="1"/>
      <w:marLeft w:val="0"/>
      <w:marRight w:val="0"/>
      <w:marTop w:val="0"/>
      <w:marBottom w:val="0"/>
      <w:divBdr>
        <w:top w:val="none" w:sz="0" w:space="0" w:color="auto"/>
        <w:left w:val="none" w:sz="0" w:space="0" w:color="auto"/>
        <w:bottom w:val="none" w:sz="0" w:space="0" w:color="auto"/>
        <w:right w:val="none" w:sz="0" w:space="0" w:color="auto"/>
      </w:divBdr>
    </w:div>
    <w:div w:id="1991983224">
      <w:bodyDiv w:val="1"/>
      <w:marLeft w:val="0"/>
      <w:marRight w:val="0"/>
      <w:marTop w:val="0"/>
      <w:marBottom w:val="0"/>
      <w:divBdr>
        <w:top w:val="none" w:sz="0" w:space="0" w:color="auto"/>
        <w:left w:val="none" w:sz="0" w:space="0" w:color="auto"/>
        <w:bottom w:val="none" w:sz="0" w:space="0" w:color="auto"/>
        <w:right w:val="none" w:sz="0" w:space="0" w:color="auto"/>
      </w:divBdr>
    </w:div>
    <w:div w:id="210013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Mishko</cp:lastModifiedBy>
  <cp:revision>5</cp:revision>
  <dcterms:created xsi:type="dcterms:W3CDTF">2018-03-10T22:26:00Z</dcterms:created>
  <dcterms:modified xsi:type="dcterms:W3CDTF">2018-03-11T10:25:00Z</dcterms:modified>
</cp:coreProperties>
</file>