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7653" w14:textId="7802C1E6" w:rsidR="00A35AD4" w:rsidRDefault="00EE3A13" w:rsidP="00187F5B">
      <w:pPr>
        <w:jc w:val="right"/>
        <w:rPr>
          <w:rFonts w:ascii="StobiSerifPro" w:hAnsi="StobiSerifPro"/>
          <w:b/>
          <w:lang w:val="mk-MK"/>
        </w:rPr>
      </w:pPr>
      <w:r>
        <w:rPr>
          <w:rFonts w:ascii="StobiSerifPro Cyr" w:hAnsi="StobiSerifPro Cyr"/>
          <w:b/>
          <w:lang w:val="mk-MK"/>
        </w:rPr>
        <w:t>НАЦРТ</w:t>
      </w:r>
    </w:p>
    <w:p w14:paraId="2E272046" w14:textId="77777777" w:rsidR="00A35AD4" w:rsidRPr="00446923" w:rsidRDefault="00A35AD4" w:rsidP="00187F5B">
      <w:pPr>
        <w:jc w:val="right"/>
        <w:rPr>
          <w:rFonts w:ascii="StobiSerifPro" w:hAnsi="StobiSerifPro"/>
          <w:b/>
          <w:lang w:val="mk-MK"/>
        </w:rPr>
      </w:pPr>
    </w:p>
    <w:p w14:paraId="2E0DFA44" w14:textId="77777777" w:rsidR="00A35AD4" w:rsidRPr="00632064" w:rsidRDefault="00A35AD4" w:rsidP="007F181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>НАЦРТ</w:t>
      </w:r>
      <w:r w:rsidRPr="0063206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32064">
        <w:rPr>
          <w:rFonts w:ascii="Arial" w:hAnsi="Arial" w:cs="Arial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14:paraId="6946DE90" w14:textId="77777777" w:rsidR="00A35AD4" w:rsidRPr="00632064" w:rsidRDefault="00A35AD4" w:rsidP="007F181B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5"/>
        <w:gridCol w:w="6926"/>
      </w:tblGrid>
      <w:tr w:rsidR="00A35AD4" w:rsidRPr="00632064" w14:paraId="27C10025" w14:textId="77777777" w:rsidTr="00187F5B">
        <w:trPr>
          <w:trHeight w:val="287"/>
        </w:trPr>
        <w:tc>
          <w:tcPr>
            <w:tcW w:w="3105" w:type="dxa"/>
            <w:shd w:val="clear" w:color="auto" w:fill="FBD4B4"/>
          </w:tcPr>
          <w:p w14:paraId="5ED52EAD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926" w:type="dxa"/>
          </w:tcPr>
          <w:p w14:paraId="336C800F" w14:textId="77777777" w:rsidR="00A35AD4" w:rsidRPr="00632064" w:rsidRDefault="00A35AD4" w:rsidP="007F6CE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Министерство за здравство</w:t>
            </w:r>
          </w:p>
          <w:p w14:paraId="647997CA" w14:textId="77777777" w:rsidR="00A35AD4" w:rsidRPr="00632064" w:rsidRDefault="00A35AD4" w:rsidP="007F6CE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A35AD4" w:rsidRPr="00632064" w14:paraId="4DF666BB" w14:textId="77777777" w:rsidTr="00187F5B">
        <w:trPr>
          <w:trHeight w:val="622"/>
        </w:trPr>
        <w:tc>
          <w:tcPr>
            <w:tcW w:w="3105" w:type="dxa"/>
            <w:shd w:val="clear" w:color="auto" w:fill="FBD4B4"/>
          </w:tcPr>
          <w:p w14:paraId="322F442A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926" w:type="dxa"/>
          </w:tcPr>
          <w:p w14:paraId="5A56C5FD" w14:textId="77777777" w:rsidR="00A35AD4" w:rsidRPr="00D11CEB" w:rsidRDefault="00A35AD4" w:rsidP="001919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 xml:space="preserve">Предлог на Закон за </w:t>
            </w:r>
            <w:r w:rsidR="00D11CEB">
              <w:rPr>
                <w:rFonts w:ascii="Arial" w:hAnsi="Arial" w:cs="Arial"/>
                <w:sz w:val="20"/>
                <w:szCs w:val="20"/>
                <w:lang w:val="mk-MK"/>
              </w:rPr>
              <w:t>лековите</w:t>
            </w:r>
          </w:p>
        </w:tc>
      </w:tr>
      <w:tr w:rsidR="00A35AD4" w:rsidRPr="00632064" w14:paraId="1152B379" w14:textId="77777777" w:rsidTr="000A77F1">
        <w:trPr>
          <w:trHeight w:val="638"/>
        </w:trPr>
        <w:tc>
          <w:tcPr>
            <w:tcW w:w="3105" w:type="dxa"/>
            <w:shd w:val="clear" w:color="auto" w:fill="FBD4B4"/>
          </w:tcPr>
          <w:p w14:paraId="00CFFC63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926" w:type="dxa"/>
          </w:tcPr>
          <w:p w14:paraId="3E26F93F" w14:textId="22DADA24" w:rsidR="000A77F1" w:rsidRDefault="00FA42BF" w:rsidP="001A0C66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Весна Настеска</w:t>
            </w:r>
            <w:r w:rsidR="00DA3CF0">
              <w:rPr>
                <w:rFonts w:ascii="Arial" w:hAnsi="Arial" w:cs="Arial"/>
                <w:sz w:val="20"/>
                <w:szCs w:val="20"/>
                <w:lang w:val="sr-Cyrl-BA"/>
              </w:rPr>
              <w:t>-Недановска</w:t>
            </w:r>
          </w:p>
          <w:p w14:paraId="3FFE1404" w14:textId="53BD0722" w:rsidR="00FA42BF" w:rsidRPr="00632064" w:rsidRDefault="00FA42BF" w:rsidP="001A0C66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075 268 686</w:t>
            </w:r>
          </w:p>
        </w:tc>
      </w:tr>
      <w:tr w:rsidR="00A35AD4" w:rsidRPr="00632064" w14:paraId="00A9E87C" w14:textId="77777777" w:rsidTr="00187F5B">
        <w:trPr>
          <w:trHeight w:val="458"/>
        </w:trPr>
        <w:tc>
          <w:tcPr>
            <w:tcW w:w="3105" w:type="dxa"/>
            <w:shd w:val="clear" w:color="auto" w:fill="FBD4B4"/>
          </w:tcPr>
          <w:p w14:paraId="2CBBF084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4106BD56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highlight w:val="yellow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Вид на Извештај:</w:t>
            </w:r>
          </w:p>
        </w:tc>
        <w:tc>
          <w:tcPr>
            <w:tcW w:w="6926" w:type="dxa"/>
          </w:tcPr>
          <w:p w14:paraId="3A9A6DB9" w14:textId="77777777" w:rsidR="00A35AD4" w:rsidRPr="00632064" w:rsidRDefault="00A35AD4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</w:p>
          <w:bookmarkStart w:id="0" w:name="Check12"/>
          <w:p w14:paraId="5170381C" w14:textId="240036CC" w:rsidR="000A77F1" w:rsidRPr="00632064" w:rsidRDefault="00EE3A13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20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0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77F1" w:rsidRPr="00632064">
              <w:rPr>
                <w:rFonts w:ascii="Arial" w:hAnsi="Arial" w:cs="Arial"/>
                <w:sz w:val="20"/>
                <w:szCs w:val="20"/>
              </w:rPr>
              <w:t>Нацрт</w:t>
            </w:r>
          </w:p>
          <w:bookmarkEnd w:id="0"/>
          <w:p w14:paraId="59256535" w14:textId="72340F05" w:rsidR="00A35AD4" w:rsidRPr="00632064" w:rsidRDefault="00EE3A13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0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0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AD4" w:rsidRPr="00632064">
              <w:rPr>
                <w:rFonts w:ascii="Arial" w:hAnsi="Arial" w:cs="Arial"/>
                <w:sz w:val="20"/>
                <w:szCs w:val="20"/>
              </w:rPr>
              <w:t xml:space="preserve">Предлог </w:t>
            </w:r>
          </w:p>
          <w:p w14:paraId="0AA896B2" w14:textId="77777777" w:rsidR="00A35AD4" w:rsidRPr="00632064" w:rsidRDefault="00A35AD4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AD4" w:rsidRPr="00632064" w14:paraId="6906016C" w14:textId="77777777" w:rsidTr="00187F5B">
        <w:trPr>
          <w:trHeight w:val="1243"/>
        </w:trPr>
        <w:tc>
          <w:tcPr>
            <w:tcW w:w="3105" w:type="dxa"/>
            <w:shd w:val="clear" w:color="auto" w:fill="FBD4B4"/>
          </w:tcPr>
          <w:p w14:paraId="11488AE8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2705A00E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14:paraId="1DD9F9CA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 xml:space="preserve">Обврската за подготовка на </w:t>
            </w:r>
            <w:proofErr w:type="spellStart"/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предлоготна</w:t>
            </w:r>
            <w:proofErr w:type="spellEnd"/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 xml:space="preserve"> закон произлегува од:</w:t>
            </w:r>
          </w:p>
        </w:tc>
        <w:tc>
          <w:tcPr>
            <w:tcW w:w="6926" w:type="dxa"/>
          </w:tcPr>
          <w:p w14:paraId="4E507B28" w14:textId="77777777" w:rsidR="00A35AD4" w:rsidRPr="00632064" w:rsidRDefault="00D11CEB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A35AD4" w:rsidRPr="00632064">
              <w:rPr>
                <w:rFonts w:ascii="Arial" w:hAnsi="Arial" w:cs="Arial"/>
                <w:sz w:val="20"/>
                <w:szCs w:val="20"/>
              </w:rPr>
              <w:t xml:space="preserve">Годишна програма за работа на Владата на Република   </w:t>
            </w:r>
          </w:p>
          <w:p w14:paraId="00919BA4" w14:textId="77777777" w:rsidR="00A35AD4" w:rsidRPr="00632064" w:rsidRDefault="00A35AD4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</w:rPr>
              <w:t xml:space="preserve">      Северна</w:t>
            </w: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2064">
              <w:rPr>
                <w:rFonts w:ascii="Arial" w:hAnsi="Arial" w:cs="Arial"/>
                <w:sz w:val="20"/>
                <w:szCs w:val="20"/>
              </w:rPr>
              <w:t>Македонија</w:t>
            </w:r>
          </w:p>
          <w:p w14:paraId="6D0CA629" w14:textId="77777777" w:rsidR="00A35AD4" w:rsidRPr="00D11CEB" w:rsidRDefault="00D11CEB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5"/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="00A35AD4" w:rsidRPr="00D11CEB">
              <w:rPr>
                <w:rFonts w:ascii="Arial" w:hAnsi="Arial" w:cs="Arial"/>
                <w:b/>
                <w:bCs/>
                <w:sz w:val="20"/>
                <w:szCs w:val="20"/>
              </w:rPr>
              <w:t>НПАА</w:t>
            </w:r>
          </w:p>
          <w:p w14:paraId="194F6CF5" w14:textId="77777777" w:rsidR="00A35AD4" w:rsidRPr="00D11CEB" w:rsidRDefault="0045460A" w:rsidP="009E6E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C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35AD4" w:rsidRPr="00D11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Заклучок</w:t>
            </w:r>
            <w:proofErr w:type="spellEnd"/>
            <w:r w:rsidR="00A35AD4" w:rsidRPr="00EE3A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A35AD4" w:rsidRPr="00EE3A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Владата</w:t>
            </w:r>
            <w:proofErr w:type="spellEnd"/>
            <w:r w:rsidR="00A35AD4" w:rsidRPr="00EE3A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="00A35AD4" w:rsidRPr="00EE3A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Република</w:t>
            </w:r>
            <w:proofErr w:type="spellEnd"/>
            <w:r w:rsidR="00A35AD4" w:rsidRPr="00EE3A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Северна</w:t>
            </w:r>
            <w:proofErr w:type="spellEnd"/>
            <w:r w:rsidR="00A35AD4" w:rsidRPr="00EE3A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5AD4" w:rsidRPr="00EE3A13">
              <w:rPr>
                <w:rFonts w:ascii="Arial" w:hAnsi="Arial" w:cs="Arial"/>
                <w:sz w:val="20"/>
                <w:szCs w:val="20"/>
              </w:rPr>
              <w:t>Македонија</w:t>
            </w:r>
            <w:proofErr w:type="spellEnd"/>
          </w:p>
          <w:p w14:paraId="1713ADFA" w14:textId="77777777" w:rsidR="00A35AD4" w:rsidRPr="00632064" w:rsidRDefault="00D11CEB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D11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C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11C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35AD4" w:rsidRPr="00D11CEB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="00A35AD4" w:rsidRPr="00632064">
              <w:rPr>
                <w:rFonts w:ascii="Arial" w:hAnsi="Arial" w:cs="Arial"/>
                <w:sz w:val="20"/>
                <w:szCs w:val="20"/>
              </w:rPr>
              <w:t>руго _____________________________________</w:t>
            </w:r>
          </w:p>
        </w:tc>
      </w:tr>
      <w:tr w:rsidR="00A35AD4" w:rsidRPr="00632064" w14:paraId="0B0ED705" w14:textId="77777777" w:rsidTr="00187F5B">
        <w:trPr>
          <w:trHeight w:val="634"/>
        </w:trPr>
        <w:tc>
          <w:tcPr>
            <w:tcW w:w="3105" w:type="dxa"/>
            <w:shd w:val="clear" w:color="auto" w:fill="FBD4B4"/>
          </w:tcPr>
          <w:p w14:paraId="26716F84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926" w:type="dxa"/>
          </w:tcPr>
          <w:p w14:paraId="2CAC4713" w14:textId="2FF69AD9" w:rsidR="00A35AD4" w:rsidRPr="00EE3A13" w:rsidRDefault="00A411FA" w:rsidP="00EF65EE">
            <w:pPr>
              <w:pStyle w:val="ListParagraph"/>
              <w:ind w:left="2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E3A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  <w:p w14:paraId="5DEA7ADE" w14:textId="47E0C0F9" w:rsidR="00A411FA" w:rsidRPr="00EE3A13" w:rsidRDefault="00A411FA" w:rsidP="00A411FA">
            <w:pPr>
              <w:pStyle w:val="Standard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-Директива бр. 2001/83/EЗ на Европскиот Парламент и Советот од 6 ноември 2001 за Кодот на Заедницата за медицински производи за чове</w:t>
            </w:r>
            <w:r w:rsidR="00AC2A1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ч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ка употреба (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Directive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2001/83/EC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European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Parliament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Council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2001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Community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code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relating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medicinal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products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human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(OJ L 311, 28.11.2001, p. 67), CELEX Број на прописот на ЕУ: 32001L0083;</w:t>
            </w:r>
          </w:p>
          <w:p w14:paraId="0778908F" w14:textId="4C58A643" w:rsidR="00A411FA" w:rsidRPr="00EE3A13" w:rsidRDefault="00A411FA" w:rsidP="00EE3A13">
            <w:pPr>
              <w:pStyle w:val="Standard"/>
              <w:rPr>
                <w:sz w:val="20"/>
                <w:szCs w:val="20"/>
              </w:rPr>
            </w:pPr>
            <w:r w:rsidRPr="00EE3A13">
              <w:rPr>
                <w:rFonts w:eastAsia="Arial"/>
                <w:color w:val="000000"/>
                <w:sz w:val="20"/>
                <w:szCs w:val="20"/>
              </w:rPr>
              <w:t>-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Регулатива (ЕУ) бр. 536/2014 на Европскиот Парламент и на Советот од 16 април 2014 година за клинички испитувања на лекови за чове</w:t>
            </w:r>
            <w:r w:rsidR="00AC2A1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чка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употреба и за укинување на Директивата 2001/20/ЕЗ (Текст со важност за ЕЕО) (Сл. весник OJ L 158, 27.5.2014. стр.1)</w:t>
            </w:r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(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Regulation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(EU)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No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536/2014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European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Parliament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and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Council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16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April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2014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clinical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trials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medicinal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products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for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human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use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,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and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repealing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Directive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2001/20/EC (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Text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with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EEA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>relevance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) (OJ L 158, 27.5.2014, p. 1), 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CELEX Број на прописот на ЕУ: 32014R0536, и</w:t>
            </w:r>
          </w:p>
          <w:p w14:paraId="374E85BB" w14:textId="27376342" w:rsidR="00A411FA" w:rsidRPr="00EE3A13" w:rsidRDefault="00A411FA" w:rsidP="00EE3A13">
            <w:pPr>
              <w:pStyle w:val="Standard"/>
              <w:shd w:val="clear" w:color="auto" w:fill="FFFFFF"/>
              <w:rPr>
                <w:sz w:val="20"/>
                <w:szCs w:val="20"/>
              </w:rPr>
            </w:pPr>
            <w:r w:rsidRPr="00EE3A13">
              <w:rPr>
                <w:rFonts w:ascii="Arial" w:eastAsia="Arial" w:hAnsi="Arial" w:cs="Arial"/>
                <w:bCs/>
                <w:color w:val="1A171B"/>
                <w:sz w:val="20"/>
                <w:szCs w:val="20"/>
              </w:rPr>
              <w:t>-Регулатива (ЕЗ) бр. 1234/2008 на Комисијата од 24 ноември 2008 година за повторниот преглед на варијациите кај условите за одобрувања за ставање во промет на медицински производи за чове</w:t>
            </w:r>
            <w:r w:rsidR="00AC2A19">
              <w:rPr>
                <w:rFonts w:ascii="Arial" w:eastAsia="Arial" w:hAnsi="Arial" w:cs="Arial"/>
                <w:bCs/>
                <w:color w:val="1A171B"/>
                <w:sz w:val="20"/>
                <w:szCs w:val="20"/>
              </w:rPr>
              <w:t>чка</w:t>
            </w:r>
            <w:r w:rsidRPr="00EE3A13">
              <w:rPr>
                <w:rFonts w:ascii="Arial" w:eastAsia="Arial" w:hAnsi="Arial" w:cs="Arial"/>
                <w:bCs/>
                <w:color w:val="1A171B"/>
                <w:sz w:val="20"/>
                <w:szCs w:val="20"/>
              </w:rPr>
              <w:t xml:space="preserve"> употреба и ветеринарни медицински производи 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(Сл. весник </w:t>
            </w:r>
            <w:r w:rsidRPr="00EE3A13">
              <w:rPr>
                <w:rFonts w:ascii="Arial" w:eastAsia="Arial" w:hAnsi="Arial" w:cs="Arial"/>
                <w:bCs/>
                <w:i/>
                <w:color w:val="444444"/>
                <w:sz w:val="20"/>
                <w:szCs w:val="20"/>
                <w:shd w:val="clear" w:color="auto" w:fill="FFFFFF"/>
              </w:rPr>
              <w:t>OJ L 334, 12.12.2008, страна. 7–24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) (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Commission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Regulation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(EC)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No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1234/2008 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November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2008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concerning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variations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terms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marketing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authorisations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medicinal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products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for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human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use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veterinary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medicinal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products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Text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with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EEA </w:t>
            </w:r>
            <w:proofErr w:type="spellStart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relevance</w:t>
            </w:r>
            <w:proofErr w:type="spellEnd"/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)</w:t>
            </w:r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 (</w:t>
            </w:r>
            <w:r w:rsidRPr="00EE3A13">
              <w:rPr>
                <w:rFonts w:ascii="Arial" w:eastAsia="Arial" w:hAnsi="Arial" w:cs="Arial"/>
                <w:bCs/>
                <w:i/>
                <w:color w:val="444444"/>
                <w:sz w:val="20"/>
                <w:szCs w:val="20"/>
                <w:shd w:val="clear" w:color="auto" w:fill="FFFFFF"/>
              </w:rPr>
              <w:t>OJ L 334, 12.12.2008, p. 7–24</w:t>
            </w:r>
            <w:r w:rsidRPr="00EE3A13">
              <w:rPr>
                <w:rFonts w:ascii="Arial" w:eastAsia="Arial" w:hAnsi="Arial" w:cs="Arial"/>
                <w:bCs/>
                <w:color w:val="211D1E"/>
                <w:sz w:val="20"/>
                <w:szCs w:val="20"/>
              </w:rPr>
              <w:t xml:space="preserve">), </w:t>
            </w:r>
            <w:r w:rsidRPr="00EE3A1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CELEX Број на прописот на ЕУ:  32008R01234.</w:t>
            </w:r>
          </w:p>
          <w:p w14:paraId="68CFE847" w14:textId="573BD020" w:rsidR="00A411FA" w:rsidRPr="00EE3A13" w:rsidRDefault="00A411FA" w:rsidP="00EF65EE">
            <w:pPr>
              <w:pStyle w:val="ListParagraph"/>
              <w:ind w:left="23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35AD4" w:rsidRPr="00632064" w14:paraId="05F48648" w14:textId="77777777" w:rsidTr="00E45C16">
        <w:trPr>
          <w:trHeight w:val="918"/>
        </w:trPr>
        <w:tc>
          <w:tcPr>
            <w:tcW w:w="3105" w:type="dxa"/>
            <w:shd w:val="clear" w:color="auto" w:fill="FBD4B4"/>
          </w:tcPr>
          <w:p w14:paraId="535B8B85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bookmarkStart w:id="2" w:name="Check17"/>
        <w:tc>
          <w:tcPr>
            <w:tcW w:w="6926" w:type="dxa"/>
          </w:tcPr>
          <w:p w14:paraId="7A0449B3" w14:textId="77777777" w:rsidR="00A35AD4" w:rsidRPr="00632064" w:rsidRDefault="00A35AD4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3206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632064">
              <w:rPr>
                <w:rFonts w:ascii="Arial" w:hAnsi="Arial" w:cs="Arial"/>
                <w:sz w:val="20"/>
                <w:szCs w:val="20"/>
              </w:rPr>
              <w:t>Да</w:t>
            </w:r>
          </w:p>
          <w:p w14:paraId="118C56CF" w14:textId="77777777" w:rsidR="00A35AD4" w:rsidRPr="00632064" w:rsidRDefault="00A35AD4" w:rsidP="00EF65EE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</w:p>
          <w:p w14:paraId="4FEB0390" w14:textId="77777777" w:rsidR="00A35AD4" w:rsidRPr="00632064" w:rsidRDefault="00A35AD4" w:rsidP="00A9174B">
            <w:pPr>
              <w:pStyle w:val="ListParagraph"/>
              <w:spacing w:after="0" w:line="240" w:lineRule="auto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6320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20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20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2064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A35AD4" w:rsidRPr="00632064" w14:paraId="40980067" w14:textId="77777777" w:rsidTr="00187F5B">
        <w:trPr>
          <w:trHeight w:val="551"/>
        </w:trPr>
        <w:tc>
          <w:tcPr>
            <w:tcW w:w="3105" w:type="dxa"/>
            <w:shd w:val="clear" w:color="auto" w:fill="FBD4B4"/>
          </w:tcPr>
          <w:p w14:paraId="10D018E7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926" w:type="dxa"/>
          </w:tcPr>
          <w:p w14:paraId="1A5817DC" w14:textId="77777777" w:rsidR="00A35AD4" w:rsidRPr="00632064" w:rsidRDefault="00A35AD4" w:rsidP="007F6CE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35AD4" w:rsidRPr="00632064" w14:paraId="645DFB5E" w14:textId="77777777" w:rsidTr="00187F5B">
        <w:trPr>
          <w:trHeight w:val="691"/>
        </w:trPr>
        <w:tc>
          <w:tcPr>
            <w:tcW w:w="3105" w:type="dxa"/>
            <w:shd w:val="clear" w:color="auto" w:fill="FBD4B4"/>
          </w:tcPr>
          <w:p w14:paraId="22545313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lastRenderedPageBreak/>
              <w:t xml:space="preserve">Датум на доставување на нацрт Извештајот до </w:t>
            </w:r>
            <w:r w:rsidRPr="00632064">
              <w:rPr>
                <w:rFonts w:ascii="Arial" w:hAnsi="Arial" w:cs="Arial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14:paraId="1803C9B6" w14:textId="77777777" w:rsidR="00A35AD4" w:rsidRPr="00632064" w:rsidRDefault="00A35AD4" w:rsidP="007F6CE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A35AD4" w:rsidRPr="00632064" w14:paraId="24607BDA" w14:textId="77777777" w:rsidTr="00187F5B">
        <w:trPr>
          <w:trHeight w:val="622"/>
        </w:trPr>
        <w:tc>
          <w:tcPr>
            <w:tcW w:w="3105" w:type="dxa"/>
            <w:shd w:val="clear" w:color="auto" w:fill="FBD4B4"/>
          </w:tcPr>
          <w:p w14:paraId="04814475" w14:textId="77777777" w:rsidR="00A35AD4" w:rsidRPr="00632064" w:rsidRDefault="00A35AD4" w:rsidP="00CA7C9F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632064">
              <w:rPr>
                <w:rFonts w:ascii="Arial" w:hAnsi="Arial" w:cs="Arial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:</w:t>
            </w:r>
          </w:p>
        </w:tc>
        <w:tc>
          <w:tcPr>
            <w:tcW w:w="6926" w:type="dxa"/>
          </w:tcPr>
          <w:p w14:paraId="6E2BE0EB" w14:textId="77777777" w:rsidR="00A35AD4" w:rsidRPr="00632064" w:rsidRDefault="00A35AD4" w:rsidP="007F6CE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A35AD4" w:rsidRPr="00632064" w14:paraId="7E9E8856" w14:textId="77777777" w:rsidTr="00187F5B">
        <w:trPr>
          <w:trHeight w:val="790"/>
        </w:trPr>
        <w:tc>
          <w:tcPr>
            <w:tcW w:w="3105" w:type="dxa"/>
            <w:shd w:val="clear" w:color="auto" w:fill="FBD4B4"/>
          </w:tcPr>
          <w:p w14:paraId="247C2400" w14:textId="77777777" w:rsidR="00A35AD4" w:rsidRPr="00632064" w:rsidRDefault="00A35AD4" w:rsidP="00EE3A13">
            <w:pPr>
              <w:rPr>
                <w:rFonts w:ascii="Arial" w:hAnsi="Arial" w:cs="Arial"/>
                <w:sz w:val="20"/>
                <w:szCs w:val="20"/>
                <w:highlight w:val="yellow"/>
                <w:lang w:val="mk-MK"/>
              </w:rPr>
            </w:pPr>
            <w:r w:rsidRPr="00632064">
              <w:rPr>
                <w:rFonts w:ascii="Arial" w:hAnsi="Arial" w:cs="Arial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926" w:type="dxa"/>
          </w:tcPr>
          <w:p w14:paraId="497DEA9E" w14:textId="77777777" w:rsidR="00A35AD4" w:rsidRPr="00632064" w:rsidRDefault="00A35AD4" w:rsidP="007F6CE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14:paraId="22E13C63" w14:textId="77777777" w:rsidR="00A35AD4" w:rsidRPr="00632064" w:rsidRDefault="00A35AD4" w:rsidP="00591C8C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35D6603B" w14:textId="77777777" w:rsidR="00A35AD4" w:rsidRPr="00632064" w:rsidRDefault="00A35AD4" w:rsidP="00591C8C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14:paraId="7C368F19" w14:textId="77777777" w:rsidR="00A35AD4" w:rsidRPr="00632064" w:rsidRDefault="00A35AD4" w:rsidP="00187F5B">
      <w:p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en-US"/>
        </w:rPr>
        <w:t>1</w:t>
      </w:r>
      <w:r w:rsidRPr="00632064">
        <w:rPr>
          <w:rFonts w:ascii="Arial" w:hAnsi="Arial" w:cs="Arial"/>
          <w:b/>
          <w:sz w:val="20"/>
          <w:szCs w:val="20"/>
          <w:lang w:val="mk-MK"/>
        </w:rPr>
        <w:t xml:space="preserve">. 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14:paraId="541C9FDA" w14:textId="77777777" w:rsidR="00A35AD4" w:rsidRPr="00632064" w:rsidRDefault="00A35AD4" w:rsidP="00591C8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92D4C14" w14:textId="77777777" w:rsidR="00A35AD4" w:rsidRDefault="00A35AD4" w:rsidP="001A0C66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632064">
        <w:rPr>
          <w:rFonts w:ascii="Arial" w:hAnsi="Arial" w:cs="Arial"/>
          <w:sz w:val="20"/>
          <w:szCs w:val="20"/>
        </w:rPr>
        <w:t xml:space="preserve">Опис на состојбите </w:t>
      </w:r>
    </w:p>
    <w:p w14:paraId="09CC8BF6" w14:textId="51127441" w:rsidR="00D11CEB" w:rsidRDefault="00D11CEB" w:rsidP="00D11CEB">
      <w:pPr>
        <w:ind w:right="114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уредуваат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хуманата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медицина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условите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начинот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обезбедување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нивниот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квалитет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безбедност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ефикасност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начинот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постапките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нивно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производство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означување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класификација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ставање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промет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промет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фармаковигиланца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формирање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контрола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квалитет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огласување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инспекциски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надзор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0722170A" w14:textId="77777777" w:rsidR="00D11CEB" w:rsidRDefault="00D11CEB" w:rsidP="00D11CEB">
      <w:pPr>
        <w:ind w:right="11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DA96BA" w14:textId="05A5B460" w:rsidR="00D11CEB" w:rsidRDefault="00D11CEB" w:rsidP="00D11CEB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Изготвувањето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беше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поддржано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Европската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комисија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преку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TWINNING FICHE Project title: Harmonisation of the legislation for medicinal products with EU legislation and building capacities for its implementation, Beneficiary administration: Agency for medicines and medical devices of the Beneficiary Country, Twinning Reference: MK 15 IPA HE 01 18 TWL. </w:t>
      </w:r>
      <w:proofErr w:type="spellStart"/>
      <w:r>
        <w:rPr>
          <w:rFonts w:ascii="Arial" w:eastAsia="Arial" w:hAnsi="Arial" w:cs="Arial"/>
          <w:sz w:val="20"/>
          <w:szCs w:val="20"/>
        </w:rPr>
        <w:t>Главната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</w:t>
      </w:r>
      <w:proofErr w:type="spellEnd"/>
      <w:r w:rsidR="00851B07">
        <w:rPr>
          <w:rFonts w:ascii="Arial" w:eastAsia="Arial" w:hAnsi="Arial" w:cs="Arial"/>
          <w:sz w:val="20"/>
          <w:szCs w:val="20"/>
          <w:lang w:val="mk-MK"/>
        </w:rPr>
        <w:t>ој проект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беше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поддршка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Агенцијата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успогласување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меѓународните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стандарди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добр</w:t>
      </w:r>
      <w:r w:rsidR="002B1422">
        <w:rPr>
          <w:rFonts w:ascii="Arial" w:eastAsia="Arial" w:hAnsi="Arial" w:cs="Arial"/>
          <w:sz w:val="20"/>
          <w:szCs w:val="20"/>
          <w:lang w:val="mk-MK"/>
        </w:rPr>
        <w:t>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фармацевтск</w:t>
      </w:r>
      <w:proofErr w:type="spellEnd"/>
      <w:r w:rsidR="002B1422">
        <w:rPr>
          <w:rFonts w:ascii="Arial" w:eastAsia="Arial" w:hAnsi="Arial" w:cs="Arial"/>
          <w:sz w:val="20"/>
          <w:szCs w:val="20"/>
          <w:lang w:val="mk-MK"/>
        </w:rPr>
        <w:t>и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практики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како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усогласување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националното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законодавство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законодавството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ЕУ (EU acquis).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рамки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овој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проект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eastAsia="Arial" w:hAnsi="Arial" w:cs="Arial"/>
          <w:sz w:val="20"/>
          <w:szCs w:val="20"/>
        </w:rPr>
        <w:t>изготвен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посебен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тој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начин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областа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беше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досега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уредена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еден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донесувањето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овој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подоцна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ќе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биде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уредена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посебни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2B1422">
        <w:rPr>
          <w:rFonts w:ascii="Arial" w:eastAsia="Arial" w:hAnsi="Arial" w:cs="Arial"/>
          <w:sz w:val="20"/>
          <w:szCs w:val="20"/>
          <w:lang w:val="mk-MK"/>
        </w:rPr>
        <w:t>за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транспонирани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две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регулативи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една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директива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тоа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79D52AF8" w14:textId="410588BD" w:rsidR="00D11CEB" w:rsidRDefault="00D11CEB" w:rsidP="00D11C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bookmarkStart w:id="3" w:name="_heading=h.gjdgxs" w:colFirst="0" w:colLast="0"/>
      <w:bookmarkEnd w:id="3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Директива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2001/83/EЗ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Европскиот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Парламент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Советот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ноември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2001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Кодот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Заедницата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чове</w:t>
      </w:r>
      <w:proofErr w:type="spellEnd"/>
      <w:r w:rsidR="004F507B">
        <w:rPr>
          <w:rFonts w:ascii="Arial" w:eastAsia="Arial" w:hAnsi="Arial" w:cs="Arial"/>
          <w:color w:val="000000"/>
          <w:sz w:val="20"/>
          <w:szCs w:val="20"/>
          <w:lang w:val="mk-MK"/>
        </w:rPr>
        <w:t>ч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Directive 2001/83/EC of the European Parliament and of the Council of 6 November 2001 on the Community code relating to medicinal products for human use (OJ L 311, 28.11.2001, p. 67), CELEX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прописот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ЕУ: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32001L0083;</w:t>
      </w:r>
    </w:p>
    <w:p w14:paraId="01DE5E4A" w14:textId="77777777" w:rsidR="00D11CEB" w:rsidRDefault="00D11CEB" w:rsidP="00D11C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4" w:name="_heading=h.30j0zll" w:colFirst="0" w:colLast="0"/>
      <w:bookmarkEnd w:id="4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Регулатива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(ЕУ)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536/2014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Европскиот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Парламент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Советот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април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година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клинички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човечка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укинување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Директивата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2001/20/ЕЗ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Текст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важност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ЕЕО)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весник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OJ L 158, 27.5.2014. стр.1)</w:t>
      </w:r>
      <w:r>
        <w:rPr>
          <w:rFonts w:ascii="Arial" w:eastAsia="Arial" w:hAnsi="Arial" w:cs="Arial"/>
          <w:color w:val="211D1E"/>
          <w:sz w:val="20"/>
          <w:szCs w:val="20"/>
        </w:rPr>
        <w:t xml:space="preserve"> (Regulation (EU) No 536/2014 of the European Parliament and of the Council of 16 April 2014 on clinical trials on medicinal products for human use, and repealing Directive 2001/20/EC (Text with EEA relevance) (OJ L 158, 27.5.2014, p. 1),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CELEX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прописот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ЕУ: 32014R0536, и</w:t>
      </w:r>
    </w:p>
    <w:p w14:paraId="4AD3E977" w14:textId="77777777" w:rsidR="00D11CEB" w:rsidRDefault="00D11CEB" w:rsidP="00D11C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 Narrow" w:eastAsia="Arial Narrow" w:hAnsi="Arial Narrow" w:cs="Arial Narrow"/>
          <w:b/>
          <w:color w:val="000000"/>
        </w:rPr>
      </w:pP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Регулатива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(ЕЗ)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бр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. 1234/2008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Комисијата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24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ноември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2008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година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повторниот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преглед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варијациите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кај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условите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одобрувања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ставање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промет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човечка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ветеринарни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A171B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color w:val="1A171B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весник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44444"/>
          <w:sz w:val="20"/>
          <w:szCs w:val="20"/>
          <w:highlight w:val="white"/>
        </w:rPr>
        <w:t xml:space="preserve">OJ L 334, 12.12.2008, </w:t>
      </w:r>
      <w:proofErr w:type="spellStart"/>
      <w:r>
        <w:rPr>
          <w:rFonts w:ascii="Arial" w:eastAsia="Arial" w:hAnsi="Arial" w:cs="Arial"/>
          <w:i/>
          <w:color w:val="444444"/>
          <w:sz w:val="20"/>
          <w:szCs w:val="20"/>
          <w:highlight w:val="white"/>
        </w:rPr>
        <w:t>страна</w:t>
      </w:r>
      <w:proofErr w:type="spellEnd"/>
      <w:r>
        <w:rPr>
          <w:rFonts w:ascii="Arial" w:eastAsia="Arial" w:hAnsi="Arial" w:cs="Arial"/>
          <w:i/>
          <w:color w:val="444444"/>
          <w:sz w:val="20"/>
          <w:szCs w:val="20"/>
          <w:highlight w:val="white"/>
        </w:rPr>
        <w:t>. 7–24</w:t>
      </w:r>
      <w:r>
        <w:rPr>
          <w:rFonts w:ascii="Arial" w:eastAsia="Arial" w:hAnsi="Arial" w:cs="Arial"/>
          <w:color w:val="000000"/>
          <w:sz w:val="20"/>
          <w:szCs w:val="20"/>
        </w:rPr>
        <w:t>) (Commission Regulation (EC) No 1234/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2008  of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24 November 2008 concerning the examination of variations to the terms of marketing authorisations for medicinal products for human use and veterinary medicinal products (Text with EEA relevance)</w:t>
      </w:r>
      <w:r>
        <w:rPr>
          <w:rFonts w:ascii="Arial" w:eastAsia="Arial" w:hAnsi="Arial" w:cs="Arial"/>
          <w:color w:val="211D1E"/>
          <w:sz w:val="20"/>
          <w:szCs w:val="20"/>
        </w:rPr>
        <w:t xml:space="preserve"> (</w:t>
      </w:r>
      <w:r>
        <w:rPr>
          <w:rFonts w:ascii="Arial" w:eastAsia="Arial" w:hAnsi="Arial" w:cs="Arial"/>
          <w:i/>
          <w:color w:val="444444"/>
          <w:sz w:val="20"/>
          <w:szCs w:val="20"/>
          <w:highlight w:val="white"/>
        </w:rPr>
        <w:t>OJ L 334, 12.12.2008, p. 7–24</w:t>
      </w:r>
      <w:r>
        <w:rPr>
          <w:rFonts w:ascii="Arial" w:eastAsia="Arial" w:hAnsi="Arial" w:cs="Arial"/>
          <w:color w:val="211D1E"/>
          <w:sz w:val="20"/>
          <w:szCs w:val="20"/>
        </w:rPr>
        <w:t xml:space="preserve">),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CELEX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прописот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ЕУ: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32008R01234.</w:t>
      </w:r>
    </w:p>
    <w:p w14:paraId="3EB056FF" w14:textId="77777777" w:rsidR="00D11CEB" w:rsidRDefault="00D11CEB" w:rsidP="00D11C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0E063A2C" w14:textId="6C491649" w:rsidR="00D11CEB" w:rsidRDefault="00D11CEB" w:rsidP="00D11CEB">
      <w:pPr>
        <w:tabs>
          <w:tab w:val="left" w:pos="764"/>
        </w:tabs>
        <w:ind w:right="114"/>
        <w:jc w:val="both"/>
        <w:rPr>
          <w:rFonts w:ascii="Arial" w:eastAsia="Arial" w:hAnsi="Arial" w:cs="Arial"/>
          <w:sz w:val="20"/>
          <w:szCs w:val="20"/>
        </w:rPr>
      </w:pPr>
      <w:bookmarkStart w:id="5" w:name="_heading=h.1fob9te" w:colFirst="0" w:colLast="0"/>
      <w:bookmarkEnd w:id="5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изготвувањето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овој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така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земени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предвид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r>
        <w:rPr>
          <w:rFonts w:ascii="Arial" w:eastAsia="Arial" w:hAnsi="Arial" w:cs="Arial"/>
          <w:sz w:val="20"/>
          <w:szCs w:val="20"/>
        </w:rPr>
        <w:t xml:space="preserve">EUROPEAN COMMISSION ENTERPRISE AND INDUSTRY DIRECTORATE-GENERAL Consumer goods Pharmaceuticals, EudraLex, The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Rules Governing Medicinal Products in the European Union, Volume 4, EU Guidelines to Good Manufacturing Practice Medicinal Products for Human and Veterinary Use, Annex 7, Manufacture of Herbal Medicinal Products, </w:t>
      </w:r>
      <w:proofErr w:type="spellStart"/>
      <w:r>
        <w:rPr>
          <w:rFonts w:ascii="Arial" w:eastAsia="Arial" w:hAnsi="Arial" w:cs="Arial"/>
          <w:sz w:val="20"/>
          <w:szCs w:val="20"/>
        </w:rPr>
        <w:t>како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European Medicines Agency, Evaluation of Medicines for Human Use, GUIDELINE ON GOOD AGRICULTURAL AND COLLECTION PRACTICE (GACP) FOR STARTING MATERIALS OF HERBAL ORIGIN и European Medicines Agency, ICH Topic Q 7 Good Manufacturing Practice for Active Pharmaceutical Ingredients, NOTE FOR GUIDANCE ON GOOD MANUFACTURING PRACTICE FOR ACTIVE PHARMACEUTICAL INGREDIENTS (CPMP/ICH/4106/00). </w:t>
      </w:r>
      <w:proofErr w:type="spellStart"/>
      <w:r>
        <w:rPr>
          <w:rFonts w:ascii="Arial" w:eastAsia="Arial" w:hAnsi="Arial" w:cs="Arial"/>
          <w:sz w:val="20"/>
          <w:szCs w:val="20"/>
        </w:rPr>
        <w:t>Имено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цитираните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Упатства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релевантни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оглед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тоа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агенција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(ЕМА) </w:t>
      </w:r>
      <w:r w:rsidR="00EE7303">
        <w:rPr>
          <w:rFonts w:ascii="Arial" w:eastAsia="Arial" w:hAnsi="Arial" w:cs="Arial"/>
          <w:sz w:val="20"/>
          <w:szCs w:val="20"/>
          <w:lang w:val="mk-MK"/>
        </w:rPr>
        <w:t xml:space="preserve">како </w:t>
      </w:r>
      <w:r w:rsidR="00EE7303" w:rsidRPr="00EE3A13">
        <w:rPr>
          <w:rFonts w:ascii="Arial" w:eastAsia="Arial" w:hAnsi="Arial" w:cs="Arial"/>
          <w:color w:val="000000" w:themeColor="text1"/>
          <w:sz w:val="20"/>
          <w:szCs w:val="20"/>
          <w:lang w:val="mk-MK"/>
        </w:rPr>
        <w:t>ц</w:t>
      </w:r>
      <w:proofErr w:type="spellStart"/>
      <w:r>
        <w:rPr>
          <w:rFonts w:ascii="Arial" w:eastAsia="Arial" w:hAnsi="Arial" w:cs="Arial"/>
          <w:sz w:val="20"/>
          <w:szCs w:val="20"/>
        </w:rPr>
        <w:t>ентрализирана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агенција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унија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(ЕУ) </w:t>
      </w:r>
      <w:r w:rsidR="00EE7303">
        <w:rPr>
          <w:rFonts w:ascii="Arial" w:eastAsia="Arial" w:hAnsi="Arial" w:cs="Arial"/>
          <w:sz w:val="20"/>
          <w:szCs w:val="20"/>
          <w:lang w:val="mk-MK"/>
        </w:rPr>
        <w:t xml:space="preserve">е </w:t>
      </w:r>
      <w:proofErr w:type="spellStart"/>
      <w:r>
        <w:rPr>
          <w:rFonts w:ascii="Arial" w:eastAsia="Arial" w:hAnsi="Arial" w:cs="Arial"/>
          <w:sz w:val="20"/>
          <w:szCs w:val="20"/>
        </w:rPr>
        <w:t>одговорна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научна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проценка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надзор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следење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безбедноста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ЕУ.</w:t>
      </w:r>
    </w:p>
    <w:p w14:paraId="1FF2730B" w14:textId="77777777" w:rsidR="00D11CEB" w:rsidRDefault="00D11CEB" w:rsidP="00BF3641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14:paraId="3334244B" w14:textId="77777777" w:rsidR="00A35AD4" w:rsidRPr="00632064" w:rsidRDefault="00A35AD4" w:rsidP="00BF3641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1.2</w:t>
      </w:r>
      <w:r w:rsidRPr="00632064">
        <w:rPr>
          <w:rFonts w:ascii="Arial" w:hAnsi="Arial" w:cs="Arial"/>
          <w:sz w:val="20"/>
          <w:szCs w:val="20"/>
          <w:lang w:val="mk-MK"/>
        </w:rPr>
        <w:tab/>
      </w:r>
      <w:r w:rsidRPr="00632064">
        <w:rPr>
          <w:rFonts w:ascii="Arial" w:eastAsia="Times New Roman" w:hAnsi="Arial" w:cs="Arial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14:paraId="72612D08" w14:textId="312D17EB" w:rsidR="00A35AD4" w:rsidRPr="00632064" w:rsidRDefault="00D11CEB" w:rsidP="00D11CEB">
      <w:pPr>
        <w:jc w:val="both"/>
        <w:rPr>
          <w:rFonts w:ascii="Arial" w:hAnsi="Arial" w:cs="Arial"/>
          <w:sz w:val="20"/>
          <w:szCs w:val="20"/>
          <w:lang w:val="mk-MK"/>
        </w:rPr>
      </w:pPr>
      <w:bookmarkStart w:id="6" w:name="_Hlk5701579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Изготвувањето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беше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поддржано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Европската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комисија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преку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TWINNING FICHE Project title: Harmonisation of the legislation for medicinal products with EU legislation and building capacities for its implementation, Beneficiary administration: Agency for medicines and medical devices of the Beneficiary Country, Twinning Reference: MK 15 IPA HE 01 18 TWL. </w:t>
      </w:r>
      <w:proofErr w:type="spellStart"/>
      <w:r>
        <w:rPr>
          <w:rFonts w:ascii="Arial" w:eastAsia="Arial" w:hAnsi="Arial" w:cs="Arial"/>
          <w:sz w:val="20"/>
          <w:szCs w:val="20"/>
        </w:rPr>
        <w:t>Главната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</w:t>
      </w:r>
      <w:proofErr w:type="spellEnd"/>
      <w:r w:rsidR="00384935">
        <w:rPr>
          <w:rFonts w:ascii="Arial" w:eastAsia="Arial" w:hAnsi="Arial" w:cs="Arial"/>
          <w:sz w:val="20"/>
          <w:szCs w:val="20"/>
          <w:lang w:val="mk-MK"/>
        </w:rPr>
        <w:t>ој проект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беше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поддршка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Агенцијата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успогласување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меѓународните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стандарди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добр</w:t>
      </w:r>
      <w:r w:rsidR="00384935">
        <w:rPr>
          <w:rFonts w:ascii="Arial" w:eastAsia="Arial" w:hAnsi="Arial" w:cs="Arial"/>
          <w:sz w:val="20"/>
          <w:szCs w:val="20"/>
          <w:lang w:val="mk-MK"/>
        </w:rPr>
        <w:t>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фармацевтск</w:t>
      </w:r>
      <w:proofErr w:type="spellEnd"/>
      <w:r w:rsidR="00384935">
        <w:rPr>
          <w:rFonts w:ascii="Arial" w:eastAsia="Arial" w:hAnsi="Arial" w:cs="Arial"/>
          <w:sz w:val="20"/>
          <w:szCs w:val="20"/>
          <w:lang w:val="mk-MK"/>
        </w:rPr>
        <w:t>и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практики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како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усогласување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националното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законодавство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законодавството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ЕУ (EU acquis).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рамки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овој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проект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eastAsia="Arial" w:hAnsi="Arial" w:cs="Arial"/>
          <w:sz w:val="20"/>
          <w:szCs w:val="20"/>
        </w:rPr>
        <w:t>изготвен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посебен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FA42BF">
        <w:rPr>
          <w:rFonts w:ascii="Arial" w:eastAsia="Arial" w:hAnsi="Arial" w:cs="Arial"/>
          <w:sz w:val="20"/>
          <w:szCs w:val="20"/>
          <w:lang w:val="mk-MK"/>
        </w:rPr>
        <w:t>работен текст на З</w:t>
      </w:r>
      <w:proofErr w:type="spellStart"/>
      <w:r>
        <w:rPr>
          <w:rFonts w:ascii="Arial" w:eastAsia="Arial" w:hAnsi="Arial" w:cs="Arial"/>
          <w:sz w:val="20"/>
          <w:szCs w:val="20"/>
        </w:rPr>
        <w:t>акон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тој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начин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областа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беше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досега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уредена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еден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донесувањето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овој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подоцна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предлог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ќе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биде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уредена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посебни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закони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1509794E" w14:textId="77777777" w:rsidR="0045460A" w:rsidRPr="00632064" w:rsidRDefault="0045460A" w:rsidP="0045460A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</w:p>
    <w:bookmarkEnd w:id="6"/>
    <w:p w14:paraId="277F604E" w14:textId="77777777" w:rsidR="00A35AD4" w:rsidRPr="00632064" w:rsidRDefault="00A35AD4" w:rsidP="00187F5B">
      <w:p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 xml:space="preserve">2. 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Цели на предлог регулативата</w:t>
      </w:r>
    </w:p>
    <w:p w14:paraId="5C9E684D" w14:textId="77777777" w:rsidR="00A35AD4" w:rsidRDefault="00A35AD4" w:rsidP="00591C8C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44143541" w14:textId="3D285BE4" w:rsidR="00D11CEB" w:rsidRDefault="00D11CEB" w:rsidP="00D11CEB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Преку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усогласување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националното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законодавство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законодавството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ЕУ (EU acquis)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областа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лековите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очекува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остварување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суштинската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сака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постигне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цитираната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Директива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бр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2001/83/EЗ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Европскиот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Парламент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Советот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6 </w:t>
      </w:r>
      <w:proofErr w:type="spellStart"/>
      <w:r>
        <w:rPr>
          <w:rFonts w:ascii="Arial" w:eastAsia="Arial" w:hAnsi="Arial" w:cs="Arial"/>
          <w:sz w:val="20"/>
          <w:szCs w:val="20"/>
        </w:rPr>
        <w:t>ноември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2001, а </w:t>
      </w:r>
      <w:proofErr w:type="spellStart"/>
      <w:r>
        <w:rPr>
          <w:rFonts w:ascii="Arial" w:eastAsia="Arial" w:hAnsi="Arial" w:cs="Arial"/>
          <w:sz w:val="20"/>
          <w:szCs w:val="20"/>
        </w:rPr>
        <w:t>тоа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eastAsia="Arial" w:hAnsi="Arial" w:cs="Arial"/>
          <w:sz w:val="20"/>
          <w:szCs w:val="20"/>
        </w:rPr>
        <w:t>дека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bookmarkStart w:id="7" w:name="_Hlk75745596"/>
      <w:proofErr w:type="spellStart"/>
      <w:r>
        <w:rPr>
          <w:rFonts w:ascii="Arial" w:eastAsia="Arial" w:hAnsi="Arial" w:cs="Arial"/>
          <w:sz w:val="20"/>
          <w:szCs w:val="20"/>
        </w:rPr>
        <w:t>суштинската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било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правила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дистрибуција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биде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заштитата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јавното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здравство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Како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eastAsia="Arial" w:hAnsi="Arial" w:cs="Arial"/>
          <w:sz w:val="20"/>
          <w:szCs w:val="20"/>
        </w:rPr>
        <w:t>наведеното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цитираната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Директива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сепак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оваа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постигне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кои</w:t>
      </w:r>
      <w:proofErr w:type="spellEnd"/>
      <w:r w:rsidR="00384935">
        <w:rPr>
          <w:rFonts w:ascii="Arial" w:eastAsia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нема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попречат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развојот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фармацевтската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индустрија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трговија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рамки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Заедницата.</w:t>
      </w:r>
      <w:bookmarkEnd w:id="7"/>
      <w:r>
        <w:rPr>
          <w:rFonts w:ascii="Arial" w:eastAsia="Arial" w:hAnsi="Arial" w:cs="Arial"/>
          <w:sz w:val="20"/>
          <w:szCs w:val="20"/>
        </w:rPr>
        <w:t>Трговијата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рамки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Заедницата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попречуваат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несогласности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помеѓу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одредени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национални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одредби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конкретно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одредби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исклучувајќи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ги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супстанциите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комбинациите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супстанции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како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прехранбени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сточна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храна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препарати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тоалети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и </w:t>
      </w:r>
      <w:proofErr w:type="spellStart"/>
      <w:r>
        <w:rPr>
          <w:rFonts w:ascii="Arial" w:eastAsia="Arial" w:hAnsi="Arial" w:cs="Arial"/>
          <w:sz w:val="20"/>
          <w:szCs w:val="20"/>
        </w:rPr>
        <w:t>таквите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одредби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директно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влијаат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функционирањето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внатрешните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пазари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Таквите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пречки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соодветно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отстранат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оглед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тоа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вклучува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приближување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релевантните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одредби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намалат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несогласностите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преостануваат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треба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донесат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правила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контрола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должностите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доделени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надлежните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органи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земјите-членки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треба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наведат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имајќи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предвид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дека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треба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осигури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усогласеност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правните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барања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Концептите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штетност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терапевтска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делотворност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може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испита</w:t>
      </w:r>
      <w:proofErr w:type="spellEnd"/>
      <w:r w:rsidR="00384935">
        <w:rPr>
          <w:rFonts w:ascii="Arial" w:eastAsia="Arial" w:hAnsi="Arial" w:cs="Arial"/>
          <w:sz w:val="20"/>
          <w:szCs w:val="20"/>
          <w:lang w:val="mk-MK"/>
        </w:rPr>
        <w:t>ат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само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меѓусебна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врска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имаат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само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релативна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важност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зависност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научниот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напредок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употребата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eastAsia="Arial" w:hAnsi="Arial" w:cs="Arial"/>
          <w:sz w:val="20"/>
          <w:szCs w:val="20"/>
        </w:rPr>
        <w:t>наменет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Деталите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документите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придружуваат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апликацијата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добивање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одобрување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пазарен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пласман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покажуваат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дали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потенцијалните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ризици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занемарливи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поглед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терапевтската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делотворност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Стандардите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протоколите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изведување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тестови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опити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ефективно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контрола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овие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оттаму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заштита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јавното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здравство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може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олеснат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движењето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овие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донесување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еднообразни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правила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применливи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тестовите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опитите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компилирање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досиеја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испитување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пријавите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564BCBF0" w14:textId="77777777" w:rsidR="00D11CEB" w:rsidRDefault="00D11CEB" w:rsidP="00D11CEB">
      <w:pPr>
        <w:jc w:val="both"/>
        <w:rPr>
          <w:rFonts w:ascii="Arial" w:eastAsia="Arial" w:hAnsi="Arial" w:cs="Arial"/>
          <w:sz w:val="20"/>
          <w:szCs w:val="20"/>
        </w:rPr>
      </w:pPr>
    </w:p>
    <w:p w14:paraId="34DBA169" w14:textId="5B3D1D5D" w:rsidR="00D11CEB" w:rsidRDefault="00D11CEB" w:rsidP="00D11CE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така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bookmarkStart w:id="8" w:name="_Hlk75745675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усогласувањето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националното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законодавство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областа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клиничкото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Регулативата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(ЕУ)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536/2014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Европскиот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Парламент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Советот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април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година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клинички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човечка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прави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крајна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End w:id="8"/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правата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безбедноста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достоинството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благосостојбата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бидат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заштитени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Интересите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секогаш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имаат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интереси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овозможи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независна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контрола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дали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почитуваат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овие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принципи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клиничко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испитување</w:t>
      </w:r>
      <w:proofErr w:type="spellEnd"/>
      <w:r w:rsidR="00BA731B">
        <w:rPr>
          <w:rFonts w:ascii="Arial" w:eastAsia="Arial" w:hAnsi="Arial" w:cs="Arial"/>
          <w:color w:val="000000"/>
          <w:sz w:val="20"/>
          <w:szCs w:val="20"/>
          <w:lang w:val="mk-MK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предмет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претходно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о</w:t>
      </w:r>
      <w:proofErr w:type="spellStart"/>
      <w:r w:rsidR="00BA731B">
        <w:rPr>
          <w:rFonts w:ascii="Arial" w:eastAsia="Arial" w:hAnsi="Arial" w:cs="Arial"/>
          <w:color w:val="000000"/>
          <w:sz w:val="20"/>
          <w:szCs w:val="20"/>
          <w:lang w:val="mk-MK"/>
        </w:rPr>
        <w:t>добрување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68CC1036" w14:textId="77777777" w:rsidR="00D11CEB" w:rsidRDefault="00D11CEB" w:rsidP="00591C8C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7796C400" w14:textId="77777777" w:rsidR="00D11CEB" w:rsidRPr="00632064" w:rsidRDefault="00D11CEB" w:rsidP="00591C8C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6DEA32C7" w14:textId="77777777" w:rsidR="00A35AD4" w:rsidRPr="00632064" w:rsidRDefault="00A35AD4" w:rsidP="0045460A">
      <w:p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lastRenderedPageBreak/>
        <w:t>3.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Можни решенија (опции)</w:t>
      </w:r>
    </w:p>
    <w:p w14:paraId="4CAAE305" w14:textId="77777777" w:rsidR="00A35AD4" w:rsidRPr="00632064" w:rsidRDefault="00A35AD4" w:rsidP="0045460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14:paraId="52D411DA" w14:textId="77777777" w:rsidR="00A35AD4" w:rsidRPr="00632064" w:rsidRDefault="00A35AD4" w:rsidP="0045460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3.2</w:t>
      </w:r>
      <w:r w:rsidRPr="00632064">
        <w:rPr>
          <w:rFonts w:ascii="Arial" w:hAnsi="Arial" w:cs="Arial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14:paraId="2CBDCCA3" w14:textId="77777777" w:rsidR="00A35AD4" w:rsidRPr="00632064" w:rsidRDefault="00A35AD4" w:rsidP="0045460A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08604709" w14:textId="10DBAB90" w:rsidR="00A35AD4" w:rsidRDefault="00D11CEB" w:rsidP="00D11CEB">
      <w:pPr>
        <w:tabs>
          <w:tab w:val="left" w:pos="675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mk-MK"/>
        </w:rPr>
        <w:t>С</w:t>
      </w:r>
      <w:proofErr w:type="spellStart"/>
      <w:r>
        <w:rPr>
          <w:rFonts w:ascii="Arial" w:eastAsia="Arial" w:hAnsi="Arial" w:cs="Arial"/>
          <w:sz w:val="20"/>
          <w:szCs w:val="20"/>
        </w:rPr>
        <w:t>уштинската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било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правила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дистрибуција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биде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sz w:val="20"/>
          <w:szCs w:val="20"/>
        </w:rPr>
        <w:t>заштитата</w:t>
      </w:r>
      <w:proofErr w:type="spellEnd"/>
      <w:r w:rsidRPr="00D11C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sz w:val="20"/>
          <w:szCs w:val="20"/>
        </w:rPr>
        <w:t>на</w:t>
      </w:r>
      <w:proofErr w:type="spellEnd"/>
      <w:r w:rsidRPr="00D11C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sz w:val="20"/>
          <w:szCs w:val="20"/>
        </w:rPr>
        <w:t>јавното</w:t>
      </w:r>
      <w:proofErr w:type="spellEnd"/>
      <w:r w:rsidRPr="00D11C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sz w:val="20"/>
          <w:szCs w:val="20"/>
        </w:rPr>
        <w:t>здравство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Како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eastAsia="Arial" w:hAnsi="Arial" w:cs="Arial"/>
          <w:sz w:val="20"/>
          <w:szCs w:val="20"/>
        </w:rPr>
        <w:t>наведеното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цитираната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Директива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сепак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оваа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мора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постигне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средства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кои</w:t>
      </w:r>
      <w:proofErr w:type="spellEnd"/>
      <w:r w:rsidR="004F0C49">
        <w:rPr>
          <w:rFonts w:ascii="Arial" w:eastAsia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што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нема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го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попречат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развојот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фармацевтската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индустрија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или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трговија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медицински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производи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рамки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Заедницата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091D21F" w14:textId="77777777" w:rsidR="00D11CEB" w:rsidRDefault="00D11CEB" w:rsidP="00D11CEB">
      <w:pPr>
        <w:tabs>
          <w:tab w:val="left" w:pos="675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 w:val="mk-MK"/>
        </w:rPr>
        <w:t>Исто така,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усогласувањето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националното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законодавство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во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областа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клиничкото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Регулативата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(ЕУ)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536/2014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Европскиот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Парламент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Советот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април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година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клинички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испитувања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лекови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човечка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употреба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прави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со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крајна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цел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11CEB">
        <w:rPr>
          <w:rFonts w:ascii="Arial" w:eastAsia="Arial" w:hAnsi="Arial" w:cs="Arial"/>
          <w:b/>
          <w:bCs/>
          <w:color w:val="000000"/>
          <w:sz w:val="20"/>
          <w:szCs w:val="20"/>
          <w:lang w:val="mk-MK"/>
        </w:rPr>
        <w:t>п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равата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безбедноста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достоинството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благосостојбата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субјектите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да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бидат</w:t>
      </w:r>
      <w:proofErr w:type="spellEnd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D11CEB">
        <w:rPr>
          <w:rFonts w:ascii="Arial" w:eastAsia="Arial" w:hAnsi="Arial" w:cs="Arial"/>
          <w:b/>
          <w:bCs/>
          <w:color w:val="000000"/>
          <w:sz w:val="20"/>
          <w:szCs w:val="20"/>
        </w:rPr>
        <w:t>заштитени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Интересите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секогаш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треба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имаат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предност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пред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сите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интереси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536F5C3" w14:textId="77777777" w:rsidR="00D11CEB" w:rsidRPr="00632064" w:rsidRDefault="00D11CEB" w:rsidP="0045460A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487EEF1D" w14:textId="77777777" w:rsidR="00A35AD4" w:rsidRPr="00632064" w:rsidRDefault="00A35AD4" w:rsidP="0045460A">
      <w:pPr>
        <w:numPr>
          <w:ilvl w:val="0"/>
          <w:numId w:val="6"/>
        </w:num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en-US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>Проценка на влијанијата на регулативата</w:t>
      </w:r>
    </w:p>
    <w:p w14:paraId="48A80AFE" w14:textId="77777777" w:rsidR="00A35AD4" w:rsidRPr="00632064" w:rsidRDefault="00A35AD4" w:rsidP="0045460A">
      <w:pPr>
        <w:tabs>
          <w:tab w:val="left" w:pos="675"/>
        </w:tabs>
        <w:ind w:left="360"/>
        <w:rPr>
          <w:rFonts w:ascii="Arial" w:hAnsi="Arial" w:cs="Arial"/>
          <w:b/>
          <w:sz w:val="20"/>
          <w:szCs w:val="20"/>
          <w:lang w:val="en-US"/>
        </w:rPr>
      </w:pPr>
    </w:p>
    <w:p w14:paraId="71BA9BD8" w14:textId="77777777" w:rsidR="00A35AD4" w:rsidRPr="00632064" w:rsidRDefault="00A35AD4" w:rsidP="0045460A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Можни позитивни и негативни влијанија од секоја од опциите:</w:t>
      </w:r>
    </w:p>
    <w:p w14:paraId="1EF9AB0D" w14:textId="77777777" w:rsidR="0045460A" w:rsidRPr="00632064" w:rsidRDefault="0045460A" w:rsidP="0045460A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6B23D5AE" w14:textId="77777777" w:rsidR="00A35AD4" w:rsidRPr="00632064" w:rsidRDefault="00A35AD4" w:rsidP="0045460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4.1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Економски влијанија </w:t>
      </w:r>
    </w:p>
    <w:p w14:paraId="58C96ABF" w14:textId="529C5B77" w:rsidR="00A35AD4" w:rsidRPr="00FE3E89" w:rsidRDefault="00D11CEB" w:rsidP="0045460A">
      <w:pPr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 w:eastAsia="mk-MK"/>
        </w:rPr>
        <w:t xml:space="preserve">Заштита на јавното здравје и </w:t>
      </w:r>
      <w:r w:rsidR="00A35AD4" w:rsidRPr="00632064"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>заштита на</w:t>
      </w:r>
      <w:r w:rsidR="00A35AD4" w:rsidRPr="00632064">
        <w:rPr>
          <w:rFonts w:ascii="Arial" w:hAnsi="Arial" w:cs="Arial"/>
          <w:sz w:val="20"/>
          <w:szCs w:val="20"/>
        </w:rPr>
        <w:t xml:space="preserve"> </w:t>
      </w:r>
      <w:r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п</w:t>
      </w:r>
      <w:proofErr w:type="spellStart"/>
      <w:r w:rsidRPr="00FE3E89">
        <w:rPr>
          <w:rFonts w:ascii="Arial" w:eastAsia="Arial" w:hAnsi="Arial" w:cs="Arial"/>
          <w:color w:val="000000"/>
          <w:sz w:val="20"/>
          <w:szCs w:val="20"/>
        </w:rPr>
        <w:t>равата</w:t>
      </w:r>
      <w:proofErr w:type="spellEnd"/>
      <w:r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E3E89">
        <w:rPr>
          <w:rFonts w:ascii="Arial" w:eastAsia="Arial" w:hAnsi="Arial" w:cs="Arial"/>
          <w:color w:val="000000"/>
          <w:sz w:val="20"/>
          <w:szCs w:val="20"/>
        </w:rPr>
        <w:t>безбедноста</w:t>
      </w:r>
      <w:proofErr w:type="spellEnd"/>
      <w:r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FE3E89">
        <w:rPr>
          <w:rFonts w:ascii="Arial" w:eastAsia="Arial" w:hAnsi="Arial" w:cs="Arial"/>
          <w:color w:val="000000"/>
          <w:sz w:val="20"/>
          <w:szCs w:val="20"/>
        </w:rPr>
        <w:t>достоинството</w:t>
      </w:r>
      <w:proofErr w:type="spellEnd"/>
      <w:r w:rsidRPr="00FE3E89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FE3E89">
        <w:rPr>
          <w:rFonts w:ascii="Arial" w:eastAsia="Arial" w:hAnsi="Arial" w:cs="Arial"/>
          <w:color w:val="000000"/>
          <w:sz w:val="20"/>
          <w:szCs w:val="20"/>
        </w:rPr>
        <w:t>благосостојбата</w:t>
      </w:r>
      <w:proofErr w:type="spellEnd"/>
      <w:r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E3E89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E3E89"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вклучени во клиничк</w:t>
      </w:r>
      <w:r w:rsidR="004F0C49">
        <w:rPr>
          <w:rFonts w:ascii="Arial" w:eastAsia="Arial" w:hAnsi="Arial" w:cs="Arial"/>
          <w:color w:val="000000"/>
          <w:sz w:val="20"/>
          <w:szCs w:val="20"/>
          <w:lang w:val="mk-MK"/>
        </w:rPr>
        <w:t>ите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испитувања.</w:t>
      </w:r>
    </w:p>
    <w:p w14:paraId="42110903" w14:textId="77777777" w:rsidR="00FE3E89" w:rsidRPr="00FE3E89" w:rsidRDefault="00FE3E89" w:rsidP="0045460A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229399F3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4.2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Фискални влијанија </w:t>
      </w:r>
    </w:p>
    <w:p w14:paraId="1385BB4C" w14:textId="77777777" w:rsidR="00A35AD4" w:rsidRPr="00632064" w:rsidRDefault="00A35AD4" w:rsidP="0018756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32064">
        <w:rPr>
          <w:rFonts w:ascii="Arial" w:hAnsi="Arial" w:cs="Arial"/>
          <w:sz w:val="20"/>
          <w:szCs w:val="20"/>
          <w:lang w:val="mk-MK"/>
        </w:rPr>
        <w:tab/>
      </w:r>
      <w:proofErr w:type="spellStart"/>
      <w:r w:rsidRPr="00632064">
        <w:rPr>
          <w:rFonts w:ascii="Arial" w:hAnsi="Arial" w:cs="Arial"/>
          <w:sz w:val="20"/>
          <w:szCs w:val="20"/>
        </w:rPr>
        <w:t>За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на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r w:rsidR="009127B0" w:rsidRPr="00632064">
        <w:rPr>
          <w:rFonts w:ascii="Arial" w:hAnsi="Arial" w:cs="Arial"/>
          <w:sz w:val="20"/>
          <w:szCs w:val="20"/>
          <w:lang w:val="mk-MK"/>
        </w:rPr>
        <w:t>законот</w:t>
      </w:r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што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се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предлага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2064">
        <w:rPr>
          <w:rFonts w:ascii="Arial" w:hAnsi="Arial" w:cs="Arial"/>
          <w:sz w:val="20"/>
          <w:szCs w:val="20"/>
        </w:rPr>
        <w:t>не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се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потребни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финансиски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средства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од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Буџетот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на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Република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Северна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Македонија</w:t>
      </w:r>
      <w:proofErr w:type="spellEnd"/>
      <w:r w:rsidRPr="00632064">
        <w:rPr>
          <w:rFonts w:ascii="Arial" w:hAnsi="Arial" w:cs="Arial"/>
          <w:sz w:val="20"/>
          <w:szCs w:val="20"/>
        </w:rPr>
        <w:t>.</w:t>
      </w:r>
    </w:p>
    <w:p w14:paraId="0C6F190C" w14:textId="77777777" w:rsidR="00A35AD4" w:rsidRPr="00632064" w:rsidRDefault="00A35AD4" w:rsidP="009327A9">
      <w:pPr>
        <w:spacing w:after="120"/>
        <w:jc w:val="both"/>
        <w:rPr>
          <w:rFonts w:ascii="Arial" w:hAnsi="Arial" w:cs="Arial"/>
          <w:sz w:val="20"/>
          <w:szCs w:val="20"/>
          <w:lang w:val="mk-MK"/>
        </w:rPr>
      </w:pPr>
    </w:p>
    <w:p w14:paraId="1D208AF2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32064">
        <w:rPr>
          <w:rFonts w:ascii="Arial" w:hAnsi="Arial" w:cs="Arial"/>
          <w:sz w:val="20"/>
          <w:szCs w:val="20"/>
          <w:lang w:val="mk-MK"/>
        </w:rPr>
        <w:t>4.3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Социјални влијанија </w:t>
      </w:r>
    </w:p>
    <w:p w14:paraId="047F387D" w14:textId="536DC689" w:rsidR="00FE3E89" w:rsidRPr="00FE3E89" w:rsidRDefault="008709A8" w:rsidP="00FE3E89">
      <w:pPr>
        <w:jc w:val="both"/>
        <w:rPr>
          <w:rFonts w:ascii="Arial" w:eastAsia="Arial" w:hAnsi="Arial" w:cs="Arial"/>
          <w:color w:val="000000"/>
          <w:sz w:val="20"/>
          <w:szCs w:val="20"/>
          <w:lang w:val="mk-MK"/>
        </w:rPr>
      </w:pPr>
      <w:proofErr w:type="spellStart"/>
      <w:r w:rsidRPr="00632064">
        <w:rPr>
          <w:rFonts w:ascii="Arial" w:hAnsi="Arial" w:cs="Arial"/>
          <w:sz w:val="20"/>
          <w:szCs w:val="20"/>
        </w:rPr>
        <w:t>Предложените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решенија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во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предлог</w:t>
      </w:r>
      <w:proofErr w:type="spellEnd"/>
      <w:r w:rsidR="00BB7C13" w:rsidRPr="00632064">
        <w:rPr>
          <w:rFonts w:ascii="Arial" w:hAnsi="Arial" w:cs="Arial"/>
          <w:sz w:val="20"/>
          <w:szCs w:val="20"/>
          <w:lang w:val="mk-MK"/>
        </w:rPr>
        <w:t xml:space="preserve"> з</w:t>
      </w:r>
      <w:proofErr w:type="spellStart"/>
      <w:r w:rsidRPr="00632064">
        <w:rPr>
          <w:rFonts w:ascii="Arial" w:hAnsi="Arial" w:cs="Arial"/>
          <w:sz w:val="20"/>
          <w:szCs w:val="20"/>
        </w:rPr>
        <w:t>аконот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се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очекува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да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доведат</w:t>
      </w:r>
      <w:proofErr w:type="spellEnd"/>
      <w:r w:rsidRPr="00632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</w:rPr>
        <w:t>до</w:t>
      </w:r>
      <w:proofErr w:type="spellEnd"/>
      <w:r w:rsidR="00FE3E89">
        <w:rPr>
          <w:rFonts w:ascii="Arial" w:hAnsi="Arial" w:cs="Arial"/>
          <w:sz w:val="20"/>
          <w:szCs w:val="20"/>
          <w:lang w:val="mk-MK"/>
        </w:rPr>
        <w:t xml:space="preserve"> з</w:t>
      </w:r>
      <w:r w:rsidR="00FE3E89">
        <w:rPr>
          <w:rFonts w:ascii="Arial" w:eastAsia="Times New Roman" w:hAnsi="Arial" w:cs="Arial"/>
          <w:sz w:val="20"/>
          <w:szCs w:val="20"/>
          <w:lang w:val="mk-MK" w:eastAsia="mk-MK"/>
        </w:rPr>
        <w:t xml:space="preserve">аштита на јавното здравје и </w:t>
      </w:r>
      <w:r w:rsidR="00FE3E89">
        <w:rPr>
          <w:rFonts w:ascii="Arial" w:hAnsi="Arial" w:cs="Arial"/>
          <w:sz w:val="20"/>
          <w:szCs w:val="20"/>
          <w:lang w:val="mk-MK"/>
        </w:rPr>
        <w:t>заштита на</w:t>
      </w:r>
      <w:r w:rsidR="00FE3E89" w:rsidRPr="00632064">
        <w:rPr>
          <w:rFonts w:ascii="Arial" w:hAnsi="Arial" w:cs="Arial"/>
          <w:sz w:val="20"/>
          <w:szCs w:val="20"/>
        </w:rPr>
        <w:t xml:space="preserve"> 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п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равата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безбедноста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достоинството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благосостојбата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вклучени во клиничк</w:t>
      </w:r>
      <w:r w:rsidR="004F0C49">
        <w:rPr>
          <w:rFonts w:ascii="Arial" w:eastAsia="Arial" w:hAnsi="Arial" w:cs="Arial"/>
          <w:color w:val="000000"/>
          <w:sz w:val="20"/>
          <w:szCs w:val="20"/>
          <w:lang w:val="mk-MK"/>
        </w:rPr>
        <w:t>и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те испитувања.</w:t>
      </w:r>
    </w:p>
    <w:p w14:paraId="2EA0DEB4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4.4</w:t>
      </w:r>
      <w:r w:rsidRPr="00632064">
        <w:rPr>
          <w:rFonts w:ascii="Arial" w:hAnsi="Arial" w:cs="Arial"/>
          <w:sz w:val="20"/>
          <w:szCs w:val="20"/>
          <w:lang w:val="mk-MK"/>
        </w:rPr>
        <w:tab/>
        <w:t>Влијанија врз животната средина</w:t>
      </w:r>
    </w:p>
    <w:p w14:paraId="6C8C6778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ab/>
        <w:t>/</w:t>
      </w:r>
    </w:p>
    <w:p w14:paraId="616A5CC1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4.5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Административни влијанија и трошоци  </w:t>
      </w:r>
    </w:p>
    <w:p w14:paraId="48754330" w14:textId="35665B99" w:rsidR="00A35AD4" w:rsidRPr="00632064" w:rsidRDefault="00A35AD4" w:rsidP="00FE3E89">
      <w:pPr>
        <w:spacing w:after="1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 xml:space="preserve">Предложените одредби од предлогот на законот ќе допринесат за </w:t>
      </w:r>
      <w:r w:rsidR="00FE3E89">
        <w:rPr>
          <w:rFonts w:ascii="Arial" w:hAnsi="Arial" w:cs="Arial"/>
          <w:sz w:val="20"/>
          <w:szCs w:val="20"/>
          <w:lang w:val="mk-MK"/>
        </w:rPr>
        <w:t>з</w:t>
      </w:r>
      <w:r w:rsidR="00FE3E89">
        <w:rPr>
          <w:rFonts w:ascii="Arial" w:eastAsia="Times New Roman" w:hAnsi="Arial" w:cs="Arial"/>
          <w:sz w:val="20"/>
          <w:szCs w:val="20"/>
          <w:lang w:val="mk-MK" w:eastAsia="mk-MK"/>
        </w:rPr>
        <w:t xml:space="preserve">аштита на јавното здравје и </w:t>
      </w:r>
      <w:r w:rsidR="00FE3E89">
        <w:rPr>
          <w:rFonts w:ascii="Arial" w:hAnsi="Arial" w:cs="Arial"/>
          <w:sz w:val="20"/>
          <w:szCs w:val="20"/>
          <w:lang w:val="mk-MK"/>
        </w:rPr>
        <w:t>заштита на</w:t>
      </w:r>
      <w:r w:rsidR="00FE3E89" w:rsidRPr="00632064">
        <w:rPr>
          <w:rFonts w:ascii="Arial" w:hAnsi="Arial" w:cs="Arial"/>
          <w:sz w:val="20"/>
          <w:szCs w:val="20"/>
        </w:rPr>
        <w:t xml:space="preserve"> 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п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равата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безбедноста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достоинството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благосостојбата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вклучени во клиничк</w:t>
      </w:r>
      <w:r w:rsidR="00BA5510">
        <w:rPr>
          <w:rFonts w:ascii="Arial" w:eastAsia="Arial" w:hAnsi="Arial" w:cs="Arial"/>
          <w:color w:val="000000"/>
          <w:sz w:val="20"/>
          <w:szCs w:val="20"/>
          <w:lang w:val="mk-MK"/>
        </w:rPr>
        <w:t>и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те испитувања</w:t>
      </w:r>
      <w:r w:rsidR="0045460A" w:rsidRPr="00632064">
        <w:rPr>
          <w:rFonts w:ascii="Arial" w:eastAsia="Times New Roman" w:hAnsi="Arial" w:cs="Arial"/>
          <w:sz w:val="20"/>
          <w:szCs w:val="20"/>
          <w:lang w:val="mk-MK" w:eastAsia="mk-MK"/>
        </w:rPr>
        <w:t>.</w:t>
      </w:r>
    </w:p>
    <w:p w14:paraId="559F5191" w14:textId="77777777" w:rsidR="00A35AD4" w:rsidRPr="00632064" w:rsidRDefault="00A35AD4" w:rsidP="009327A9">
      <w:pPr>
        <w:spacing w:after="120"/>
        <w:ind w:left="720"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 xml:space="preserve">а) трошоци за спроведување </w:t>
      </w:r>
    </w:p>
    <w:p w14:paraId="5C090C4E" w14:textId="77777777" w:rsidR="00A35AD4" w:rsidRPr="00632064" w:rsidRDefault="00A35AD4" w:rsidP="009327A9">
      <w:pPr>
        <w:spacing w:after="120"/>
        <w:ind w:left="720"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/</w:t>
      </w:r>
    </w:p>
    <w:p w14:paraId="6229E400" w14:textId="77777777" w:rsidR="00A35AD4" w:rsidRPr="00632064" w:rsidRDefault="00A35AD4" w:rsidP="009327A9">
      <w:pPr>
        <w:spacing w:after="120"/>
        <w:ind w:left="720"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 xml:space="preserve">б) трошоци за почитување на регулативата </w:t>
      </w:r>
    </w:p>
    <w:p w14:paraId="7C1CC1C4" w14:textId="77777777" w:rsidR="00A35AD4" w:rsidRPr="00632064" w:rsidRDefault="00A35AD4" w:rsidP="009327A9">
      <w:pPr>
        <w:spacing w:after="120"/>
        <w:ind w:left="720" w:firstLine="720"/>
        <w:jc w:val="both"/>
        <w:rPr>
          <w:rFonts w:ascii="Arial" w:hAnsi="Arial" w:cs="Arial"/>
          <w:iCs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/</w:t>
      </w:r>
    </w:p>
    <w:p w14:paraId="76428060" w14:textId="77777777" w:rsidR="00A35AD4" w:rsidRPr="00632064" w:rsidRDefault="00A35AD4" w:rsidP="00187F5B">
      <w:p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>5.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Консултации</w:t>
      </w:r>
    </w:p>
    <w:p w14:paraId="7043CC99" w14:textId="77777777" w:rsidR="00A35AD4" w:rsidRPr="00632064" w:rsidRDefault="00A35AD4" w:rsidP="00E62DC4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</w:p>
    <w:p w14:paraId="740CEECF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32064">
        <w:rPr>
          <w:rFonts w:ascii="Arial" w:hAnsi="Arial" w:cs="Arial"/>
          <w:sz w:val="20"/>
          <w:szCs w:val="20"/>
          <w:lang w:val="mk-MK"/>
        </w:rPr>
        <w:t>5.1</w:t>
      </w:r>
      <w:r w:rsidRPr="00632064">
        <w:rPr>
          <w:rFonts w:ascii="Arial" w:hAnsi="Arial" w:cs="Arial"/>
          <w:sz w:val="20"/>
          <w:szCs w:val="20"/>
          <w:lang w:val="mk-MK"/>
        </w:rPr>
        <w:tab/>
        <w:t>Засегнати страни и начин на вклучување</w:t>
      </w:r>
    </w:p>
    <w:p w14:paraId="2F326453" w14:textId="5231326B" w:rsidR="00A35AD4" w:rsidRPr="00632064" w:rsidRDefault="00EE3A13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/</w:t>
      </w:r>
    </w:p>
    <w:p w14:paraId="3B3F97FF" w14:textId="77777777" w:rsidR="00A35AD4" w:rsidRPr="00632064" w:rsidRDefault="00A35AD4" w:rsidP="009327A9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5.2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14:paraId="11B6F54B" w14:textId="77777777" w:rsidR="00A35AD4" w:rsidRPr="00632064" w:rsidRDefault="00A35AD4" w:rsidP="00E95FEA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/</w:t>
      </w:r>
    </w:p>
    <w:p w14:paraId="32ED080D" w14:textId="77777777" w:rsidR="00A35AD4" w:rsidRPr="00632064" w:rsidRDefault="00A35AD4" w:rsidP="00DC1A79">
      <w:pPr>
        <w:tabs>
          <w:tab w:val="left" w:pos="675"/>
        </w:tabs>
        <w:rPr>
          <w:rFonts w:ascii="Arial" w:hAnsi="Arial" w:cs="Arial"/>
          <w:sz w:val="20"/>
          <w:szCs w:val="20"/>
          <w:lang w:val="en-US"/>
        </w:rPr>
      </w:pPr>
    </w:p>
    <w:p w14:paraId="4A5AB157" w14:textId="77777777" w:rsidR="00A35AD4" w:rsidRPr="00632064" w:rsidRDefault="00A35AD4" w:rsidP="00E62DC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5.3</w:t>
      </w:r>
      <w:r w:rsidRPr="00632064">
        <w:rPr>
          <w:rFonts w:ascii="Arial" w:hAnsi="Arial" w:cs="Arial"/>
          <w:sz w:val="20"/>
          <w:szCs w:val="20"/>
          <w:lang w:val="mk-MK"/>
        </w:rPr>
        <w:tab/>
        <w:t>Мислењата кои не биле земени предвид и зошто</w:t>
      </w:r>
    </w:p>
    <w:p w14:paraId="14522F8C" w14:textId="77777777" w:rsidR="00A35AD4" w:rsidRPr="00632064" w:rsidRDefault="00A35AD4" w:rsidP="00E95FEA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lastRenderedPageBreak/>
        <w:t>/</w:t>
      </w:r>
    </w:p>
    <w:p w14:paraId="2FF6D8A4" w14:textId="77777777" w:rsidR="00A35AD4" w:rsidRPr="00632064" w:rsidRDefault="00A35AD4" w:rsidP="00591C8C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2BE1C9B2" w14:textId="77777777" w:rsidR="00A35AD4" w:rsidRPr="00632064" w:rsidRDefault="00A35AD4" w:rsidP="00187F5B">
      <w:p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 xml:space="preserve">6. 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Заклучоци и препорачано решение</w:t>
      </w:r>
    </w:p>
    <w:p w14:paraId="10037B66" w14:textId="77777777" w:rsidR="00A35AD4" w:rsidRPr="00632064" w:rsidRDefault="00A35AD4" w:rsidP="00591C8C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70A1A156" w14:textId="77777777" w:rsidR="00A35AD4" w:rsidRPr="00632064" w:rsidRDefault="00A35AD4" w:rsidP="00EE3A13">
      <w:pPr>
        <w:ind w:left="720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6.1</w:t>
      </w:r>
      <w:r w:rsidRPr="00632064">
        <w:rPr>
          <w:rFonts w:ascii="Arial" w:hAnsi="Arial" w:cs="Arial"/>
          <w:sz w:val="20"/>
          <w:szCs w:val="20"/>
          <w:lang w:val="mk-MK"/>
        </w:rPr>
        <w:tab/>
        <w:t>Споредбен преглед на позитивните и негативните влијанија на можните</w:t>
      </w:r>
    </w:p>
    <w:p w14:paraId="03B763AC" w14:textId="77777777" w:rsidR="00A35AD4" w:rsidRPr="00632064" w:rsidRDefault="00A35AD4" w:rsidP="00E62DC4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632064">
        <w:rPr>
          <w:rFonts w:ascii="Arial" w:hAnsi="Arial" w:cs="Arial"/>
          <w:sz w:val="20"/>
          <w:szCs w:val="20"/>
          <w:lang w:val="mk-MK"/>
        </w:rPr>
        <w:t>решенија (опции)</w:t>
      </w:r>
    </w:p>
    <w:p w14:paraId="2D7761AD" w14:textId="77777777" w:rsidR="00A35AD4" w:rsidRPr="00632064" w:rsidRDefault="00A35AD4" w:rsidP="00E62DC4">
      <w:pPr>
        <w:tabs>
          <w:tab w:val="left" w:pos="675"/>
        </w:tabs>
        <w:ind w:left="720"/>
        <w:rPr>
          <w:rFonts w:ascii="Arial" w:hAnsi="Arial" w:cs="Arial"/>
          <w:sz w:val="20"/>
          <w:szCs w:val="20"/>
          <w:lang w:val="mk-MK"/>
        </w:rPr>
      </w:pPr>
    </w:p>
    <w:p w14:paraId="57EAF96C" w14:textId="77777777" w:rsidR="00A35AD4" w:rsidRPr="00632064" w:rsidRDefault="00A35AD4" w:rsidP="00E62DC4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6.2</w:t>
      </w:r>
      <w:r w:rsidRPr="00632064">
        <w:rPr>
          <w:rFonts w:ascii="Arial" w:hAnsi="Arial" w:cs="Arial"/>
          <w:sz w:val="20"/>
          <w:szCs w:val="20"/>
          <w:lang w:val="mk-MK"/>
        </w:rPr>
        <w:tab/>
        <w:t>Ризици во спроведувањето и примената на секое од можните решенија</w:t>
      </w:r>
    </w:p>
    <w:p w14:paraId="6C6F7A53" w14:textId="77777777" w:rsidR="00A35AD4" w:rsidRPr="00632064" w:rsidRDefault="00A35AD4" w:rsidP="00E62DC4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 xml:space="preserve"> (опции)</w:t>
      </w:r>
    </w:p>
    <w:p w14:paraId="0BB4B70B" w14:textId="77777777" w:rsidR="00A35AD4" w:rsidRPr="00632064" w:rsidRDefault="00A35AD4" w:rsidP="00591C8C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2EDEE243" w14:textId="77777777" w:rsidR="00A35AD4" w:rsidRPr="00632064" w:rsidRDefault="00A35AD4" w:rsidP="00E62DC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6.3</w:t>
      </w:r>
      <w:r w:rsidRPr="00632064">
        <w:rPr>
          <w:rFonts w:ascii="Arial" w:hAnsi="Arial" w:cs="Arial"/>
          <w:sz w:val="20"/>
          <w:szCs w:val="20"/>
          <w:lang w:val="mk-MK"/>
        </w:rPr>
        <w:tab/>
        <w:t>Препорачано решение со образложение</w:t>
      </w:r>
    </w:p>
    <w:p w14:paraId="379ADFD5" w14:textId="466B9FEA" w:rsidR="00A35AD4" w:rsidRPr="00632064" w:rsidRDefault="00A35AD4" w:rsidP="00EE3A13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Предложените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решенија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треба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да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ја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достигнат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крајната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 xml:space="preserve">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цел</w:t>
      </w:r>
      <w:proofErr w:type="spellEnd"/>
      <w:r w:rsidRPr="00632064">
        <w:rPr>
          <w:rFonts w:ascii="Arial" w:hAnsi="Arial" w:cs="Arial"/>
          <w:sz w:val="20"/>
          <w:szCs w:val="20"/>
          <w:lang w:val="mk-MK" w:eastAsia="mk-MK"/>
        </w:rPr>
        <w:t>,</w:t>
      </w:r>
      <w:r w:rsidRPr="00632064">
        <w:rPr>
          <w:rFonts w:ascii="Arial" w:hAnsi="Arial" w:cs="Arial"/>
          <w:sz w:val="20"/>
          <w:szCs w:val="20"/>
          <w:lang w:eastAsia="mk-MK"/>
        </w:rPr>
        <w:t xml:space="preserve"> а </w:t>
      </w:r>
      <w:proofErr w:type="spellStart"/>
      <w:r w:rsidRPr="00632064">
        <w:rPr>
          <w:rFonts w:ascii="Arial" w:hAnsi="Arial" w:cs="Arial"/>
          <w:sz w:val="20"/>
          <w:szCs w:val="20"/>
          <w:lang w:eastAsia="mk-MK"/>
        </w:rPr>
        <w:t>тоа</w:t>
      </w:r>
      <w:proofErr w:type="spellEnd"/>
      <w:r w:rsidRPr="00632064">
        <w:rPr>
          <w:rFonts w:ascii="Arial" w:hAnsi="Arial" w:cs="Arial"/>
          <w:sz w:val="20"/>
          <w:szCs w:val="20"/>
          <w:lang w:eastAsia="mk-MK"/>
        </w:rPr>
        <w:t xml:space="preserve"> е</w:t>
      </w:r>
      <w:r w:rsidRPr="00632064">
        <w:rPr>
          <w:rFonts w:ascii="Arial" w:hAnsi="Arial" w:cs="Arial"/>
          <w:sz w:val="20"/>
          <w:szCs w:val="20"/>
          <w:lang w:val="mk-MK"/>
        </w:rPr>
        <w:t xml:space="preserve"> </w:t>
      </w:r>
      <w:r w:rsidR="00FE3E89">
        <w:rPr>
          <w:rFonts w:ascii="Arial" w:hAnsi="Arial" w:cs="Arial"/>
          <w:sz w:val="20"/>
          <w:szCs w:val="20"/>
          <w:lang w:val="mk-MK"/>
        </w:rPr>
        <w:t>з</w:t>
      </w:r>
      <w:r w:rsidR="00FE3E89">
        <w:rPr>
          <w:rFonts w:ascii="Arial" w:eastAsia="Times New Roman" w:hAnsi="Arial" w:cs="Arial"/>
          <w:sz w:val="20"/>
          <w:szCs w:val="20"/>
          <w:lang w:val="mk-MK" w:eastAsia="mk-MK"/>
        </w:rPr>
        <w:t>аштита на јавното здравје</w:t>
      </w:r>
      <w:r w:rsidR="004C64D6">
        <w:rPr>
          <w:rFonts w:ascii="Arial" w:eastAsia="Times New Roman" w:hAnsi="Arial" w:cs="Arial"/>
          <w:sz w:val="20"/>
          <w:szCs w:val="20"/>
          <w:lang w:val="mk-MK" w:eastAsia="mk-MK"/>
        </w:rPr>
        <w:t xml:space="preserve">, безбедни, сигурни и ефикасни лекови </w:t>
      </w:r>
      <w:r w:rsidR="00FE3E89">
        <w:rPr>
          <w:rFonts w:ascii="Arial" w:eastAsia="Times New Roman" w:hAnsi="Arial" w:cs="Arial"/>
          <w:sz w:val="20"/>
          <w:szCs w:val="20"/>
          <w:lang w:val="mk-MK" w:eastAsia="mk-MK"/>
        </w:rPr>
        <w:t xml:space="preserve">и </w:t>
      </w:r>
      <w:r w:rsidR="00FE3E89">
        <w:rPr>
          <w:rFonts w:ascii="Arial" w:hAnsi="Arial" w:cs="Arial"/>
          <w:sz w:val="20"/>
          <w:szCs w:val="20"/>
          <w:lang w:val="mk-MK"/>
        </w:rPr>
        <w:t>заштита на</w:t>
      </w:r>
      <w:r w:rsidR="00FE3E89" w:rsidRPr="00632064">
        <w:rPr>
          <w:rFonts w:ascii="Arial" w:hAnsi="Arial" w:cs="Arial"/>
          <w:sz w:val="20"/>
          <w:szCs w:val="20"/>
        </w:rPr>
        <w:t xml:space="preserve"> 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п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равата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безбедноста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достоинството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благосостојбата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FE3E89" w:rsidRPr="00FE3E89">
        <w:rPr>
          <w:rFonts w:ascii="Arial" w:eastAsia="Arial" w:hAnsi="Arial" w:cs="Arial"/>
          <w:color w:val="000000"/>
          <w:sz w:val="20"/>
          <w:szCs w:val="20"/>
        </w:rPr>
        <w:t>субјектите</w:t>
      </w:r>
      <w:proofErr w:type="spellEnd"/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 xml:space="preserve"> вклучени во клиничк</w:t>
      </w:r>
      <w:r w:rsidR="000A2DDD">
        <w:rPr>
          <w:rFonts w:ascii="Arial" w:eastAsia="Arial" w:hAnsi="Arial" w:cs="Arial"/>
          <w:color w:val="000000"/>
          <w:sz w:val="20"/>
          <w:szCs w:val="20"/>
          <w:lang w:val="mk-MK"/>
        </w:rPr>
        <w:t>и</w:t>
      </w:r>
      <w:r w:rsidR="00FE3E89" w:rsidRPr="00FE3E89">
        <w:rPr>
          <w:rFonts w:ascii="Arial" w:eastAsia="Arial" w:hAnsi="Arial" w:cs="Arial"/>
          <w:color w:val="000000"/>
          <w:sz w:val="20"/>
          <w:szCs w:val="20"/>
          <w:lang w:val="mk-MK"/>
        </w:rPr>
        <w:t>те испитувања</w:t>
      </w:r>
      <w:r w:rsidR="0045460A" w:rsidRPr="00632064">
        <w:rPr>
          <w:rFonts w:ascii="Arial" w:eastAsia="Times New Roman" w:hAnsi="Arial" w:cs="Arial"/>
          <w:sz w:val="20"/>
          <w:szCs w:val="20"/>
          <w:lang w:val="mk-MK" w:eastAsia="mk-MK"/>
        </w:rPr>
        <w:t>.</w:t>
      </w:r>
    </w:p>
    <w:p w14:paraId="4B89D0C2" w14:textId="77777777" w:rsidR="00A35AD4" w:rsidRPr="00632064" w:rsidRDefault="00A35AD4" w:rsidP="00591C8C">
      <w:pPr>
        <w:tabs>
          <w:tab w:val="left" w:pos="675"/>
        </w:tabs>
        <w:rPr>
          <w:rFonts w:ascii="Arial" w:hAnsi="Arial" w:cs="Arial"/>
          <w:sz w:val="20"/>
          <w:szCs w:val="20"/>
          <w:lang w:val="mk-MK"/>
        </w:rPr>
      </w:pPr>
    </w:p>
    <w:p w14:paraId="011A8F47" w14:textId="77777777" w:rsidR="00A35AD4" w:rsidRPr="00632064" w:rsidRDefault="00A35AD4" w:rsidP="00187F5B">
      <w:pPr>
        <w:shd w:val="clear" w:color="auto" w:fill="FBD4B4"/>
        <w:tabs>
          <w:tab w:val="left" w:pos="675"/>
        </w:tabs>
        <w:rPr>
          <w:rFonts w:ascii="Arial" w:hAnsi="Arial" w:cs="Arial"/>
          <w:b/>
          <w:sz w:val="20"/>
          <w:szCs w:val="20"/>
          <w:lang w:val="mk-MK"/>
        </w:rPr>
      </w:pPr>
    </w:p>
    <w:p w14:paraId="72F74060" w14:textId="77777777" w:rsidR="00A35AD4" w:rsidRPr="00632064" w:rsidRDefault="00A35AD4" w:rsidP="009327A9">
      <w:pPr>
        <w:shd w:val="clear" w:color="auto" w:fill="FBD4B4"/>
        <w:tabs>
          <w:tab w:val="left" w:pos="675"/>
        </w:tabs>
        <w:spacing w:after="120"/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>7.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Спроведување на препорачаното решение</w:t>
      </w:r>
    </w:p>
    <w:p w14:paraId="126D9BD0" w14:textId="77777777" w:rsidR="00A35AD4" w:rsidRPr="0063206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7.1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Потреба од менување на закони и подзаконска регулатива во областа или </w:t>
      </w:r>
    </w:p>
    <w:p w14:paraId="11FF4006" w14:textId="77777777" w:rsidR="00A35AD4" w:rsidRPr="0063206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632064">
        <w:rPr>
          <w:rFonts w:ascii="Arial" w:hAnsi="Arial" w:cs="Arial"/>
          <w:sz w:val="20"/>
          <w:szCs w:val="20"/>
          <w:lang w:val="mk-MK"/>
        </w:rPr>
        <w:t>други сродни области</w:t>
      </w:r>
    </w:p>
    <w:p w14:paraId="0847E845" w14:textId="58F46A3F" w:rsidR="00A35AD4" w:rsidRPr="00632064" w:rsidRDefault="004C64D6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/</w:t>
      </w:r>
    </w:p>
    <w:p w14:paraId="49A65A7C" w14:textId="167826EF" w:rsidR="00A35AD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7.2</w:t>
      </w:r>
      <w:r w:rsidRPr="00632064">
        <w:rPr>
          <w:rFonts w:ascii="Arial" w:hAnsi="Arial" w:cs="Arial"/>
          <w:sz w:val="20"/>
          <w:szCs w:val="20"/>
          <w:lang w:val="mk-MK"/>
        </w:rPr>
        <w:tab/>
        <w:t>Потребни подзаконски акти и рок за нивно донесување</w:t>
      </w:r>
    </w:p>
    <w:p w14:paraId="1A7A66AF" w14:textId="5089B26D" w:rsidR="004C64D6" w:rsidRPr="004C64D6" w:rsidRDefault="004C64D6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Подзаконските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акти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предвидени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со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овој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закон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ќе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се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донесат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во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рок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од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две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години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од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денот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на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влегување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во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сила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на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овој</w:t>
      </w:r>
      <w:proofErr w:type="spellEnd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 xml:space="preserve"> </w:t>
      </w:r>
      <w:proofErr w:type="spellStart"/>
      <w:r w:rsidRPr="00EE3A13">
        <w:rPr>
          <w:rFonts w:ascii="Arial" w:eastAsia="Times New Roman" w:hAnsi="Arial" w:cs="Arial"/>
          <w:bCs/>
          <w:kern w:val="3"/>
          <w:sz w:val="20"/>
          <w:szCs w:val="20"/>
          <w:lang w:eastAsia="en-GB"/>
        </w:rPr>
        <w:t>закон</w:t>
      </w:r>
      <w:proofErr w:type="spellEnd"/>
    </w:p>
    <w:p w14:paraId="0DEA2276" w14:textId="77777777" w:rsidR="00A35AD4" w:rsidRPr="0063206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7.3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Органи на државната управа, државни органи и други органи надлежни за </w:t>
      </w:r>
    </w:p>
    <w:p w14:paraId="2113A5CF" w14:textId="68E9AC18" w:rsidR="00632064" w:rsidRPr="00632064" w:rsidRDefault="00243A90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с</w:t>
      </w:r>
      <w:r w:rsidR="00A35AD4" w:rsidRPr="00632064">
        <w:rPr>
          <w:rFonts w:ascii="Arial" w:hAnsi="Arial" w:cs="Arial"/>
          <w:sz w:val="20"/>
          <w:szCs w:val="20"/>
          <w:lang w:val="mk-MK"/>
        </w:rPr>
        <w:t>проведување</w:t>
      </w:r>
      <w:r>
        <w:rPr>
          <w:rFonts w:ascii="Arial" w:hAnsi="Arial" w:cs="Arial"/>
          <w:sz w:val="20"/>
          <w:szCs w:val="20"/>
          <w:lang w:val="mk-MK"/>
        </w:rPr>
        <w:t xml:space="preserve"> - </w:t>
      </w:r>
      <w:r w:rsidR="00D11CEB">
        <w:rPr>
          <w:rFonts w:ascii="Arial" w:hAnsi="Arial" w:cs="Arial"/>
          <w:sz w:val="20"/>
          <w:szCs w:val="20"/>
          <w:lang w:val="mk-MK"/>
        </w:rPr>
        <w:t>Агенцијата</w:t>
      </w:r>
      <w:r w:rsidR="004C64D6">
        <w:rPr>
          <w:rFonts w:ascii="Arial" w:hAnsi="Arial" w:cs="Arial"/>
          <w:sz w:val="20"/>
          <w:szCs w:val="20"/>
          <w:lang w:val="mk-MK"/>
        </w:rPr>
        <w:t xml:space="preserve"> за лекови и медицински средства</w:t>
      </w:r>
      <w:r w:rsidR="00632064" w:rsidRPr="00632064">
        <w:rPr>
          <w:rFonts w:ascii="Arial" w:hAnsi="Arial" w:cs="Arial"/>
          <w:sz w:val="20"/>
          <w:szCs w:val="20"/>
          <w:lang w:val="mk-MK"/>
        </w:rPr>
        <w:t xml:space="preserve"> и Министерството за здравство.</w:t>
      </w:r>
    </w:p>
    <w:p w14:paraId="09CCCC4C" w14:textId="77777777" w:rsidR="00A35AD4" w:rsidRPr="0063206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7.4</w:t>
      </w:r>
      <w:r w:rsidRPr="00632064">
        <w:rPr>
          <w:rFonts w:ascii="Arial" w:hAnsi="Arial" w:cs="Arial"/>
          <w:sz w:val="20"/>
          <w:szCs w:val="20"/>
          <w:lang w:val="mk-MK"/>
        </w:rPr>
        <w:tab/>
        <w:t>Активности за обезбедување на ефикасно спроведување на предлогот на</w:t>
      </w:r>
    </w:p>
    <w:p w14:paraId="10C627C6" w14:textId="0E40F012" w:rsidR="00A35AD4" w:rsidRDefault="002D3777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З</w:t>
      </w:r>
      <w:r w:rsidR="00A35AD4" w:rsidRPr="00632064">
        <w:rPr>
          <w:rFonts w:ascii="Arial" w:hAnsi="Arial" w:cs="Arial"/>
          <w:sz w:val="20"/>
          <w:szCs w:val="20"/>
          <w:lang w:val="mk-MK"/>
        </w:rPr>
        <w:t>акон</w:t>
      </w:r>
    </w:p>
    <w:p w14:paraId="495DF609" w14:textId="2930EB80" w:rsidR="002D3777" w:rsidRPr="00632064" w:rsidRDefault="002D3777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EE3A13">
        <w:rPr>
          <w:rFonts w:ascii="StobiSerif" w:hAnsi="StobiSerif"/>
          <w:sz w:val="20"/>
          <w:szCs w:val="20"/>
          <w:lang w:val="mk-MK"/>
        </w:rPr>
        <w:t>- организирање на соодветни обуки на вработените во</w:t>
      </w:r>
      <w:r>
        <w:rPr>
          <w:rFonts w:ascii="StobiSerif" w:hAnsi="StobiSerif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Агенцијата за лекови и медицински средства</w:t>
      </w:r>
    </w:p>
    <w:p w14:paraId="1CF09832" w14:textId="77777777" w:rsidR="00A35AD4" w:rsidRPr="00632064" w:rsidRDefault="00A35AD4" w:rsidP="009327A9">
      <w:pPr>
        <w:shd w:val="clear" w:color="auto" w:fill="FBD4B4"/>
        <w:tabs>
          <w:tab w:val="left" w:pos="675"/>
        </w:tabs>
        <w:spacing w:after="120"/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>8.</w:t>
      </w:r>
      <w:r w:rsidRPr="00632064">
        <w:rPr>
          <w:rFonts w:ascii="Arial" w:hAnsi="Arial" w:cs="Arial"/>
          <w:b/>
          <w:sz w:val="20"/>
          <w:szCs w:val="20"/>
          <w:lang w:val="mk-MK"/>
        </w:rPr>
        <w:tab/>
        <w:t>Следење и евалуација</w:t>
      </w:r>
    </w:p>
    <w:p w14:paraId="33141C6A" w14:textId="77777777" w:rsidR="00A35AD4" w:rsidRPr="0063206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632064">
        <w:rPr>
          <w:rFonts w:ascii="Arial" w:hAnsi="Arial" w:cs="Arial"/>
          <w:sz w:val="20"/>
          <w:szCs w:val="20"/>
          <w:lang w:val="mk-MK"/>
        </w:rPr>
        <w:t xml:space="preserve">8.1 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Начин на следење на спроведувањето </w:t>
      </w:r>
    </w:p>
    <w:p w14:paraId="345B049C" w14:textId="77777777" w:rsidR="004C64D6" w:rsidRPr="00EE3A13" w:rsidRDefault="004C64D6" w:rsidP="004C64D6">
      <w:pPr>
        <w:shd w:val="clear" w:color="auto" w:fill="FFFFFF"/>
        <w:spacing w:after="120"/>
        <w:ind w:firstLine="720"/>
        <w:jc w:val="both"/>
        <w:rPr>
          <w:rFonts w:ascii="StobiSerif" w:eastAsia="Times New Roman" w:hAnsi="StobiSerif"/>
          <w:sz w:val="20"/>
          <w:szCs w:val="20"/>
          <w:lang w:val="mk-MK" w:eastAsia="mk-MK"/>
        </w:rPr>
      </w:pPr>
      <w:r w:rsidRPr="00EE3A13">
        <w:rPr>
          <w:rFonts w:ascii="StobiSerif" w:eastAsia="Times New Roman" w:hAnsi="StobiSerif"/>
          <w:sz w:val="20"/>
          <w:szCs w:val="20"/>
          <w:lang w:val="mk-MK" w:eastAsia="mk-MK"/>
        </w:rPr>
        <w:t xml:space="preserve">Ќе се донесе </w:t>
      </w:r>
      <w:bookmarkStart w:id="9" w:name="_Hlk491253654"/>
      <w:r w:rsidRPr="00EE3A13">
        <w:rPr>
          <w:rFonts w:ascii="StobiSerif" w:eastAsia="Times New Roman" w:hAnsi="StobiSerif"/>
          <w:sz w:val="20"/>
          <w:szCs w:val="20"/>
          <w:lang w:val="mk-MK" w:eastAsia="mk-MK"/>
        </w:rPr>
        <w:t>план за следење на спроведувањето на решенијата содржани во Законот</w:t>
      </w:r>
      <w:bookmarkEnd w:id="9"/>
      <w:r w:rsidRPr="00EE3A13">
        <w:rPr>
          <w:rFonts w:ascii="StobiSerif" w:eastAsia="Times New Roman" w:hAnsi="StobiSerif"/>
          <w:sz w:val="20"/>
          <w:szCs w:val="20"/>
          <w:lang w:val="mk-MK" w:eastAsia="mk-MK"/>
        </w:rPr>
        <w:t>, како и ќе се врши редовен инспекциски надзор над спроведувањето на одредбите од Законот.</w:t>
      </w:r>
    </w:p>
    <w:p w14:paraId="0CFFF181" w14:textId="77777777" w:rsidR="00A35AD4" w:rsidRPr="00632064" w:rsidRDefault="00A35AD4" w:rsidP="009327A9">
      <w:pPr>
        <w:spacing w:after="120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632064">
        <w:rPr>
          <w:rFonts w:ascii="Arial" w:hAnsi="Arial" w:cs="Arial"/>
          <w:sz w:val="20"/>
          <w:szCs w:val="20"/>
          <w:lang w:val="mk-MK"/>
        </w:rPr>
        <w:t>8.2</w:t>
      </w:r>
      <w:r w:rsidRPr="00632064">
        <w:rPr>
          <w:rFonts w:ascii="Arial" w:hAnsi="Arial" w:cs="Arial"/>
          <w:sz w:val="20"/>
          <w:szCs w:val="20"/>
          <w:lang w:val="mk-MK"/>
        </w:rPr>
        <w:tab/>
        <w:t xml:space="preserve">Евалуација на ефектите од предлогот на закон и рокови </w:t>
      </w:r>
    </w:p>
    <w:p w14:paraId="3F45F673" w14:textId="77777777" w:rsidR="004C64D6" w:rsidRPr="00EE3A13" w:rsidRDefault="004C64D6" w:rsidP="004C64D6">
      <w:pPr>
        <w:shd w:val="clear" w:color="auto" w:fill="FFFFFF"/>
        <w:spacing w:after="120"/>
        <w:ind w:firstLine="720"/>
        <w:jc w:val="both"/>
        <w:rPr>
          <w:rFonts w:ascii="StobiSerif" w:eastAsia="Times New Roman" w:hAnsi="StobiSerif"/>
          <w:sz w:val="20"/>
          <w:szCs w:val="20"/>
          <w:lang w:val="mk-MK" w:eastAsia="mk-MK"/>
        </w:rPr>
      </w:pPr>
      <w:r w:rsidRPr="00EE3A13">
        <w:rPr>
          <w:rFonts w:ascii="StobiSerif" w:eastAsia="Times New Roman" w:hAnsi="StobiSerif"/>
          <w:sz w:val="20"/>
          <w:szCs w:val="20"/>
          <w:lang w:val="mk-MK" w:eastAsia="mk-MK"/>
        </w:rPr>
        <w:t>Согласно Планот за следење на спроведувањето на решенијата содржани во Законот ќе се изврши евалуација на ефектите од спроведувањето на решенијата содржани во Законот.</w:t>
      </w:r>
    </w:p>
    <w:p w14:paraId="43A5E9CA" w14:textId="77777777" w:rsidR="00A35AD4" w:rsidRPr="00632064" w:rsidRDefault="00A35AD4" w:rsidP="008E7DB0">
      <w:pPr>
        <w:shd w:val="clear" w:color="auto" w:fill="FBD4B4"/>
        <w:spacing w:line="276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632064">
        <w:rPr>
          <w:rFonts w:ascii="Arial" w:hAnsi="Arial" w:cs="Arial"/>
          <w:b/>
          <w:sz w:val="20"/>
          <w:szCs w:val="20"/>
          <w:lang w:val="mk-MK"/>
        </w:rPr>
        <w:t xml:space="preserve">Изјава од </w:t>
      </w:r>
      <w:r w:rsidR="00632064">
        <w:rPr>
          <w:rFonts w:ascii="Arial" w:hAnsi="Arial" w:cs="Arial"/>
          <w:b/>
          <w:sz w:val="20"/>
          <w:szCs w:val="20"/>
          <w:lang w:val="mk-MK"/>
        </w:rPr>
        <w:t>министер</w:t>
      </w:r>
    </w:p>
    <w:p w14:paraId="4154C0A0" w14:textId="77777777" w:rsidR="00A35AD4" w:rsidRPr="00035998" w:rsidRDefault="00A35AD4" w:rsidP="008E7DB0">
      <w:pPr>
        <w:spacing w:line="276" w:lineRule="auto"/>
        <w:jc w:val="both"/>
        <w:rPr>
          <w:rFonts w:ascii="StobiSerifPro" w:hAnsi="StobiSerifPro"/>
          <w:b/>
          <w:sz w:val="18"/>
          <w:szCs w:val="18"/>
          <w:lang w:val="mk-MK"/>
        </w:rPr>
      </w:pPr>
      <w:r w:rsidRPr="00035998">
        <w:rPr>
          <w:rFonts w:ascii="StobiSerifPro Cyr" w:hAnsi="StobiSerifPro Cyr"/>
          <w:b/>
          <w:sz w:val="18"/>
          <w:szCs w:val="18"/>
          <w:lang w:val="ru-RU"/>
        </w:rPr>
        <w:t xml:space="preserve">Нацрт </w:t>
      </w:r>
      <w:r w:rsidRPr="00035998">
        <w:rPr>
          <w:rFonts w:ascii="StobiSerifPro Cyr" w:hAnsi="StobiSerifPro Cyr"/>
          <w:b/>
          <w:sz w:val="18"/>
          <w:szCs w:val="18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035998">
        <w:rPr>
          <w:rFonts w:ascii="StobiSerifPro" w:hAnsi="StobiSerifPro"/>
          <w:b/>
          <w:sz w:val="18"/>
          <w:szCs w:val="18"/>
          <w:lang w:val="ru-RU"/>
        </w:rPr>
        <w:t>.</w:t>
      </w:r>
    </w:p>
    <w:p w14:paraId="6B6E7EC2" w14:textId="77777777" w:rsidR="00A35AD4" w:rsidRPr="00035998" w:rsidRDefault="00A35AD4" w:rsidP="008E7DB0">
      <w:pPr>
        <w:spacing w:line="276" w:lineRule="auto"/>
        <w:jc w:val="both"/>
        <w:rPr>
          <w:rFonts w:ascii="StobiSerifPro" w:hAnsi="StobiSerifPro"/>
          <w:sz w:val="18"/>
          <w:szCs w:val="18"/>
          <w:lang w:val="mk-MK"/>
        </w:rPr>
      </w:pPr>
    </w:p>
    <w:p w14:paraId="0901C101" w14:textId="77777777" w:rsidR="00A35AD4" w:rsidRPr="00035998" w:rsidRDefault="00A35AD4" w:rsidP="008E7DB0">
      <w:pPr>
        <w:spacing w:line="276" w:lineRule="auto"/>
        <w:jc w:val="both"/>
        <w:rPr>
          <w:rFonts w:ascii="StobiSerifPro" w:hAnsi="StobiSerifPro"/>
          <w:b/>
          <w:sz w:val="18"/>
          <w:szCs w:val="18"/>
          <w:lang w:val="mk-MK"/>
        </w:rPr>
      </w:pPr>
      <w:r w:rsidRPr="00035998">
        <w:rPr>
          <w:rFonts w:ascii="StobiSerifPro Cyr" w:hAnsi="StobiSerifPro Cyr"/>
          <w:b/>
          <w:sz w:val="18"/>
          <w:szCs w:val="18"/>
          <w:lang w:val="mk-MK"/>
        </w:rPr>
        <w:t>Датум</w:t>
      </w:r>
      <w:r w:rsidRPr="00035998">
        <w:rPr>
          <w:rFonts w:ascii="StobiSerifPro" w:hAnsi="StobiSerifPro"/>
          <w:b/>
          <w:sz w:val="18"/>
          <w:szCs w:val="18"/>
          <w:lang w:val="ru-RU"/>
        </w:rPr>
        <w:t>:</w:t>
      </w:r>
      <w:r w:rsidRPr="00035998">
        <w:rPr>
          <w:rFonts w:ascii="StobiSerifPro" w:hAnsi="StobiSerifPro"/>
          <w:b/>
          <w:sz w:val="18"/>
          <w:szCs w:val="18"/>
          <w:lang w:val="mk-MK"/>
        </w:rPr>
        <w:t xml:space="preserve">_____________                                                                      </w:t>
      </w:r>
      <w:r w:rsidRPr="00035998">
        <w:rPr>
          <w:rFonts w:ascii="StobiSerifPro" w:hAnsi="StobiSerifPro"/>
          <w:b/>
          <w:sz w:val="18"/>
          <w:szCs w:val="18"/>
          <w:lang w:val="ru-RU"/>
        </w:rPr>
        <w:t xml:space="preserve">                   </w:t>
      </w:r>
      <w:r>
        <w:rPr>
          <w:rFonts w:ascii="StobiSerifPro" w:hAnsi="StobiSerifPro"/>
          <w:b/>
          <w:sz w:val="18"/>
          <w:szCs w:val="18"/>
          <w:lang w:val="ru-RU"/>
        </w:rPr>
        <w:t xml:space="preserve"> </w:t>
      </w:r>
      <w:r w:rsidRPr="00035998">
        <w:rPr>
          <w:rFonts w:ascii="StobiSerifPro" w:hAnsi="StobiSerifPro"/>
          <w:b/>
          <w:sz w:val="18"/>
          <w:szCs w:val="18"/>
          <w:lang w:val="ru-RU"/>
        </w:rPr>
        <w:t xml:space="preserve">   ..................................................</w:t>
      </w:r>
    </w:p>
    <w:p w14:paraId="235605D4" w14:textId="77777777" w:rsidR="00A35AD4" w:rsidRPr="00AF590E" w:rsidRDefault="00A35AD4" w:rsidP="00AF590E">
      <w:pPr>
        <w:spacing w:line="276" w:lineRule="auto"/>
        <w:jc w:val="both"/>
        <w:rPr>
          <w:rFonts w:ascii="StobiSerifPro" w:hAnsi="StobiSerifPro"/>
          <w:sz w:val="18"/>
          <w:szCs w:val="18"/>
          <w:lang w:val="mk-MK"/>
        </w:rPr>
      </w:pPr>
      <w:r w:rsidRPr="00035998">
        <w:rPr>
          <w:rFonts w:ascii="StobiSerifPro" w:hAnsi="StobiSerifPro"/>
          <w:b/>
          <w:sz w:val="18"/>
          <w:szCs w:val="18"/>
          <w:lang w:val="ru-RU"/>
        </w:rPr>
        <w:tab/>
      </w:r>
      <w:r w:rsidRPr="00035998">
        <w:rPr>
          <w:rFonts w:ascii="StobiSerifPro" w:hAnsi="StobiSerifPro"/>
          <w:b/>
          <w:sz w:val="18"/>
          <w:szCs w:val="18"/>
          <w:lang w:val="ru-RU"/>
        </w:rPr>
        <w:tab/>
      </w:r>
      <w:r w:rsidRPr="00035998">
        <w:rPr>
          <w:rFonts w:ascii="StobiSerifPro" w:hAnsi="StobiSerifPro"/>
          <w:b/>
          <w:sz w:val="18"/>
          <w:szCs w:val="18"/>
          <w:lang w:val="ru-RU"/>
        </w:rPr>
        <w:tab/>
      </w:r>
      <w:r w:rsidRPr="00035998">
        <w:rPr>
          <w:rFonts w:ascii="StobiSerifPro" w:hAnsi="StobiSerifPro"/>
          <w:b/>
          <w:sz w:val="18"/>
          <w:szCs w:val="18"/>
          <w:lang w:val="ru-RU"/>
        </w:rPr>
        <w:tab/>
      </w:r>
      <w:r w:rsidRPr="00035998">
        <w:rPr>
          <w:rFonts w:ascii="StobiSerifPro" w:hAnsi="StobiSerifPro"/>
          <w:b/>
          <w:sz w:val="18"/>
          <w:szCs w:val="18"/>
          <w:lang w:val="ru-RU"/>
        </w:rPr>
        <w:tab/>
      </w:r>
      <w:r w:rsidRPr="00035998">
        <w:rPr>
          <w:rFonts w:ascii="StobiSerifPro" w:hAnsi="StobiSerifPro"/>
          <w:b/>
          <w:sz w:val="18"/>
          <w:szCs w:val="18"/>
          <w:lang w:val="ru-RU"/>
        </w:rPr>
        <w:tab/>
      </w:r>
      <w:r>
        <w:rPr>
          <w:rFonts w:ascii="StobiSerifPro" w:hAnsi="StobiSerifPro"/>
          <w:b/>
          <w:sz w:val="18"/>
          <w:szCs w:val="18"/>
          <w:lang w:val="ru-RU"/>
        </w:rPr>
        <w:t xml:space="preserve">                                           </w:t>
      </w:r>
      <w:r w:rsidRPr="00035998">
        <w:rPr>
          <w:rFonts w:ascii="StobiSerifPro Cyr" w:hAnsi="StobiSerifPro Cyr"/>
          <w:b/>
          <w:sz w:val="18"/>
          <w:szCs w:val="18"/>
          <w:lang w:val="ru-RU"/>
        </w:rPr>
        <w:t xml:space="preserve"> </w:t>
      </w:r>
      <w:r w:rsidR="00632064">
        <w:rPr>
          <w:rFonts w:ascii="StobiSerifPro Cyr" w:hAnsi="StobiSerifPro Cyr"/>
          <w:b/>
          <w:sz w:val="18"/>
          <w:szCs w:val="18"/>
          <w:lang w:val="ru-RU"/>
        </w:rPr>
        <w:t xml:space="preserve">         </w:t>
      </w:r>
      <w:r w:rsidRPr="00035998">
        <w:rPr>
          <w:rFonts w:ascii="StobiSerifPro Cyr" w:hAnsi="StobiSerifPro Cyr"/>
          <w:b/>
          <w:sz w:val="18"/>
          <w:szCs w:val="18"/>
          <w:lang w:val="ru-RU"/>
        </w:rPr>
        <w:t xml:space="preserve">потпис на </w:t>
      </w:r>
      <w:r w:rsidR="00632064">
        <w:rPr>
          <w:rFonts w:ascii="StobiSerifPro Cyr" w:hAnsi="StobiSerifPro Cyr"/>
          <w:b/>
          <w:sz w:val="18"/>
          <w:szCs w:val="18"/>
          <w:lang w:val="mk-MK"/>
        </w:rPr>
        <w:t>министер</w:t>
      </w:r>
    </w:p>
    <w:sectPr w:rsidR="00A35AD4" w:rsidRPr="00AF590E" w:rsidSect="00CA7C9F">
      <w:headerReference w:type="default" r:id="rId10"/>
      <w:footerReference w:type="default" r:id="rId11"/>
      <w:pgSz w:w="11906" w:h="16838"/>
      <w:pgMar w:top="1440" w:right="970" w:bottom="1440" w:left="10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A1C1" w14:textId="77777777" w:rsidR="00521583" w:rsidRDefault="00521583" w:rsidP="005D078B">
      <w:r>
        <w:separator/>
      </w:r>
    </w:p>
  </w:endnote>
  <w:endnote w:type="continuationSeparator" w:id="0">
    <w:p w14:paraId="2BB77A81" w14:textId="77777777" w:rsidR="00521583" w:rsidRDefault="00521583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StobiSerif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Regular">
    <w:altName w:val="Arial"/>
    <w:charset w:val="00"/>
    <w:family w:val="roman"/>
    <w:pitch w:val="variable"/>
  </w:font>
  <w:font w:name="StobiSerifPro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6A49" w14:textId="77777777" w:rsidR="00D70F51" w:rsidRDefault="00D70F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3325">
      <w:rPr>
        <w:noProof/>
      </w:rPr>
      <w:t>1</w:t>
    </w:r>
    <w:r>
      <w:fldChar w:fldCharType="end"/>
    </w:r>
  </w:p>
  <w:p w14:paraId="019A1E35" w14:textId="77777777" w:rsidR="00D70F51" w:rsidRDefault="00D70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3767" w14:textId="77777777" w:rsidR="00521583" w:rsidRDefault="00521583" w:rsidP="005D078B">
      <w:r>
        <w:separator/>
      </w:r>
    </w:p>
  </w:footnote>
  <w:footnote w:type="continuationSeparator" w:id="0">
    <w:p w14:paraId="35542A7B" w14:textId="77777777" w:rsidR="00521583" w:rsidRDefault="00521583" w:rsidP="005D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42BE" w14:textId="77777777" w:rsidR="00D70F51" w:rsidRDefault="00A66CC2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3F702D">
      <w:rPr>
        <w:rFonts w:ascii="StobiSerif" w:hAnsi="StobiSerif"/>
        <w:noProof/>
        <w:sz w:val="22"/>
        <w:szCs w:val="22"/>
        <w:lang w:val="en-US"/>
      </w:rPr>
      <w:drawing>
        <wp:inline distT="0" distB="0" distL="0" distR="0" wp14:anchorId="3A0BA7FF" wp14:editId="6C38AAB0">
          <wp:extent cx="2458085" cy="909955"/>
          <wp:effectExtent l="0" t="0" r="0" b="0"/>
          <wp:docPr id="1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9273F" w14:textId="77777777" w:rsidR="00D70F51" w:rsidRDefault="00D70F51" w:rsidP="000B10AC">
    <w:pPr>
      <w:pStyle w:val="Header"/>
      <w:tabs>
        <w:tab w:val="clear" w:pos="4513"/>
        <w:tab w:val="clear" w:pos="9026"/>
      </w:tabs>
      <w:jc w:val="center"/>
    </w:pPr>
    <w:r w:rsidRPr="00324FB1">
      <w:rPr>
        <w:rFonts w:ascii="StobiSerif" w:hAnsi="StobiSerif"/>
        <w:b/>
        <w:noProof/>
        <w:sz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lang w:val="en-US" w:eastAsia="mk-MK"/>
      </w:rPr>
      <w:t xml:space="preserve"> </w:t>
    </w:r>
    <w:r>
      <w:rPr>
        <w:rFonts w:ascii="StobiSerif" w:hAnsi="StobiSerif"/>
        <w:b/>
        <w:noProof/>
        <w:sz w:val="20"/>
        <w:lang w:val="mk-MK" w:eastAsia="mk-MK"/>
      </w:rPr>
      <w:t>ЗДРАВСТВО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F59"/>
    <w:multiLevelType w:val="multilevel"/>
    <w:tmpl w:val="3E302A5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EA16967"/>
    <w:multiLevelType w:val="hybridMultilevel"/>
    <w:tmpl w:val="ACE440A4"/>
    <w:lvl w:ilvl="0" w:tplc="042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0F487295"/>
    <w:multiLevelType w:val="multilevel"/>
    <w:tmpl w:val="3844062A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3" w15:restartNumberingAfterBreak="0">
    <w:nsid w:val="11CF55CF"/>
    <w:multiLevelType w:val="hybridMultilevel"/>
    <w:tmpl w:val="64C665B2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6D13"/>
    <w:multiLevelType w:val="hybridMultilevel"/>
    <w:tmpl w:val="F49E1282"/>
    <w:lvl w:ilvl="0" w:tplc="AD784E02">
      <w:numFmt w:val="bullet"/>
      <w:lvlText w:val="-"/>
      <w:lvlJc w:val="left"/>
      <w:pPr>
        <w:ind w:left="720" w:hanging="360"/>
      </w:pPr>
      <w:rPr>
        <w:rFonts w:ascii="StobiSerif" w:eastAsia="Times New Roman" w:hAnsi="StobiSerif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41C"/>
    <w:multiLevelType w:val="hybridMultilevel"/>
    <w:tmpl w:val="DD081ABE"/>
    <w:lvl w:ilvl="0" w:tplc="19E82BB4">
      <w:numFmt w:val="bullet"/>
      <w:lvlText w:val="-"/>
      <w:lvlJc w:val="left"/>
      <w:pPr>
        <w:ind w:left="1080" w:hanging="360"/>
      </w:pPr>
      <w:rPr>
        <w:rFonts w:ascii="StobiSerif" w:eastAsia="Times New Roman" w:hAnsi="StobiSerif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D5908"/>
    <w:multiLevelType w:val="multilevel"/>
    <w:tmpl w:val="8682A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AC059A"/>
    <w:multiLevelType w:val="hybridMultilevel"/>
    <w:tmpl w:val="20D25AF0"/>
    <w:lvl w:ilvl="0" w:tplc="042F000F">
      <w:start w:val="1"/>
      <w:numFmt w:val="decimal"/>
      <w:lvlText w:val="%1."/>
      <w:lvlJc w:val="left"/>
      <w:pPr>
        <w:ind w:left="1395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1" w15:restartNumberingAfterBreak="0">
    <w:nsid w:val="5CF15E7E"/>
    <w:multiLevelType w:val="hybridMultilevel"/>
    <w:tmpl w:val="A82C1A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94B"/>
    <w:multiLevelType w:val="hybridMultilevel"/>
    <w:tmpl w:val="38184AFE"/>
    <w:lvl w:ilvl="0" w:tplc="CD5A7B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01425"/>
    <w:multiLevelType w:val="hybridMultilevel"/>
    <w:tmpl w:val="288E1D20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9246D"/>
    <w:multiLevelType w:val="multilevel"/>
    <w:tmpl w:val="4ACA784A"/>
    <w:styleLink w:val="WWNum3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cs="Times New Roman" w:hint="default"/>
      </w:rPr>
    </w:lvl>
  </w:abstractNum>
  <w:abstractNum w:abstractNumId="17" w15:restartNumberingAfterBreak="0">
    <w:nsid w:val="79B67DBE"/>
    <w:multiLevelType w:val="hybridMultilevel"/>
    <w:tmpl w:val="7EF63E7E"/>
    <w:lvl w:ilvl="0" w:tplc="CFD0D8A4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28CA"/>
    <w:multiLevelType w:val="hybridMultilevel"/>
    <w:tmpl w:val="95C4FB5C"/>
    <w:lvl w:ilvl="0" w:tplc="A0988F8C">
      <w:numFmt w:val="bullet"/>
      <w:lvlText w:val="-"/>
      <w:lvlJc w:val="left"/>
      <w:pPr>
        <w:ind w:left="720" w:hanging="360"/>
      </w:pPr>
      <w:rPr>
        <w:rFonts w:ascii="StobiSerif" w:eastAsia="Times New Roman" w:hAnsi="StobiSerif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9147661">
    <w:abstractNumId w:val="6"/>
  </w:num>
  <w:num w:numId="2" w16cid:durableId="955018516">
    <w:abstractNumId w:val="19"/>
  </w:num>
  <w:num w:numId="3" w16cid:durableId="1621035740">
    <w:abstractNumId w:val="4"/>
  </w:num>
  <w:num w:numId="4" w16cid:durableId="1093282850">
    <w:abstractNumId w:val="5"/>
  </w:num>
  <w:num w:numId="5" w16cid:durableId="1161891871">
    <w:abstractNumId w:val="12"/>
  </w:num>
  <w:num w:numId="6" w16cid:durableId="942805895">
    <w:abstractNumId w:val="16"/>
  </w:num>
  <w:num w:numId="7" w16cid:durableId="1528104002">
    <w:abstractNumId w:val="18"/>
  </w:num>
  <w:num w:numId="8" w16cid:durableId="204681716">
    <w:abstractNumId w:val="8"/>
  </w:num>
  <w:num w:numId="9" w16cid:durableId="467741817">
    <w:abstractNumId w:val="10"/>
  </w:num>
  <w:num w:numId="10" w16cid:durableId="1433475718">
    <w:abstractNumId w:val="17"/>
  </w:num>
  <w:num w:numId="11" w16cid:durableId="1263688157">
    <w:abstractNumId w:val="14"/>
  </w:num>
  <w:num w:numId="12" w16cid:durableId="1131897448">
    <w:abstractNumId w:val="0"/>
  </w:num>
  <w:num w:numId="13" w16cid:durableId="237449329">
    <w:abstractNumId w:val="3"/>
  </w:num>
  <w:num w:numId="14" w16cid:durableId="171263993">
    <w:abstractNumId w:val="2"/>
  </w:num>
  <w:num w:numId="15" w16cid:durableId="1753814244">
    <w:abstractNumId w:val="7"/>
  </w:num>
  <w:num w:numId="16" w16cid:durableId="663237457">
    <w:abstractNumId w:val="1"/>
  </w:num>
  <w:num w:numId="17" w16cid:durableId="1599213875">
    <w:abstractNumId w:val="11"/>
  </w:num>
  <w:num w:numId="18" w16cid:durableId="280381965">
    <w:abstractNumId w:val="9"/>
  </w:num>
  <w:num w:numId="19" w16cid:durableId="1972706412">
    <w:abstractNumId w:val="15"/>
  </w:num>
  <w:num w:numId="20" w16cid:durableId="19251393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6"/>
    <w:rsid w:val="00003149"/>
    <w:rsid w:val="000037EC"/>
    <w:rsid w:val="000048D5"/>
    <w:rsid w:val="00015512"/>
    <w:rsid w:val="0002589B"/>
    <w:rsid w:val="000352F4"/>
    <w:rsid w:val="00035998"/>
    <w:rsid w:val="000439E4"/>
    <w:rsid w:val="0005368C"/>
    <w:rsid w:val="00055437"/>
    <w:rsid w:val="0006095A"/>
    <w:rsid w:val="00061B9B"/>
    <w:rsid w:val="000633D7"/>
    <w:rsid w:val="00067008"/>
    <w:rsid w:val="00067729"/>
    <w:rsid w:val="00072558"/>
    <w:rsid w:val="0007343E"/>
    <w:rsid w:val="0007769B"/>
    <w:rsid w:val="0008367E"/>
    <w:rsid w:val="00085B49"/>
    <w:rsid w:val="000A2DDD"/>
    <w:rsid w:val="000A6B7B"/>
    <w:rsid w:val="000A77F1"/>
    <w:rsid w:val="000B10AC"/>
    <w:rsid w:val="000B146C"/>
    <w:rsid w:val="000B198F"/>
    <w:rsid w:val="000C27CE"/>
    <w:rsid w:val="000C2DFE"/>
    <w:rsid w:val="000D0C68"/>
    <w:rsid w:val="000D58B0"/>
    <w:rsid w:val="000E0336"/>
    <w:rsid w:val="000E1D2F"/>
    <w:rsid w:val="000F20BC"/>
    <w:rsid w:val="00107852"/>
    <w:rsid w:val="00114CEE"/>
    <w:rsid w:val="0012123A"/>
    <w:rsid w:val="001218DE"/>
    <w:rsid w:val="0012269B"/>
    <w:rsid w:val="00124240"/>
    <w:rsid w:val="00124BD5"/>
    <w:rsid w:val="00125D6F"/>
    <w:rsid w:val="00130A68"/>
    <w:rsid w:val="00134FC9"/>
    <w:rsid w:val="001476F9"/>
    <w:rsid w:val="00156B47"/>
    <w:rsid w:val="00161DCF"/>
    <w:rsid w:val="00162DAA"/>
    <w:rsid w:val="0016466A"/>
    <w:rsid w:val="00165403"/>
    <w:rsid w:val="00170F32"/>
    <w:rsid w:val="001744AC"/>
    <w:rsid w:val="00175B40"/>
    <w:rsid w:val="00175F64"/>
    <w:rsid w:val="001836AA"/>
    <w:rsid w:val="001852B4"/>
    <w:rsid w:val="00187194"/>
    <w:rsid w:val="00187563"/>
    <w:rsid w:val="00187F5B"/>
    <w:rsid w:val="001919B1"/>
    <w:rsid w:val="00192D85"/>
    <w:rsid w:val="00194AD7"/>
    <w:rsid w:val="00195F67"/>
    <w:rsid w:val="001A0C66"/>
    <w:rsid w:val="001A2D55"/>
    <w:rsid w:val="001A4C39"/>
    <w:rsid w:val="001B02D6"/>
    <w:rsid w:val="001B0E2D"/>
    <w:rsid w:val="001B51EC"/>
    <w:rsid w:val="001D3748"/>
    <w:rsid w:val="001D3EC3"/>
    <w:rsid w:val="001D68CF"/>
    <w:rsid w:val="001E1187"/>
    <w:rsid w:val="001E7452"/>
    <w:rsid w:val="002027AA"/>
    <w:rsid w:val="00206F46"/>
    <w:rsid w:val="00207476"/>
    <w:rsid w:val="00212EDD"/>
    <w:rsid w:val="00221332"/>
    <w:rsid w:val="00232CD6"/>
    <w:rsid w:val="00234966"/>
    <w:rsid w:val="00235145"/>
    <w:rsid w:val="0023738F"/>
    <w:rsid w:val="00237A30"/>
    <w:rsid w:val="002419C8"/>
    <w:rsid w:val="00241A74"/>
    <w:rsid w:val="00243A90"/>
    <w:rsid w:val="00256462"/>
    <w:rsid w:val="00257A1A"/>
    <w:rsid w:val="00264E36"/>
    <w:rsid w:val="00265FE8"/>
    <w:rsid w:val="002661AB"/>
    <w:rsid w:val="00280DA2"/>
    <w:rsid w:val="0028344F"/>
    <w:rsid w:val="00297CE3"/>
    <w:rsid w:val="002A7CB6"/>
    <w:rsid w:val="002A7ED0"/>
    <w:rsid w:val="002B1422"/>
    <w:rsid w:val="002D2F0A"/>
    <w:rsid w:val="002D2F19"/>
    <w:rsid w:val="002D3777"/>
    <w:rsid w:val="002E04AD"/>
    <w:rsid w:val="002E0DBC"/>
    <w:rsid w:val="002E34C4"/>
    <w:rsid w:val="002E61C5"/>
    <w:rsid w:val="002F32BE"/>
    <w:rsid w:val="00306E38"/>
    <w:rsid w:val="0032408F"/>
    <w:rsid w:val="00324FB1"/>
    <w:rsid w:val="003256B5"/>
    <w:rsid w:val="00331E38"/>
    <w:rsid w:val="003361B3"/>
    <w:rsid w:val="00360BAA"/>
    <w:rsid w:val="00361C1C"/>
    <w:rsid w:val="0036782B"/>
    <w:rsid w:val="003702F3"/>
    <w:rsid w:val="00373E68"/>
    <w:rsid w:val="00384935"/>
    <w:rsid w:val="00397C55"/>
    <w:rsid w:val="003A2646"/>
    <w:rsid w:val="003A7464"/>
    <w:rsid w:val="003B3CC1"/>
    <w:rsid w:val="003B53E6"/>
    <w:rsid w:val="003C0C5D"/>
    <w:rsid w:val="003C2AD1"/>
    <w:rsid w:val="003C3555"/>
    <w:rsid w:val="003C6968"/>
    <w:rsid w:val="003D5A8E"/>
    <w:rsid w:val="003D759D"/>
    <w:rsid w:val="003E0EF9"/>
    <w:rsid w:val="003E1B7F"/>
    <w:rsid w:val="003F0F61"/>
    <w:rsid w:val="003F702D"/>
    <w:rsid w:val="0041785E"/>
    <w:rsid w:val="00417E88"/>
    <w:rsid w:val="0042602D"/>
    <w:rsid w:val="0043132E"/>
    <w:rsid w:val="00440B0F"/>
    <w:rsid w:val="004461D8"/>
    <w:rsid w:val="00446535"/>
    <w:rsid w:val="00446923"/>
    <w:rsid w:val="0045460A"/>
    <w:rsid w:val="004550B7"/>
    <w:rsid w:val="00455DB3"/>
    <w:rsid w:val="004628D6"/>
    <w:rsid w:val="0046334E"/>
    <w:rsid w:val="00465D8D"/>
    <w:rsid w:val="004666DE"/>
    <w:rsid w:val="00482CD6"/>
    <w:rsid w:val="00484181"/>
    <w:rsid w:val="0049117A"/>
    <w:rsid w:val="0049362F"/>
    <w:rsid w:val="0049749E"/>
    <w:rsid w:val="004A38D5"/>
    <w:rsid w:val="004A4C8B"/>
    <w:rsid w:val="004B09FF"/>
    <w:rsid w:val="004B79FB"/>
    <w:rsid w:val="004C2CAB"/>
    <w:rsid w:val="004C2DDB"/>
    <w:rsid w:val="004C64D6"/>
    <w:rsid w:val="004C78BA"/>
    <w:rsid w:val="004D22F0"/>
    <w:rsid w:val="004D2B8B"/>
    <w:rsid w:val="004D5428"/>
    <w:rsid w:val="004E063F"/>
    <w:rsid w:val="004E25C6"/>
    <w:rsid w:val="004F0C49"/>
    <w:rsid w:val="004F24F9"/>
    <w:rsid w:val="004F384F"/>
    <w:rsid w:val="004F507B"/>
    <w:rsid w:val="00501DD6"/>
    <w:rsid w:val="00507ADB"/>
    <w:rsid w:val="00512FB8"/>
    <w:rsid w:val="005141FF"/>
    <w:rsid w:val="005157B0"/>
    <w:rsid w:val="00521583"/>
    <w:rsid w:val="0052528D"/>
    <w:rsid w:val="00531474"/>
    <w:rsid w:val="00533977"/>
    <w:rsid w:val="005359CD"/>
    <w:rsid w:val="00540116"/>
    <w:rsid w:val="00542040"/>
    <w:rsid w:val="00553A01"/>
    <w:rsid w:val="00561480"/>
    <w:rsid w:val="0056167F"/>
    <w:rsid w:val="00566B4B"/>
    <w:rsid w:val="005727D0"/>
    <w:rsid w:val="00581D52"/>
    <w:rsid w:val="00590948"/>
    <w:rsid w:val="005918AE"/>
    <w:rsid w:val="00591C8C"/>
    <w:rsid w:val="005A1DCC"/>
    <w:rsid w:val="005A273E"/>
    <w:rsid w:val="005A2F24"/>
    <w:rsid w:val="005A7F54"/>
    <w:rsid w:val="005C0380"/>
    <w:rsid w:val="005D078B"/>
    <w:rsid w:val="005D0CB8"/>
    <w:rsid w:val="005E4D3D"/>
    <w:rsid w:val="005E583D"/>
    <w:rsid w:val="005F0A31"/>
    <w:rsid w:val="005F40B5"/>
    <w:rsid w:val="005F78BE"/>
    <w:rsid w:val="00602363"/>
    <w:rsid w:val="00605AC4"/>
    <w:rsid w:val="0062524F"/>
    <w:rsid w:val="00631C96"/>
    <w:rsid w:val="00632064"/>
    <w:rsid w:val="0063477A"/>
    <w:rsid w:val="00642835"/>
    <w:rsid w:val="00645F3E"/>
    <w:rsid w:val="006528BA"/>
    <w:rsid w:val="00655478"/>
    <w:rsid w:val="0066032B"/>
    <w:rsid w:val="00663833"/>
    <w:rsid w:val="00666D1E"/>
    <w:rsid w:val="00670195"/>
    <w:rsid w:val="00670EE1"/>
    <w:rsid w:val="006734FF"/>
    <w:rsid w:val="0067554A"/>
    <w:rsid w:val="00677E86"/>
    <w:rsid w:val="006864F1"/>
    <w:rsid w:val="0068712D"/>
    <w:rsid w:val="00692E09"/>
    <w:rsid w:val="006A1297"/>
    <w:rsid w:val="006A2250"/>
    <w:rsid w:val="006A5FBC"/>
    <w:rsid w:val="006C3F95"/>
    <w:rsid w:val="006D3EBE"/>
    <w:rsid w:val="006E7399"/>
    <w:rsid w:val="006F1327"/>
    <w:rsid w:val="006F2DC7"/>
    <w:rsid w:val="006F3A1E"/>
    <w:rsid w:val="006F3F28"/>
    <w:rsid w:val="006F6A5D"/>
    <w:rsid w:val="00701E4B"/>
    <w:rsid w:val="00701FBD"/>
    <w:rsid w:val="00702BFC"/>
    <w:rsid w:val="00710210"/>
    <w:rsid w:val="00745B50"/>
    <w:rsid w:val="00753914"/>
    <w:rsid w:val="00754854"/>
    <w:rsid w:val="00757975"/>
    <w:rsid w:val="00757FCC"/>
    <w:rsid w:val="00767BDE"/>
    <w:rsid w:val="00781C95"/>
    <w:rsid w:val="007A24A7"/>
    <w:rsid w:val="007B47AF"/>
    <w:rsid w:val="007D072F"/>
    <w:rsid w:val="007D1662"/>
    <w:rsid w:val="007D33FA"/>
    <w:rsid w:val="007E1A92"/>
    <w:rsid w:val="007E333A"/>
    <w:rsid w:val="007E6A7A"/>
    <w:rsid w:val="007F181B"/>
    <w:rsid w:val="007F6CEE"/>
    <w:rsid w:val="008063DE"/>
    <w:rsid w:val="0081643D"/>
    <w:rsid w:val="00817509"/>
    <w:rsid w:val="0082476B"/>
    <w:rsid w:val="00830821"/>
    <w:rsid w:val="008325D6"/>
    <w:rsid w:val="00836C90"/>
    <w:rsid w:val="00851B07"/>
    <w:rsid w:val="00855CE5"/>
    <w:rsid w:val="008709A8"/>
    <w:rsid w:val="0087764B"/>
    <w:rsid w:val="008808D7"/>
    <w:rsid w:val="008876A5"/>
    <w:rsid w:val="00893725"/>
    <w:rsid w:val="00895372"/>
    <w:rsid w:val="008A1D7A"/>
    <w:rsid w:val="008A22B9"/>
    <w:rsid w:val="008A5C52"/>
    <w:rsid w:val="008B04DF"/>
    <w:rsid w:val="008B0EC9"/>
    <w:rsid w:val="008B0F27"/>
    <w:rsid w:val="008C3EB0"/>
    <w:rsid w:val="008D4415"/>
    <w:rsid w:val="008D48E4"/>
    <w:rsid w:val="008E0654"/>
    <w:rsid w:val="008E1840"/>
    <w:rsid w:val="008E7DB0"/>
    <w:rsid w:val="00902B99"/>
    <w:rsid w:val="00911B86"/>
    <w:rsid w:val="009127B0"/>
    <w:rsid w:val="0091542E"/>
    <w:rsid w:val="00915DC3"/>
    <w:rsid w:val="009234AE"/>
    <w:rsid w:val="00925B6A"/>
    <w:rsid w:val="009318F9"/>
    <w:rsid w:val="009327A9"/>
    <w:rsid w:val="009340C9"/>
    <w:rsid w:val="009369BE"/>
    <w:rsid w:val="00946798"/>
    <w:rsid w:val="009500C2"/>
    <w:rsid w:val="0097159F"/>
    <w:rsid w:val="00973CBD"/>
    <w:rsid w:val="00980556"/>
    <w:rsid w:val="009824D5"/>
    <w:rsid w:val="009828BF"/>
    <w:rsid w:val="00983FD7"/>
    <w:rsid w:val="009841AE"/>
    <w:rsid w:val="009866CD"/>
    <w:rsid w:val="00991E21"/>
    <w:rsid w:val="009C2EE5"/>
    <w:rsid w:val="009C2EF1"/>
    <w:rsid w:val="009C3116"/>
    <w:rsid w:val="009C5DF0"/>
    <w:rsid w:val="009D48EE"/>
    <w:rsid w:val="009E0C3F"/>
    <w:rsid w:val="009E6967"/>
    <w:rsid w:val="009E6EDB"/>
    <w:rsid w:val="009E7BEC"/>
    <w:rsid w:val="009F562C"/>
    <w:rsid w:val="009F5772"/>
    <w:rsid w:val="00A003D3"/>
    <w:rsid w:val="00A07075"/>
    <w:rsid w:val="00A07197"/>
    <w:rsid w:val="00A106B3"/>
    <w:rsid w:val="00A22142"/>
    <w:rsid w:val="00A35AD4"/>
    <w:rsid w:val="00A411FA"/>
    <w:rsid w:val="00A42206"/>
    <w:rsid w:val="00A4639C"/>
    <w:rsid w:val="00A50196"/>
    <w:rsid w:val="00A5132C"/>
    <w:rsid w:val="00A56537"/>
    <w:rsid w:val="00A63300"/>
    <w:rsid w:val="00A66CC2"/>
    <w:rsid w:val="00A72CE7"/>
    <w:rsid w:val="00A9174B"/>
    <w:rsid w:val="00A94176"/>
    <w:rsid w:val="00A94E8B"/>
    <w:rsid w:val="00AA7B58"/>
    <w:rsid w:val="00AB3325"/>
    <w:rsid w:val="00AC2A19"/>
    <w:rsid w:val="00AC7363"/>
    <w:rsid w:val="00AD17DF"/>
    <w:rsid w:val="00AD3D6A"/>
    <w:rsid w:val="00AE3D51"/>
    <w:rsid w:val="00AF02DD"/>
    <w:rsid w:val="00AF1930"/>
    <w:rsid w:val="00AF590E"/>
    <w:rsid w:val="00AF6305"/>
    <w:rsid w:val="00B020B6"/>
    <w:rsid w:val="00B03D61"/>
    <w:rsid w:val="00B07120"/>
    <w:rsid w:val="00B11182"/>
    <w:rsid w:val="00B121C6"/>
    <w:rsid w:val="00B22971"/>
    <w:rsid w:val="00B25FB1"/>
    <w:rsid w:val="00B262AC"/>
    <w:rsid w:val="00B406FC"/>
    <w:rsid w:val="00B413F0"/>
    <w:rsid w:val="00B50BD2"/>
    <w:rsid w:val="00B53720"/>
    <w:rsid w:val="00B54ABA"/>
    <w:rsid w:val="00B62F42"/>
    <w:rsid w:val="00B73551"/>
    <w:rsid w:val="00B763E7"/>
    <w:rsid w:val="00B808EF"/>
    <w:rsid w:val="00B86F35"/>
    <w:rsid w:val="00B909C0"/>
    <w:rsid w:val="00B95D30"/>
    <w:rsid w:val="00BA0DB9"/>
    <w:rsid w:val="00BA18E7"/>
    <w:rsid w:val="00BA5510"/>
    <w:rsid w:val="00BA731B"/>
    <w:rsid w:val="00BB0FA1"/>
    <w:rsid w:val="00BB13A3"/>
    <w:rsid w:val="00BB4C59"/>
    <w:rsid w:val="00BB6650"/>
    <w:rsid w:val="00BB78A8"/>
    <w:rsid w:val="00BB7C13"/>
    <w:rsid w:val="00BC41FA"/>
    <w:rsid w:val="00BD37BC"/>
    <w:rsid w:val="00BE38D9"/>
    <w:rsid w:val="00BE55BF"/>
    <w:rsid w:val="00BF15BB"/>
    <w:rsid w:val="00BF3641"/>
    <w:rsid w:val="00BF5164"/>
    <w:rsid w:val="00BF781A"/>
    <w:rsid w:val="00C1070B"/>
    <w:rsid w:val="00C11672"/>
    <w:rsid w:val="00C13CD4"/>
    <w:rsid w:val="00C408E1"/>
    <w:rsid w:val="00C45BB9"/>
    <w:rsid w:val="00C47AA7"/>
    <w:rsid w:val="00C51C12"/>
    <w:rsid w:val="00C53BBF"/>
    <w:rsid w:val="00C53E27"/>
    <w:rsid w:val="00C54C8F"/>
    <w:rsid w:val="00C55AEF"/>
    <w:rsid w:val="00C57C41"/>
    <w:rsid w:val="00C60F2E"/>
    <w:rsid w:val="00C64AA5"/>
    <w:rsid w:val="00C666E1"/>
    <w:rsid w:val="00C748FF"/>
    <w:rsid w:val="00C771C6"/>
    <w:rsid w:val="00C81A9A"/>
    <w:rsid w:val="00C84E1C"/>
    <w:rsid w:val="00C90D73"/>
    <w:rsid w:val="00C95479"/>
    <w:rsid w:val="00C966BD"/>
    <w:rsid w:val="00CA0DB7"/>
    <w:rsid w:val="00CA1CD6"/>
    <w:rsid w:val="00CA7928"/>
    <w:rsid w:val="00CA7C9F"/>
    <w:rsid w:val="00CB1448"/>
    <w:rsid w:val="00CB16F6"/>
    <w:rsid w:val="00CB64B8"/>
    <w:rsid w:val="00CC2D48"/>
    <w:rsid w:val="00CC42E3"/>
    <w:rsid w:val="00CD34BD"/>
    <w:rsid w:val="00CF17AD"/>
    <w:rsid w:val="00CF785A"/>
    <w:rsid w:val="00D03074"/>
    <w:rsid w:val="00D04174"/>
    <w:rsid w:val="00D100CE"/>
    <w:rsid w:val="00D11CEB"/>
    <w:rsid w:val="00D22484"/>
    <w:rsid w:val="00D247A3"/>
    <w:rsid w:val="00D27E56"/>
    <w:rsid w:val="00D445B8"/>
    <w:rsid w:val="00D50A39"/>
    <w:rsid w:val="00D56D75"/>
    <w:rsid w:val="00D57FCC"/>
    <w:rsid w:val="00D70F51"/>
    <w:rsid w:val="00D742F3"/>
    <w:rsid w:val="00D8668E"/>
    <w:rsid w:val="00D90A49"/>
    <w:rsid w:val="00D94BB8"/>
    <w:rsid w:val="00D960D8"/>
    <w:rsid w:val="00D9611D"/>
    <w:rsid w:val="00DA07B2"/>
    <w:rsid w:val="00DA3CF0"/>
    <w:rsid w:val="00DA6A84"/>
    <w:rsid w:val="00DA70B4"/>
    <w:rsid w:val="00DB3170"/>
    <w:rsid w:val="00DB50A6"/>
    <w:rsid w:val="00DC1A79"/>
    <w:rsid w:val="00DC2CEF"/>
    <w:rsid w:val="00DC4158"/>
    <w:rsid w:val="00DE49F3"/>
    <w:rsid w:val="00DF0B26"/>
    <w:rsid w:val="00DF57FE"/>
    <w:rsid w:val="00E04154"/>
    <w:rsid w:val="00E057E1"/>
    <w:rsid w:val="00E15938"/>
    <w:rsid w:val="00E17C31"/>
    <w:rsid w:val="00E210E0"/>
    <w:rsid w:val="00E45C16"/>
    <w:rsid w:val="00E45EAB"/>
    <w:rsid w:val="00E515F2"/>
    <w:rsid w:val="00E5343F"/>
    <w:rsid w:val="00E57F21"/>
    <w:rsid w:val="00E62DC4"/>
    <w:rsid w:val="00E75594"/>
    <w:rsid w:val="00E82D9E"/>
    <w:rsid w:val="00E95FEA"/>
    <w:rsid w:val="00EA347C"/>
    <w:rsid w:val="00EA4722"/>
    <w:rsid w:val="00EA6127"/>
    <w:rsid w:val="00EB2768"/>
    <w:rsid w:val="00EB7E86"/>
    <w:rsid w:val="00EE12C3"/>
    <w:rsid w:val="00EE3A13"/>
    <w:rsid w:val="00EE7303"/>
    <w:rsid w:val="00EF0488"/>
    <w:rsid w:val="00EF0734"/>
    <w:rsid w:val="00EF115E"/>
    <w:rsid w:val="00EF65EE"/>
    <w:rsid w:val="00F008E3"/>
    <w:rsid w:val="00F06AA8"/>
    <w:rsid w:val="00F17080"/>
    <w:rsid w:val="00F17A07"/>
    <w:rsid w:val="00F26D0B"/>
    <w:rsid w:val="00F36119"/>
    <w:rsid w:val="00F45A38"/>
    <w:rsid w:val="00F57166"/>
    <w:rsid w:val="00F66307"/>
    <w:rsid w:val="00F71094"/>
    <w:rsid w:val="00F72070"/>
    <w:rsid w:val="00F7565D"/>
    <w:rsid w:val="00FA42BF"/>
    <w:rsid w:val="00FB156D"/>
    <w:rsid w:val="00FC0899"/>
    <w:rsid w:val="00FC1B7E"/>
    <w:rsid w:val="00FD0A37"/>
    <w:rsid w:val="00FE3E89"/>
    <w:rsid w:val="00FE6594"/>
    <w:rsid w:val="00FF030B"/>
    <w:rsid w:val="00FF5E98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22A4D"/>
  <w15:chartTrackingRefBased/>
  <w15:docId w15:val="{A79EF66D-DD33-F64C-94E2-4F3E40B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116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4722"/>
    <w:pPr>
      <w:keepNext/>
      <w:keepLines/>
      <w:numPr>
        <w:numId w:val="12"/>
      </w:numPr>
      <w:shd w:val="clear" w:color="auto" w:fill="CCFFFF"/>
      <w:tabs>
        <w:tab w:val="left" w:pos="675"/>
      </w:tabs>
      <w:spacing w:before="360" w:after="240" w:line="276" w:lineRule="auto"/>
      <w:ind w:left="425" w:hanging="357"/>
      <w:jc w:val="both"/>
      <w:outlineLvl w:val="0"/>
    </w:pPr>
    <w:rPr>
      <w:rFonts w:ascii="Arial" w:hAnsi="Arial"/>
      <w:b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3Char">
    <w:name w:val="Body Text 3 Char"/>
    <w:link w:val="BodyText3"/>
    <w:locked/>
    <w:rsid w:val="009C3116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D078B"/>
    <w:pPr>
      <w:tabs>
        <w:tab w:val="center" w:pos="4513"/>
        <w:tab w:val="right" w:pos="9026"/>
      </w:tabs>
    </w:pPr>
    <w:rPr>
      <w:szCs w:val="20"/>
      <w:lang w:eastAsia="x-none"/>
    </w:rPr>
  </w:style>
  <w:style w:type="character" w:customStyle="1" w:styleId="HeaderChar">
    <w:name w:val="Header Char"/>
    <w:link w:val="Header"/>
    <w:locked/>
    <w:rsid w:val="005D078B"/>
    <w:rPr>
      <w:rFonts w:ascii="Times New Roman" w:hAnsi="Times New Roman"/>
      <w:sz w:val="24"/>
      <w:lang w:val="en-GB" w:eastAsia="x-none"/>
    </w:rPr>
  </w:style>
  <w:style w:type="paragraph" w:styleId="Footer">
    <w:name w:val="footer"/>
    <w:basedOn w:val="Normal"/>
    <w:link w:val="FooterChar"/>
    <w:rsid w:val="005D078B"/>
    <w:pPr>
      <w:tabs>
        <w:tab w:val="center" w:pos="4513"/>
        <w:tab w:val="right" w:pos="9026"/>
      </w:tabs>
    </w:pPr>
    <w:rPr>
      <w:szCs w:val="20"/>
      <w:lang w:eastAsia="x-none"/>
    </w:rPr>
  </w:style>
  <w:style w:type="character" w:customStyle="1" w:styleId="FooterChar">
    <w:name w:val="Footer Char"/>
    <w:link w:val="Footer"/>
    <w:locked/>
    <w:rsid w:val="005D078B"/>
    <w:rPr>
      <w:rFonts w:ascii="Times New Roman" w:hAnsi="Times New Roman"/>
      <w:sz w:val="24"/>
      <w:lang w:val="en-GB" w:eastAsia="x-none"/>
    </w:rPr>
  </w:style>
  <w:style w:type="table" w:styleId="TableGrid">
    <w:name w:val="Table Grid"/>
    <w:basedOn w:val="TableNormal"/>
    <w:rsid w:val="007F18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F1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semiHidden/>
    <w:rsid w:val="00BB78A8"/>
    <w:rPr>
      <w:sz w:val="16"/>
    </w:rPr>
  </w:style>
  <w:style w:type="paragraph" w:styleId="CommentText">
    <w:name w:val="annotation text"/>
    <w:basedOn w:val="Normal"/>
    <w:link w:val="CommentTextChar"/>
    <w:semiHidden/>
    <w:rsid w:val="00BB78A8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locked/>
    <w:rsid w:val="00BB78A8"/>
    <w:rPr>
      <w:rFonts w:ascii="Times New Roman" w:hAnsi="Times New Roman"/>
      <w:sz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8A8"/>
    <w:rPr>
      <w:b/>
    </w:rPr>
  </w:style>
  <w:style w:type="character" w:customStyle="1" w:styleId="CommentSubjectChar">
    <w:name w:val="Comment Subject Char"/>
    <w:link w:val="CommentSubject"/>
    <w:semiHidden/>
    <w:locked/>
    <w:rsid w:val="00BB78A8"/>
    <w:rPr>
      <w:rFonts w:ascii="Times New Roman" w:hAnsi="Times New Roman"/>
      <w:b/>
      <w:sz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BB78A8"/>
    <w:rPr>
      <w:rFonts w:ascii="Tahoma" w:hAnsi="Tahoma"/>
      <w:sz w:val="16"/>
      <w:szCs w:val="20"/>
      <w:lang w:eastAsia="x-none"/>
    </w:rPr>
  </w:style>
  <w:style w:type="character" w:customStyle="1" w:styleId="BalloonTextChar">
    <w:name w:val="Balloon Text Char"/>
    <w:link w:val="BalloonText"/>
    <w:semiHidden/>
    <w:locked/>
    <w:rsid w:val="00BB78A8"/>
    <w:rPr>
      <w:rFonts w:ascii="Tahoma" w:hAnsi="Tahoma"/>
      <w:sz w:val="16"/>
      <w:lang w:val="en-GB" w:eastAsia="x-none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styleId="Hyperlink">
    <w:name w:val="Hyperlink"/>
    <w:rsid w:val="00A9174B"/>
    <w:rPr>
      <w:color w:val="0000FF"/>
      <w:u w:val="single"/>
    </w:rPr>
  </w:style>
  <w:style w:type="paragraph" w:customStyle="1" w:styleId="Tekst">
    <w:name w:val="Tekst"/>
    <w:basedOn w:val="Normal"/>
    <w:link w:val="TekstChar"/>
    <w:rsid w:val="00D9611D"/>
    <w:pPr>
      <w:shd w:val="clear" w:color="auto" w:fill="FFFFFF"/>
      <w:spacing w:after="120"/>
      <w:ind w:firstLine="72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Char">
    <w:name w:val="Tekst Char"/>
    <w:link w:val="Tekst"/>
    <w:locked/>
    <w:rsid w:val="00D9611D"/>
    <w:rPr>
      <w:rFonts w:ascii="Arial" w:hAnsi="Arial"/>
      <w:sz w:val="22"/>
      <w:shd w:val="clear" w:color="auto" w:fill="FFFFFF"/>
    </w:rPr>
  </w:style>
  <w:style w:type="paragraph" w:customStyle="1" w:styleId="1tekst">
    <w:name w:val="1tekst"/>
    <w:basedOn w:val="Normal"/>
    <w:rsid w:val="00D9611D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Stavovi">
    <w:name w:val="Stavovi"/>
    <w:basedOn w:val="Normal"/>
    <w:link w:val="StavoviChar"/>
    <w:autoRedefine/>
    <w:rsid w:val="00D9611D"/>
    <w:pPr>
      <w:tabs>
        <w:tab w:val="left" w:pos="0"/>
      </w:tabs>
      <w:spacing w:before="60" w:after="60"/>
      <w:ind w:firstLine="720"/>
      <w:jc w:val="both"/>
    </w:pPr>
    <w:rPr>
      <w:rFonts w:ascii="StobiSerif Regular" w:hAnsi="StobiSerif Regular"/>
      <w:sz w:val="22"/>
      <w:szCs w:val="20"/>
      <w:lang w:val="x-none" w:eastAsia="x-none"/>
    </w:rPr>
  </w:style>
  <w:style w:type="character" w:customStyle="1" w:styleId="StavoviChar">
    <w:name w:val="Stavovi Char"/>
    <w:link w:val="Stavovi"/>
    <w:locked/>
    <w:rsid w:val="00D9611D"/>
    <w:rPr>
      <w:rFonts w:ascii="StobiSerif Regular" w:hAnsi="StobiSerif Regular"/>
      <w:sz w:val="22"/>
    </w:rPr>
  </w:style>
  <w:style w:type="character" w:customStyle="1" w:styleId="Heading1Char">
    <w:name w:val="Heading 1 Char"/>
    <w:link w:val="Heading1"/>
    <w:locked/>
    <w:rsid w:val="00EA4722"/>
    <w:rPr>
      <w:rFonts w:ascii="Arial" w:hAnsi="Arial" w:cs="Times New Roman"/>
      <w:b/>
      <w:sz w:val="22"/>
      <w:szCs w:val="22"/>
      <w:shd w:val="clear" w:color="auto" w:fill="CCFFFF"/>
      <w:lang w:val="x-none" w:eastAsia="en-US"/>
    </w:rPr>
  </w:style>
  <w:style w:type="paragraph" w:styleId="Revision">
    <w:name w:val="Revision"/>
    <w:hidden/>
    <w:uiPriority w:val="99"/>
    <w:semiHidden/>
    <w:rsid w:val="00FA42BF"/>
    <w:rPr>
      <w:rFonts w:ascii="Times New Roman" w:hAnsi="Times New Roman"/>
      <w:sz w:val="24"/>
      <w:szCs w:val="24"/>
      <w:lang w:val="en-GB"/>
    </w:rPr>
  </w:style>
  <w:style w:type="paragraph" w:customStyle="1" w:styleId="Standard">
    <w:name w:val="Standard"/>
    <w:rsid w:val="00A411FA"/>
    <w:pPr>
      <w:suppressAutoHyphens/>
      <w:autoSpaceDN w:val="0"/>
      <w:jc w:val="both"/>
      <w:textAlignment w:val="baseline"/>
    </w:pPr>
    <w:rPr>
      <w:rFonts w:ascii="StobiSans Regular" w:eastAsia="Times New Roman" w:hAnsi="StobiSans Regular"/>
      <w:kern w:val="3"/>
      <w:sz w:val="24"/>
      <w:szCs w:val="24"/>
      <w:lang w:val="mk-MK" w:eastAsia="en-GB"/>
    </w:rPr>
  </w:style>
  <w:style w:type="numbering" w:customStyle="1" w:styleId="WWNum37">
    <w:name w:val="WWNum37"/>
    <w:basedOn w:val="NoList"/>
    <w:rsid w:val="00A411F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21D548E3BE487241ACB17E108774BAE2" ma:contentTypeVersion="" ma:contentTypeDescription="" ma:contentTypeScope="" ma:versionID="2cab06fc59b66aabbec2663bffbd1a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C89F8-C6D2-4A61-986A-70478883A2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E11172-4394-4BEA-B889-1A481A0912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D473F4-7B2C-4A67-A049-F13FFD56F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ПВР</vt:lpstr>
    </vt:vector>
  </TitlesOfParts>
  <Company>Microsoft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ПВР</dc:title>
  <dc:subject/>
  <dc:creator>Angelina Bacanovik</dc:creator>
  <cp:keywords/>
  <cp:lastModifiedBy>Angelina Bacanovik</cp:lastModifiedBy>
  <cp:revision>2</cp:revision>
  <cp:lastPrinted>2019-05-13T05:54:00Z</cp:lastPrinted>
  <dcterms:created xsi:type="dcterms:W3CDTF">2022-07-11T10:41:00Z</dcterms:created>
  <dcterms:modified xsi:type="dcterms:W3CDTF">2022-07-11T10:41:00Z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sts|gordana.ivanova</vt:lpwstr>
  </property>
  <property fmtid="{D5CDD505-2E9C-101B-9397-08002B2CF9AE}" pid="3" name="Title">
    <vt:lpwstr>Извештај за ПВР</vt:lpwstr>
  </property>
  <property fmtid="{D5CDD505-2E9C-101B-9397-08002B2CF9AE}" pid="4" name="ModifiedBy">
    <vt:lpwstr>i:0e.t|e-vlada.mk sts|gordana.ivanova</vt:lpwstr>
  </property>
</Properties>
</file>