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C5B" w:rsidRPr="008D1DEF" w:rsidRDefault="008F1C5B" w:rsidP="008F1C5B">
      <w:pPr>
        <w:jc w:val="center"/>
        <w:rPr>
          <w:rFonts w:ascii="StobiSerifPro" w:hAnsi="StobiSerifPro"/>
          <w:b/>
          <w:sz w:val="22"/>
          <w:szCs w:val="22"/>
          <w:lang w:val="mk-MK"/>
        </w:rPr>
      </w:pPr>
      <w:r w:rsidRPr="00215C47">
        <w:rPr>
          <w:rFonts w:ascii="StobiSerifPro" w:hAnsi="StobiSerifPro"/>
          <w:b/>
          <w:sz w:val="22"/>
          <w:szCs w:val="22"/>
          <w:lang w:val="mk-MK"/>
        </w:rPr>
        <w:t xml:space="preserve">ИЗВЕСТУВАЊЕ ЗА ПОЧЕТОК НА ПРОЦЕСОТ ЗА ПОДГОТОВКА НА ПРЕДЛОГ ЗАКОН </w:t>
      </w:r>
    </w:p>
    <w:p w:rsidR="008F1C5B" w:rsidRPr="00215C47" w:rsidRDefault="008F1C5B" w:rsidP="008F1C5B">
      <w:pPr>
        <w:jc w:val="center"/>
        <w:rPr>
          <w:rFonts w:ascii="StobiSerifPro" w:hAnsi="StobiSerifPro"/>
          <w:b/>
          <w:sz w:val="22"/>
          <w:szCs w:val="22"/>
          <w:lang w:val="mk-M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2936"/>
        <w:gridCol w:w="2937"/>
      </w:tblGrid>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 xml:space="preserve">Назив на министерството </w:t>
            </w:r>
          </w:p>
          <w:p w:rsidR="008F1C5B" w:rsidRPr="00215C47" w:rsidRDefault="008F1C5B" w:rsidP="00F51C25">
            <w:pPr>
              <w:pStyle w:val="ListParagraph"/>
              <w:ind w:left="0"/>
              <w:rPr>
                <w:rFonts w:ascii="StobiSerifPro" w:hAnsi="StobiSerifPro"/>
                <w:lang w:val="mk-MK"/>
              </w:rPr>
            </w:pPr>
          </w:p>
        </w:tc>
        <w:tc>
          <w:tcPr>
            <w:tcW w:w="5873" w:type="dxa"/>
            <w:gridSpan w:val="2"/>
          </w:tcPr>
          <w:p w:rsidR="008F1C5B" w:rsidRPr="008F1C5B" w:rsidRDefault="008F1C5B" w:rsidP="00F51C25">
            <w:pPr>
              <w:pStyle w:val="ListParagraph"/>
              <w:ind w:left="0"/>
              <w:rPr>
                <w:rFonts w:ascii="StobiSerifPro" w:hAnsi="StobiSerifPro"/>
                <w:lang w:val="mk-MK"/>
              </w:rPr>
            </w:pPr>
            <w:r w:rsidRPr="008F1C5B">
              <w:rPr>
                <w:rFonts w:ascii="StobiSerif" w:hAnsi="StobiSerif"/>
                <w:sz w:val="22"/>
                <w:szCs w:val="22"/>
                <w:lang w:val="mk-MK"/>
              </w:rPr>
              <w:t>Министерство за економија</w:t>
            </w:r>
          </w:p>
        </w:tc>
      </w:tr>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Назив на предлог законот</w:t>
            </w:r>
          </w:p>
          <w:p w:rsidR="008F1C5B" w:rsidRPr="00215C47" w:rsidRDefault="008F1C5B" w:rsidP="00F51C25">
            <w:pPr>
              <w:pStyle w:val="ListParagraph"/>
              <w:ind w:left="0"/>
              <w:rPr>
                <w:rFonts w:ascii="StobiSerifPro" w:hAnsi="StobiSerifPro"/>
                <w:lang w:val="mk-MK"/>
              </w:rPr>
            </w:pPr>
          </w:p>
        </w:tc>
        <w:tc>
          <w:tcPr>
            <w:tcW w:w="5873" w:type="dxa"/>
            <w:gridSpan w:val="2"/>
          </w:tcPr>
          <w:p w:rsidR="008F1C5B" w:rsidRPr="009246AB" w:rsidRDefault="008F1C5B" w:rsidP="009246AB">
            <w:pPr>
              <w:jc w:val="both"/>
              <w:rPr>
                <w:rFonts w:ascii="StobiSerif" w:hAnsi="StobiSerif"/>
                <w:lang w:val="mk-MK"/>
              </w:rPr>
            </w:pPr>
            <w:r w:rsidRPr="008F1C5B">
              <w:rPr>
                <w:rFonts w:ascii="StobiSerif" w:hAnsi="StobiSerif"/>
                <w:sz w:val="22"/>
                <w:szCs w:val="22"/>
                <w:lang w:val="mk-MK"/>
              </w:rPr>
              <w:t xml:space="preserve">Предлог на Закон за </w:t>
            </w:r>
            <w:r w:rsidRPr="008F1C5B">
              <w:rPr>
                <w:rFonts w:ascii="StobiSerif" w:hAnsi="StobiSerif"/>
                <w:sz w:val="22"/>
                <w:szCs w:val="22"/>
                <w:lang w:val="en-US"/>
              </w:rPr>
              <w:t xml:space="preserve"> </w:t>
            </w:r>
            <w:r w:rsidR="009246AB">
              <w:rPr>
                <w:rFonts w:ascii="StobiSerif" w:hAnsi="StobiSerif"/>
                <w:sz w:val="22"/>
                <w:szCs w:val="22"/>
                <w:lang w:val="mk-MK"/>
              </w:rPr>
              <w:t>услуги</w:t>
            </w:r>
          </w:p>
        </w:tc>
      </w:tr>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 xml:space="preserve">Краток опис на проблемот </w:t>
            </w:r>
          </w:p>
          <w:p w:rsidR="008F1C5B" w:rsidRPr="00215C47" w:rsidRDefault="008F1C5B" w:rsidP="00F51C25">
            <w:pPr>
              <w:pStyle w:val="ListParagraph"/>
              <w:ind w:left="0"/>
              <w:rPr>
                <w:rFonts w:ascii="StobiSerifPro" w:hAnsi="StobiSerifPro"/>
                <w:lang w:val="mk-MK"/>
              </w:rPr>
            </w:pPr>
          </w:p>
        </w:tc>
        <w:tc>
          <w:tcPr>
            <w:tcW w:w="5873" w:type="dxa"/>
            <w:gridSpan w:val="2"/>
          </w:tcPr>
          <w:p w:rsidR="009246AB" w:rsidRPr="00D43F6A" w:rsidRDefault="009246AB" w:rsidP="009246AB">
            <w:pPr>
              <w:jc w:val="both"/>
              <w:rPr>
                <w:rFonts w:ascii="StobiSerif" w:hAnsi="StobiSerif"/>
                <w:sz w:val="20"/>
                <w:szCs w:val="20"/>
                <w:lang w:val="mk-MK"/>
              </w:rPr>
            </w:pPr>
            <w:r w:rsidRPr="00D43F6A">
              <w:rPr>
                <w:rFonts w:ascii="StobiSerif" w:hAnsi="StobiSerif"/>
                <w:sz w:val="20"/>
                <w:szCs w:val="20"/>
                <w:lang w:val="mk-MK"/>
              </w:rPr>
              <w:t xml:space="preserve">Во Националната програма за усогласување со законодавството на ЕУ, во делот на Поглавјето 03 – Право на основање и слобода на давање на услуги предвидено е усогласување со Директивата за услуги на внатрешниот пазар на ЕУ 2006/123/ЕЗ  (Директива за услуги).  Со имплементација на Директивата за услуги ќе се </w:t>
            </w:r>
            <w:r w:rsidRPr="00D43F6A">
              <w:rPr>
                <w:rFonts w:ascii="StobiSerif" w:hAnsi="StobiSerif" w:cs="Arial"/>
                <w:sz w:val="20"/>
                <w:szCs w:val="20"/>
                <w:lang w:val="mk-MK"/>
              </w:rPr>
              <w:t>обезбеди непречено движење на услугите преку следните</w:t>
            </w:r>
            <w:r w:rsidRPr="00D43F6A">
              <w:rPr>
                <w:rFonts w:ascii="StobiSerif" w:hAnsi="StobiSerif"/>
                <w:sz w:val="20"/>
                <w:szCs w:val="20"/>
                <w:lang w:val="mk-MK"/>
              </w:rPr>
              <w:t xml:space="preserve"> елементи: отстранување на законските и административните ограничувања за вршење услужни дејности, воспоставување на едно место преку кое давателите на услуги можат да поднесат барања за неопходните постапки за дозволи по електронски пат, унапредување на соработката помеѓу регулаторите  од одделни земји и подобрување на квалитетот на услугите.</w:t>
            </w:r>
          </w:p>
          <w:p w:rsidR="009246AB" w:rsidRPr="00D43F6A" w:rsidRDefault="009246AB" w:rsidP="009246AB">
            <w:pPr>
              <w:jc w:val="both"/>
              <w:rPr>
                <w:rFonts w:ascii="StobiSerif" w:hAnsi="StobiSerif"/>
                <w:sz w:val="20"/>
                <w:szCs w:val="20"/>
                <w:lang w:val="mk-MK"/>
              </w:rPr>
            </w:pPr>
          </w:p>
          <w:p w:rsidR="008F1C5B" w:rsidRPr="00D43F6A" w:rsidRDefault="009246AB" w:rsidP="009246AB">
            <w:pPr>
              <w:jc w:val="both"/>
              <w:rPr>
                <w:rFonts w:ascii="StobiSerif" w:hAnsi="StobiSerif"/>
                <w:sz w:val="20"/>
                <w:szCs w:val="20"/>
                <w:lang w:val="mk-MK"/>
              </w:rPr>
            </w:pPr>
            <w:r w:rsidRPr="00D43F6A">
              <w:rPr>
                <w:rFonts w:ascii="StobiSerif" w:hAnsi="StobiSerif"/>
                <w:sz w:val="20"/>
                <w:szCs w:val="20"/>
                <w:lang w:val="mk-MK"/>
              </w:rPr>
              <w:t xml:space="preserve">Со оглед на наведеното, утврдена е потреба за усогласување на регулативата во услужниот сектор со Директивата за услуги и донесување на хоризонтален рамковен закон за услуги. </w:t>
            </w:r>
            <w:r w:rsidRPr="00D43F6A">
              <w:rPr>
                <w:rFonts w:ascii="StobiSerif" w:hAnsi="StobiSerif" w:cs="stobiserifregular"/>
                <w:color w:val="000000"/>
                <w:sz w:val="20"/>
                <w:szCs w:val="20"/>
                <w:lang w:val="mk-MK"/>
              </w:rPr>
              <w:t>Имајќи ја предвид потребата за хоризонтален рамковен закон за услуги, Министерството за економија подготови текст на законот под работен наслов Предлог на Закон за услуги.</w:t>
            </w:r>
          </w:p>
        </w:tc>
      </w:tr>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Цел на предлог законот</w:t>
            </w:r>
          </w:p>
          <w:p w:rsidR="008F1C5B" w:rsidRPr="00215C47" w:rsidRDefault="008F1C5B" w:rsidP="00F51C25">
            <w:pPr>
              <w:pStyle w:val="ListParagraph"/>
              <w:ind w:left="0"/>
              <w:rPr>
                <w:rFonts w:ascii="StobiSerifPro" w:hAnsi="StobiSerifPro"/>
                <w:lang w:val="mk-MK"/>
              </w:rPr>
            </w:pPr>
          </w:p>
        </w:tc>
        <w:tc>
          <w:tcPr>
            <w:tcW w:w="5873" w:type="dxa"/>
            <w:gridSpan w:val="2"/>
          </w:tcPr>
          <w:p w:rsidR="009246AB" w:rsidRPr="00D43F6A" w:rsidRDefault="009246AB" w:rsidP="009246AB">
            <w:pPr>
              <w:jc w:val="both"/>
              <w:rPr>
                <w:rFonts w:ascii="StobiSerif" w:hAnsi="StobiSerif" w:cs="Arial"/>
                <w:sz w:val="20"/>
                <w:szCs w:val="20"/>
                <w:lang w:val="mk-MK"/>
              </w:rPr>
            </w:pPr>
            <w:r w:rsidRPr="00D43F6A">
              <w:rPr>
                <w:rFonts w:ascii="StobiSerif" w:hAnsi="StobiSerif" w:cs="Arial"/>
                <w:sz w:val="20"/>
                <w:szCs w:val="20"/>
                <w:lang w:val="mk-MK"/>
              </w:rPr>
              <w:t xml:space="preserve">Со Предлог Законот за услуги како хоризонтален рамковен закон  ќе се овозможи транспонирање на општите правила од Директивата за услуги, се предвидува обврска посебните закони во услужниот сектор да се усогласат со општите правила и ќе се спречи </w:t>
            </w:r>
            <w:r w:rsidRPr="00D43F6A">
              <w:rPr>
                <w:rFonts w:ascii="StobiSerif" w:hAnsi="StobiSerif" w:cs="Arial"/>
                <w:color w:val="000000"/>
                <w:sz w:val="20"/>
                <w:szCs w:val="20"/>
                <w:lang w:val="mk-MK" w:eastAsia="ar-SA"/>
              </w:rPr>
              <w:t>воведувањето нови бариери при подготовка на нова регулатива во иднина во услужниот сектор</w:t>
            </w:r>
            <w:r w:rsidRPr="00D43F6A">
              <w:rPr>
                <w:rFonts w:ascii="StobiSerif" w:hAnsi="StobiSerif" w:cs="Arial"/>
                <w:sz w:val="20"/>
                <w:szCs w:val="20"/>
                <w:lang w:val="mk-MK"/>
              </w:rPr>
              <w:t xml:space="preserve">. </w:t>
            </w:r>
          </w:p>
          <w:p w:rsidR="009246AB" w:rsidRPr="00D43F6A" w:rsidRDefault="009246AB" w:rsidP="009246AB">
            <w:pPr>
              <w:jc w:val="both"/>
              <w:rPr>
                <w:rFonts w:ascii="StobiSerif" w:hAnsi="StobiSerif" w:cs="Arial"/>
                <w:sz w:val="20"/>
                <w:szCs w:val="20"/>
                <w:lang w:val="mk-MK"/>
              </w:rPr>
            </w:pPr>
          </w:p>
          <w:p w:rsidR="009246AB" w:rsidRPr="00D43F6A" w:rsidRDefault="009246AB" w:rsidP="009246AB">
            <w:pPr>
              <w:jc w:val="both"/>
              <w:rPr>
                <w:rFonts w:ascii="StobiSerif" w:hAnsi="StobiSerif" w:cs="Arial"/>
                <w:sz w:val="20"/>
                <w:szCs w:val="20"/>
                <w:lang w:val="mk-MK"/>
              </w:rPr>
            </w:pPr>
            <w:r w:rsidRPr="00D43F6A">
              <w:rPr>
                <w:rFonts w:ascii="StobiSerif" w:hAnsi="StobiSerif" w:cs="Arial"/>
                <w:sz w:val="20"/>
                <w:szCs w:val="20"/>
                <w:lang w:val="mk-MK"/>
              </w:rPr>
              <w:t xml:space="preserve">Со предложениот Закон се уредуваат општите начела и одредби за слободата на основање, постапките на одобрување и пристапот на пазарот на услуги на давателите на услуги во Република Македонија со кои се поедноставуваат административните постапки за пристап и вршење на услужни дејности. </w:t>
            </w:r>
          </w:p>
          <w:p w:rsidR="009246AB" w:rsidRPr="00D43F6A" w:rsidRDefault="009246AB" w:rsidP="009246AB">
            <w:pPr>
              <w:jc w:val="both"/>
              <w:rPr>
                <w:rFonts w:ascii="StobiSerif" w:hAnsi="StobiSerif" w:cs="Arial"/>
                <w:sz w:val="20"/>
                <w:szCs w:val="20"/>
                <w:lang w:val="mk-MK"/>
              </w:rPr>
            </w:pPr>
          </w:p>
          <w:p w:rsidR="008F1C5B" w:rsidRPr="00D43F6A" w:rsidRDefault="009246AB" w:rsidP="009246AB">
            <w:pPr>
              <w:pStyle w:val="Default"/>
              <w:jc w:val="both"/>
              <w:rPr>
                <w:rFonts w:ascii="StobiSerif" w:hAnsi="StobiSerif" w:cs="Times New Roman"/>
                <w:bCs/>
                <w:color w:val="auto"/>
                <w:sz w:val="20"/>
                <w:szCs w:val="20"/>
              </w:rPr>
            </w:pPr>
            <w:r w:rsidRPr="00D43F6A">
              <w:rPr>
                <w:rFonts w:ascii="StobiSerif" w:hAnsi="StobiSerif"/>
                <w:sz w:val="20"/>
                <w:szCs w:val="20"/>
              </w:rPr>
              <w:t xml:space="preserve">Предложените законски решенија </w:t>
            </w:r>
            <w:r w:rsidRPr="00D43F6A">
              <w:rPr>
                <w:rFonts w:ascii="StobiSerif" w:hAnsi="StobiSerif"/>
                <w:bCs/>
                <w:sz w:val="20"/>
                <w:szCs w:val="20"/>
              </w:rPr>
              <w:t xml:space="preserve">ќе придонесат во поедноставување на административните постапки во услужниот сектор,  скратување на времето потребно за добивање на согласностите и </w:t>
            </w:r>
            <w:r w:rsidRPr="00D43F6A">
              <w:rPr>
                <w:rFonts w:ascii="StobiSerif" w:hAnsi="StobiSerif"/>
                <w:sz w:val="20"/>
                <w:szCs w:val="20"/>
              </w:rPr>
              <w:t>се во функција на зголемена ефикасност на субјектите во оваа област.</w:t>
            </w:r>
          </w:p>
          <w:p w:rsidR="008F1C5B" w:rsidRPr="00D43F6A" w:rsidRDefault="008F1C5B" w:rsidP="00F51C25">
            <w:pPr>
              <w:pStyle w:val="ListParagraph"/>
              <w:ind w:left="0"/>
              <w:rPr>
                <w:rFonts w:ascii="StobiSerif" w:hAnsi="StobiSerif"/>
                <w:sz w:val="20"/>
                <w:szCs w:val="20"/>
                <w:lang w:val="mk-MK"/>
              </w:rPr>
            </w:pPr>
          </w:p>
        </w:tc>
      </w:tr>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lastRenderedPageBreak/>
              <w:t>Временската рамка за изготвување на предлог законот</w:t>
            </w:r>
          </w:p>
          <w:p w:rsidR="008F1C5B" w:rsidRPr="00215C47" w:rsidRDefault="008F1C5B" w:rsidP="00F51C25">
            <w:pPr>
              <w:pStyle w:val="ListParagraph"/>
              <w:ind w:left="0"/>
              <w:rPr>
                <w:rFonts w:ascii="StobiSerifPro" w:hAnsi="StobiSerifPro"/>
                <w:lang w:val="mk-MK"/>
              </w:rPr>
            </w:pPr>
          </w:p>
        </w:tc>
        <w:tc>
          <w:tcPr>
            <w:tcW w:w="5873" w:type="dxa"/>
            <w:gridSpan w:val="2"/>
          </w:tcPr>
          <w:p w:rsidR="008F1C5B" w:rsidRPr="00D43F6A" w:rsidRDefault="009246AB" w:rsidP="00F51C25">
            <w:pPr>
              <w:pStyle w:val="ListParagraph"/>
              <w:ind w:left="0"/>
              <w:rPr>
                <w:rFonts w:ascii="StobiSerif" w:hAnsi="StobiSerif"/>
                <w:sz w:val="20"/>
                <w:szCs w:val="20"/>
                <w:lang w:val="mk-MK"/>
              </w:rPr>
            </w:pPr>
            <w:r w:rsidRPr="00D43F6A">
              <w:rPr>
                <w:rFonts w:ascii="StobiSerif" w:hAnsi="StobiSerif"/>
                <w:sz w:val="20"/>
                <w:szCs w:val="20"/>
                <w:lang w:val="mk-MK"/>
              </w:rPr>
              <w:t>Усвојување од страна на Собранието на Република Македонија до 31 Мај 2014 година</w:t>
            </w:r>
          </w:p>
        </w:tc>
      </w:tr>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Начин на вклучување на засегнатите страни</w:t>
            </w:r>
          </w:p>
        </w:tc>
        <w:tc>
          <w:tcPr>
            <w:tcW w:w="5873" w:type="dxa"/>
            <w:gridSpan w:val="2"/>
          </w:tcPr>
          <w:p w:rsidR="009246AB" w:rsidRPr="00D43F6A" w:rsidRDefault="009246AB" w:rsidP="009246AB">
            <w:pPr>
              <w:tabs>
                <w:tab w:val="left" w:pos="540"/>
              </w:tabs>
              <w:jc w:val="both"/>
              <w:rPr>
                <w:rFonts w:ascii="StobiSerif" w:hAnsi="StobiSerif"/>
                <w:sz w:val="20"/>
                <w:szCs w:val="20"/>
                <w:lang w:val="ru-RU"/>
              </w:rPr>
            </w:pPr>
            <w:r w:rsidRPr="00D43F6A">
              <w:rPr>
                <w:rFonts w:ascii="StobiSerif" w:hAnsi="StobiSerif"/>
                <w:sz w:val="20"/>
                <w:szCs w:val="20"/>
                <w:lang w:val="ru-RU"/>
              </w:rPr>
              <w:t xml:space="preserve">-  Ноември – декември 2012 година: Работниот текст на предлог законот  беше предмет на анализа во рамки на „Работната група за Поглавје 03 – Право на основање и слобода на давање на услуги“ во која учествуваат претставници од сите институции кои имаат надлежности во услужниот сектор.  </w:t>
            </w:r>
          </w:p>
          <w:p w:rsidR="009246AB" w:rsidRPr="00D43F6A" w:rsidRDefault="009246AB" w:rsidP="009246AB">
            <w:pPr>
              <w:pStyle w:val="Default"/>
              <w:jc w:val="both"/>
              <w:rPr>
                <w:rFonts w:ascii="StobiSerif" w:hAnsi="StobiSerif" w:cs="Times New Roman"/>
                <w:bCs/>
                <w:color w:val="auto"/>
                <w:sz w:val="20"/>
                <w:szCs w:val="20"/>
              </w:rPr>
            </w:pPr>
            <w:r w:rsidRPr="00D43F6A">
              <w:rPr>
                <w:rFonts w:ascii="StobiSerif" w:hAnsi="StobiSerif"/>
                <w:sz w:val="20"/>
                <w:szCs w:val="20"/>
                <w:lang w:val="ru-RU"/>
              </w:rPr>
              <w:t xml:space="preserve">- Јануари 2013 година: Предлогот на Закон за услуги се достави на мислење до сите надлежни институции и до коморите. </w:t>
            </w:r>
          </w:p>
          <w:p w:rsidR="009246AB" w:rsidRPr="00D43F6A" w:rsidRDefault="009246AB" w:rsidP="009246AB">
            <w:pPr>
              <w:pStyle w:val="Default"/>
              <w:jc w:val="both"/>
              <w:rPr>
                <w:rFonts w:ascii="StobiSerif" w:hAnsi="StobiSerif" w:cs="Times New Roman"/>
                <w:bCs/>
                <w:color w:val="auto"/>
                <w:sz w:val="20"/>
                <w:szCs w:val="20"/>
              </w:rPr>
            </w:pPr>
            <w:r w:rsidRPr="00D43F6A">
              <w:rPr>
                <w:rFonts w:ascii="StobiSerif" w:hAnsi="StobiSerif" w:cs="Times New Roman"/>
                <w:bCs/>
                <w:color w:val="auto"/>
                <w:sz w:val="20"/>
                <w:szCs w:val="20"/>
              </w:rPr>
              <w:t>- 17-18 Април 2013 година: Се одржа TAIEX Експертска мисија во рамки на која се анализираше текстот на предлог законот од страна на експерт на ЕК заедно со  претставниците на надлежните институции. Како резултат на сугестиите и предлозите за време на експертската мисија, текстот на предлог законот значително се подобри.</w:t>
            </w:r>
          </w:p>
          <w:p w:rsidR="009246AB" w:rsidRPr="00D43F6A" w:rsidRDefault="009246AB" w:rsidP="009246AB">
            <w:pPr>
              <w:pStyle w:val="Default"/>
              <w:jc w:val="both"/>
              <w:rPr>
                <w:rFonts w:ascii="StobiSerif" w:hAnsi="StobiSerif" w:cs="Times New Roman"/>
                <w:bCs/>
                <w:color w:val="auto"/>
                <w:sz w:val="20"/>
                <w:szCs w:val="20"/>
              </w:rPr>
            </w:pPr>
            <w:r w:rsidRPr="00D43F6A">
              <w:rPr>
                <w:rFonts w:ascii="StobiSerif" w:hAnsi="StobiSerif" w:cs="Times New Roman"/>
                <w:bCs/>
                <w:color w:val="auto"/>
                <w:sz w:val="20"/>
                <w:szCs w:val="20"/>
              </w:rPr>
              <w:t>-  4-ти јули 2013: Работилница за Директивата за услуги и за Предлогот на Закон за услуги за претставниците од надлежните органи, професионални здруженија  и  коморите.</w:t>
            </w:r>
          </w:p>
          <w:p w:rsidR="009246AB" w:rsidRPr="00D43F6A" w:rsidRDefault="009246AB" w:rsidP="009246AB">
            <w:pPr>
              <w:pStyle w:val="Default"/>
              <w:jc w:val="both"/>
              <w:rPr>
                <w:rFonts w:ascii="StobiSerif" w:hAnsi="StobiSerif" w:cs="Times New Roman"/>
                <w:bCs/>
                <w:color w:val="auto"/>
                <w:sz w:val="20"/>
                <w:szCs w:val="20"/>
              </w:rPr>
            </w:pPr>
            <w:r w:rsidRPr="00D43F6A">
              <w:rPr>
                <w:rFonts w:ascii="StobiSerif" w:hAnsi="StobiSerif" w:cs="Times New Roman"/>
                <w:bCs/>
                <w:color w:val="auto"/>
                <w:sz w:val="20"/>
                <w:szCs w:val="20"/>
              </w:rPr>
              <w:t>-   12-ти септември 2013 година: Работна средба за предлог законот со претставниците од надлежните органи, професионални здруженија  и  коморите</w:t>
            </w:r>
          </w:p>
          <w:p w:rsidR="009246AB" w:rsidRPr="00D43F6A" w:rsidRDefault="009246AB" w:rsidP="009246AB">
            <w:pPr>
              <w:pStyle w:val="Default"/>
              <w:jc w:val="both"/>
              <w:rPr>
                <w:rFonts w:ascii="StobiSerif" w:hAnsi="StobiSerif" w:cs="Times New Roman"/>
                <w:bCs/>
                <w:color w:val="auto"/>
                <w:sz w:val="20"/>
                <w:szCs w:val="20"/>
              </w:rPr>
            </w:pPr>
            <w:r w:rsidRPr="00D43F6A">
              <w:rPr>
                <w:rFonts w:ascii="StobiSerif" w:hAnsi="StobiSerif" w:cs="Times New Roman"/>
                <w:bCs/>
                <w:color w:val="auto"/>
                <w:sz w:val="20"/>
                <w:szCs w:val="20"/>
              </w:rPr>
              <w:t xml:space="preserve">- 13-15 декември 2013 година: Работилница и работна средба за Директивата за услуги и за Предлогот на Закон за услуги  со претставниците од надлежните органи, професионални здруженија  и  коморите. </w:t>
            </w:r>
          </w:p>
          <w:p w:rsidR="009246AB" w:rsidRPr="00D43F6A" w:rsidRDefault="009246AB" w:rsidP="009246AB">
            <w:pPr>
              <w:pStyle w:val="ListParagraph"/>
              <w:ind w:left="0"/>
              <w:jc w:val="both"/>
              <w:rPr>
                <w:rFonts w:ascii="StobiSerif" w:hAnsi="StobiSerif"/>
                <w:bCs/>
                <w:sz w:val="20"/>
                <w:szCs w:val="20"/>
                <w:lang w:val="mk-MK"/>
              </w:rPr>
            </w:pPr>
            <w:r w:rsidRPr="00D43F6A">
              <w:rPr>
                <w:rFonts w:ascii="StobiSerif" w:hAnsi="StobiSerif"/>
                <w:bCs/>
                <w:sz w:val="20"/>
                <w:szCs w:val="20"/>
                <w:lang w:val="mk-MK"/>
              </w:rPr>
              <w:t>- Септември 2013 година: новиот текст на Предлогот на Закон за услуги е доставен повторно на мислење до надлежните институции и комори.</w:t>
            </w:r>
          </w:p>
          <w:p w:rsidR="009246AB" w:rsidRPr="00D43F6A" w:rsidRDefault="009246AB" w:rsidP="009246AB">
            <w:pPr>
              <w:pStyle w:val="ListParagraph"/>
              <w:ind w:left="0"/>
              <w:jc w:val="both"/>
              <w:rPr>
                <w:rFonts w:ascii="StobiSerif" w:hAnsi="StobiSerif"/>
                <w:bCs/>
                <w:sz w:val="20"/>
                <w:szCs w:val="20"/>
                <w:lang w:val="mk-MK"/>
              </w:rPr>
            </w:pPr>
          </w:p>
          <w:p w:rsidR="009246AB" w:rsidRPr="00D43F6A" w:rsidRDefault="00786219" w:rsidP="009246AB">
            <w:pPr>
              <w:pStyle w:val="ListParagraph"/>
              <w:ind w:left="0"/>
              <w:jc w:val="both"/>
              <w:rPr>
                <w:rFonts w:ascii="StobiSerif" w:hAnsi="StobiSerif"/>
                <w:sz w:val="20"/>
                <w:szCs w:val="20"/>
                <w:lang w:val="mk-MK"/>
              </w:rPr>
            </w:pPr>
            <w:hyperlink r:id="rId5" w:history="1">
              <w:r w:rsidR="009246AB" w:rsidRPr="00D43F6A">
                <w:rPr>
                  <w:rStyle w:val="Hyperlink"/>
                  <w:rFonts w:ascii="StobiSerif" w:hAnsi="StobiSerif"/>
                  <w:sz w:val="20"/>
                  <w:szCs w:val="20"/>
                  <w:lang w:val="mk-MK"/>
                </w:rPr>
                <w:t>http</w:t>
              </w:r>
              <w:r w:rsidR="009246AB" w:rsidRPr="00D43F6A">
                <w:rPr>
                  <w:rStyle w:val="Hyperlink"/>
                  <w:rFonts w:ascii="StobiSerif" w:hAnsi="StobiSerif"/>
                  <w:sz w:val="20"/>
                  <w:szCs w:val="20"/>
                  <w:lang w:val="en-US"/>
                </w:rPr>
                <w:t>s</w:t>
              </w:r>
              <w:r w:rsidR="009246AB" w:rsidRPr="00D43F6A">
                <w:rPr>
                  <w:rStyle w:val="Hyperlink"/>
                  <w:rFonts w:ascii="StobiSerif" w:hAnsi="StobiSerif"/>
                  <w:sz w:val="20"/>
                  <w:szCs w:val="20"/>
                  <w:lang w:val="mk-MK"/>
                </w:rPr>
                <w:t>://ener.gov.mk</w:t>
              </w:r>
            </w:hyperlink>
          </w:p>
          <w:p w:rsidR="008F1C5B" w:rsidRPr="00D43F6A" w:rsidRDefault="008F1C5B" w:rsidP="00F51C25">
            <w:pPr>
              <w:pStyle w:val="ListParagraph"/>
              <w:ind w:left="0"/>
              <w:rPr>
                <w:rFonts w:ascii="StobiSerif" w:hAnsi="StobiSerif"/>
                <w:sz w:val="20"/>
                <w:szCs w:val="20"/>
                <w:lang w:val="mk-MK"/>
              </w:rPr>
            </w:pPr>
          </w:p>
        </w:tc>
      </w:tr>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Најава за јавен увид и јавна расправа</w:t>
            </w:r>
          </w:p>
        </w:tc>
        <w:tc>
          <w:tcPr>
            <w:tcW w:w="2936"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Да</w:t>
            </w:r>
          </w:p>
          <w:p w:rsidR="008F1C5B" w:rsidRPr="00215C47" w:rsidRDefault="008F1C5B" w:rsidP="00F51C25">
            <w:pPr>
              <w:pStyle w:val="ListParagraph"/>
              <w:ind w:left="0"/>
              <w:rPr>
                <w:rFonts w:ascii="StobiSerifPro" w:hAnsi="StobiSerifPro"/>
                <w:lang w:val="mk-MK"/>
              </w:rPr>
            </w:pPr>
          </w:p>
        </w:tc>
        <w:tc>
          <w:tcPr>
            <w:tcW w:w="2937" w:type="dxa"/>
          </w:tcPr>
          <w:p w:rsidR="008F1C5B" w:rsidRPr="00215C47" w:rsidRDefault="008F1C5B" w:rsidP="00F51C25">
            <w:pPr>
              <w:pStyle w:val="ListParagraph"/>
              <w:ind w:left="0"/>
              <w:rPr>
                <w:rFonts w:ascii="StobiSerifPro" w:hAnsi="StobiSerifPro"/>
                <w:lang w:val="mk-MK"/>
              </w:rPr>
            </w:pPr>
          </w:p>
        </w:tc>
      </w:tr>
      <w:tr w:rsidR="008F1C5B" w:rsidRPr="00215C47" w:rsidTr="00F51C25">
        <w:tc>
          <w:tcPr>
            <w:tcW w:w="3261" w:type="dxa"/>
          </w:tcPr>
          <w:p w:rsidR="008F1C5B" w:rsidRPr="00215C47" w:rsidRDefault="008F1C5B" w:rsidP="00F51C25">
            <w:pPr>
              <w:pStyle w:val="ListParagraph"/>
              <w:ind w:left="0"/>
              <w:rPr>
                <w:rFonts w:ascii="StobiSerifPro" w:hAnsi="StobiSerifPro"/>
                <w:lang w:val="mk-MK"/>
              </w:rPr>
            </w:pPr>
            <w:r w:rsidRPr="00215C47">
              <w:rPr>
                <w:rFonts w:ascii="StobiSerifPro" w:hAnsi="StobiSerifPro"/>
                <w:sz w:val="22"/>
                <w:szCs w:val="22"/>
                <w:lang w:val="mk-MK"/>
              </w:rPr>
              <w:t xml:space="preserve">Електронска адреса каде засегнатите страни ќе можат да ја преземат електронската верзија на </w:t>
            </w:r>
            <w:r>
              <w:rPr>
                <w:rFonts w:ascii="StobiSerifPro" w:hAnsi="StobiSerifPro"/>
                <w:sz w:val="22"/>
                <w:szCs w:val="22"/>
                <w:lang w:val="mk-MK"/>
              </w:rPr>
              <w:t xml:space="preserve">предлогот на </w:t>
            </w:r>
            <w:r w:rsidRPr="00215C47">
              <w:rPr>
                <w:rFonts w:ascii="StobiSerifPro" w:hAnsi="StobiSerifPro"/>
                <w:sz w:val="22"/>
                <w:szCs w:val="22"/>
                <w:lang w:val="mk-MK"/>
              </w:rPr>
              <w:t xml:space="preserve"> закон и нацрт Извештајот за ПВР  </w:t>
            </w:r>
          </w:p>
          <w:p w:rsidR="008F1C5B" w:rsidRPr="00215C47" w:rsidRDefault="008F1C5B" w:rsidP="00F51C25">
            <w:pPr>
              <w:pStyle w:val="ListParagraph"/>
              <w:ind w:left="0"/>
              <w:rPr>
                <w:rFonts w:ascii="StobiSerifPro" w:hAnsi="StobiSerifPro"/>
                <w:lang w:val="mk-MK"/>
              </w:rPr>
            </w:pPr>
          </w:p>
        </w:tc>
        <w:tc>
          <w:tcPr>
            <w:tcW w:w="5873" w:type="dxa"/>
            <w:gridSpan w:val="2"/>
          </w:tcPr>
          <w:p w:rsidR="008F1C5B" w:rsidRPr="00D43F6A" w:rsidRDefault="00786219" w:rsidP="00F51C25">
            <w:pPr>
              <w:pStyle w:val="ListParagraph"/>
              <w:ind w:left="0"/>
              <w:rPr>
                <w:rFonts w:ascii="StobiSerifPro" w:hAnsi="StobiSerifPro"/>
                <w:sz w:val="20"/>
                <w:szCs w:val="20"/>
                <w:lang w:val="mk-MK"/>
              </w:rPr>
            </w:pPr>
            <w:hyperlink r:id="rId6" w:history="1">
              <w:r w:rsidR="009246AB" w:rsidRPr="00D43F6A">
                <w:rPr>
                  <w:rStyle w:val="Hyperlink"/>
                  <w:rFonts w:ascii="StobiSerifPro" w:hAnsi="StobiSerifPro"/>
                  <w:sz w:val="20"/>
                  <w:szCs w:val="20"/>
                  <w:lang w:val="mk-MK"/>
                </w:rPr>
                <w:t>www.economy.gov.mk</w:t>
              </w:r>
            </w:hyperlink>
          </w:p>
          <w:p w:rsidR="009246AB" w:rsidRPr="00D43F6A" w:rsidRDefault="00786219" w:rsidP="009246AB">
            <w:pPr>
              <w:pStyle w:val="ListParagraph"/>
              <w:ind w:left="0"/>
              <w:jc w:val="both"/>
              <w:rPr>
                <w:rFonts w:ascii="StobiSerif" w:hAnsi="StobiSerif"/>
                <w:sz w:val="20"/>
                <w:szCs w:val="20"/>
                <w:lang w:val="mk-MK"/>
              </w:rPr>
            </w:pPr>
            <w:hyperlink r:id="rId7" w:history="1">
              <w:r w:rsidR="009246AB" w:rsidRPr="00D43F6A">
                <w:rPr>
                  <w:rStyle w:val="Hyperlink"/>
                  <w:rFonts w:ascii="StobiSerif" w:hAnsi="StobiSerif"/>
                  <w:sz w:val="20"/>
                  <w:szCs w:val="20"/>
                  <w:lang w:val="mk-MK"/>
                </w:rPr>
                <w:t>http</w:t>
              </w:r>
              <w:r w:rsidR="009246AB" w:rsidRPr="00D43F6A">
                <w:rPr>
                  <w:rStyle w:val="Hyperlink"/>
                  <w:rFonts w:ascii="StobiSerif" w:hAnsi="StobiSerif"/>
                  <w:sz w:val="20"/>
                  <w:szCs w:val="20"/>
                  <w:lang w:val="en-US"/>
                </w:rPr>
                <w:t>s</w:t>
              </w:r>
              <w:r w:rsidR="009246AB" w:rsidRPr="00D43F6A">
                <w:rPr>
                  <w:rStyle w:val="Hyperlink"/>
                  <w:rFonts w:ascii="StobiSerif" w:hAnsi="StobiSerif"/>
                  <w:sz w:val="20"/>
                  <w:szCs w:val="20"/>
                  <w:lang w:val="mk-MK"/>
                </w:rPr>
                <w:t>://ener.gov.mk</w:t>
              </w:r>
            </w:hyperlink>
          </w:p>
          <w:p w:rsidR="009246AB" w:rsidRPr="00D43F6A" w:rsidRDefault="009246AB" w:rsidP="00F51C25">
            <w:pPr>
              <w:pStyle w:val="ListParagraph"/>
              <w:ind w:left="0"/>
              <w:rPr>
                <w:rFonts w:ascii="StobiSerifPro" w:hAnsi="StobiSerifPro"/>
                <w:sz w:val="20"/>
                <w:szCs w:val="20"/>
                <w:lang w:val="en-US"/>
              </w:rPr>
            </w:pPr>
          </w:p>
        </w:tc>
      </w:tr>
      <w:tr w:rsidR="00963B16" w:rsidRPr="00215C47" w:rsidTr="00F51C25">
        <w:tc>
          <w:tcPr>
            <w:tcW w:w="3261" w:type="dxa"/>
          </w:tcPr>
          <w:p w:rsidR="00963B16" w:rsidRPr="00215C47" w:rsidRDefault="00963B16" w:rsidP="00F51C25">
            <w:pPr>
              <w:pStyle w:val="ListParagraph"/>
              <w:ind w:left="0"/>
              <w:rPr>
                <w:rFonts w:ascii="StobiSerifPro" w:hAnsi="StobiSerifPro"/>
                <w:lang w:val="mk-MK"/>
              </w:rPr>
            </w:pPr>
            <w:r w:rsidRPr="00215C47">
              <w:rPr>
                <w:rFonts w:ascii="StobiSerifPro" w:hAnsi="StobiSerifPro"/>
                <w:sz w:val="22"/>
                <w:szCs w:val="22"/>
                <w:lang w:val="mk-MK"/>
              </w:rPr>
              <w:t xml:space="preserve">Адреса и/или електронска адреса каде ќе можат да се  достават мислењата, забелешките и сугестиите </w:t>
            </w:r>
          </w:p>
          <w:p w:rsidR="00963B16" w:rsidRPr="00215C47" w:rsidRDefault="00963B16" w:rsidP="00F51C25">
            <w:pPr>
              <w:pStyle w:val="ListParagraph"/>
              <w:ind w:left="0"/>
              <w:rPr>
                <w:rFonts w:ascii="StobiSerifPro" w:hAnsi="StobiSerifPro"/>
                <w:lang w:val="mk-MK"/>
              </w:rPr>
            </w:pPr>
          </w:p>
        </w:tc>
        <w:tc>
          <w:tcPr>
            <w:tcW w:w="5873" w:type="dxa"/>
            <w:gridSpan w:val="2"/>
          </w:tcPr>
          <w:p w:rsidR="00963B16" w:rsidRPr="00D43F6A" w:rsidRDefault="00963B16" w:rsidP="00F51C25">
            <w:pPr>
              <w:pStyle w:val="ListParagraph"/>
              <w:ind w:left="0"/>
              <w:rPr>
                <w:rFonts w:ascii="StobiSerif" w:hAnsi="StobiSerif"/>
                <w:sz w:val="20"/>
                <w:szCs w:val="20"/>
                <w:lang w:val="mk-MK"/>
              </w:rPr>
            </w:pPr>
            <w:r w:rsidRPr="00D43F6A">
              <w:rPr>
                <w:rFonts w:ascii="StobiSerif" w:hAnsi="StobiSerif"/>
                <w:sz w:val="20"/>
                <w:szCs w:val="20"/>
                <w:lang w:val="it-IT"/>
              </w:rPr>
              <w:lastRenderedPageBreak/>
              <w:t>e-mail:</w:t>
            </w:r>
            <w:r w:rsidRPr="00D43F6A">
              <w:rPr>
                <w:rFonts w:ascii="StobiSerif" w:hAnsi="StobiSerif"/>
                <w:sz w:val="20"/>
                <w:szCs w:val="20"/>
                <w:lang w:val="mk-MK"/>
              </w:rPr>
              <w:t xml:space="preserve"> </w:t>
            </w:r>
            <w:hyperlink r:id="rId8" w:history="1">
              <w:r w:rsidR="008D1DEF" w:rsidRPr="00D43F6A">
                <w:rPr>
                  <w:rStyle w:val="Hyperlink"/>
                  <w:rFonts w:ascii="StobiSerif" w:hAnsi="StobiSerif"/>
                  <w:sz w:val="20"/>
                  <w:szCs w:val="20"/>
                  <w:lang w:val="en-US"/>
                </w:rPr>
                <w:t>ilir.sabani@economy.gov.mk</w:t>
              </w:r>
            </w:hyperlink>
            <w:r w:rsidR="008D1DEF" w:rsidRPr="00D43F6A">
              <w:rPr>
                <w:rFonts w:ascii="StobiSerif" w:hAnsi="StobiSerif"/>
                <w:sz w:val="20"/>
                <w:szCs w:val="20"/>
                <w:lang w:val="en-US"/>
              </w:rPr>
              <w:t>;</w:t>
            </w:r>
          </w:p>
          <w:p w:rsidR="008D1DEF" w:rsidRPr="00D43F6A" w:rsidRDefault="00786219" w:rsidP="00F51C25">
            <w:pPr>
              <w:pStyle w:val="ListParagraph"/>
              <w:ind w:left="0"/>
              <w:rPr>
                <w:rFonts w:ascii="StobiSerifPro" w:hAnsi="StobiSerifPro"/>
                <w:sz w:val="20"/>
                <w:szCs w:val="20"/>
                <w:lang w:val="en-US"/>
              </w:rPr>
            </w:pPr>
            <w:hyperlink r:id="rId9" w:history="1">
              <w:r w:rsidR="008D1DEF" w:rsidRPr="00D43F6A">
                <w:rPr>
                  <w:rStyle w:val="Hyperlink"/>
                  <w:rFonts w:ascii="StobiSerif" w:hAnsi="StobiSerif"/>
                  <w:sz w:val="20"/>
                  <w:szCs w:val="20"/>
                  <w:lang w:val="en-US"/>
                </w:rPr>
                <w:t>snezana.nikolovska@economy.gov.mk</w:t>
              </w:r>
            </w:hyperlink>
            <w:r w:rsidR="008D1DEF" w:rsidRPr="00D43F6A">
              <w:rPr>
                <w:rFonts w:ascii="StobiSerif" w:hAnsi="StobiSerif"/>
                <w:sz w:val="20"/>
                <w:szCs w:val="20"/>
                <w:lang w:val="en-US"/>
              </w:rPr>
              <w:t xml:space="preserve"> </w:t>
            </w:r>
          </w:p>
        </w:tc>
      </w:tr>
      <w:tr w:rsidR="00963B16" w:rsidRPr="00215C47" w:rsidTr="00F51C25">
        <w:tc>
          <w:tcPr>
            <w:tcW w:w="3261" w:type="dxa"/>
          </w:tcPr>
          <w:p w:rsidR="00963B16" w:rsidRPr="00215C47" w:rsidRDefault="00963B16" w:rsidP="00F51C25">
            <w:pPr>
              <w:pStyle w:val="ListParagraph"/>
              <w:ind w:left="0"/>
              <w:rPr>
                <w:rFonts w:ascii="StobiSerifPro" w:hAnsi="StobiSerifPro"/>
                <w:lang w:val="mk-MK"/>
              </w:rPr>
            </w:pPr>
            <w:r w:rsidRPr="00215C47">
              <w:rPr>
                <w:rFonts w:ascii="StobiSerifPro" w:hAnsi="StobiSerifPro"/>
                <w:sz w:val="22"/>
                <w:szCs w:val="22"/>
                <w:lang w:val="mk-MK"/>
              </w:rPr>
              <w:lastRenderedPageBreak/>
              <w:t xml:space="preserve">Одговорно лице за контакт во министерството </w:t>
            </w:r>
          </w:p>
        </w:tc>
        <w:tc>
          <w:tcPr>
            <w:tcW w:w="5873" w:type="dxa"/>
            <w:gridSpan w:val="2"/>
          </w:tcPr>
          <w:p w:rsidR="00963B16" w:rsidRPr="00D43F6A" w:rsidRDefault="00963B16" w:rsidP="00963B16">
            <w:pPr>
              <w:jc w:val="both"/>
              <w:rPr>
                <w:rFonts w:ascii="StobiSerif" w:hAnsi="StobiSerif"/>
                <w:sz w:val="20"/>
                <w:szCs w:val="20"/>
                <w:lang w:val="mk-MK"/>
              </w:rPr>
            </w:pPr>
            <w:r w:rsidRPr="00D43F6A">
              <w:rPr>
                <w:rFonts w:ascii="StobiSerif" w:hAnsi="StobiSerif" w:cs="Arial"/>
                <w:sz w:val="20"/>
                <w:szCs w:val="20"/>
                <w:lang w:val="mk-MK"/>
              </w:rPr>
              <w:t>Илир Шабани</w:t>
            </w:r>
            <w:r w:rsidRPr="00D43F6A">
              <w:rPr>
                <w:rFonts w:ascii="StobiSerif" w:hAnsi="StobiSerif"/>
                <w:sz w:val="20"/>
                <w:szCs w:val="20"/>
                <w:lang w:val="mk-MK"/>
              </w:rPr>
              <w:t>, Раководител на сектор за меѓународна трговска  соработка</w:t>
            </w:r>
          </w:p>
          <w:p w:rsidR="00963B16" w:rsidRPr="00D43F6A" w:rsidRDefault="00963B16" w:rsidP="00963B16">
            <w:pPr>
              <w:jc w:val="both"/>
              <w:rPr>
                <w:rFonts w:ascii="StobiSerif" w:hAnsi="StobiSerif"/>
                <w:sz w:val="20"/>
                <w:szCs w:val="20"/>
                <w:lang w:val="mk-MK"/>
              </w:rPr>
            </w:pPr>
            <w:r w:rsidRPr="00D43F6A">
              <w:rPr>
                <w:rFonts w:ascii="StobiSerif" w:hAnsi="StobiSerif"/>
                <w:sz w:val="20"/>
                <w:szCs w:val="20"/>
                <w:lang w:val="mk-MK"/>
              </w:rPr>
              <w:t>т. 3093 506</w:t>
            </w:r>
          </w:p>
          <w:p w:rsidR="00963B16" w:rsidRPr="00D43F6A" w:rsidRDefault="00963B16" w:rsidP="00963B16">
            <w:pPr>
              <w:pStyle w:val="ListParagraph"/>
              <w:ind w:left="0"/>
              <w:rPr>
                <w:rFonts w:ascii="StobiSerifPro" w:hAnsi="StobiSerifPro"/>
                <w:sz w:val="20"/>
                <w:szCs w:val="20"/>
                <w:lang w:val="mk-MK"/>
              </w:rPr>
            </w:pPr>
            <w:r w:rsidRPr="00D43F6A">
              <w:rPr>
                <w:rFonts w:ascii="StobiSerif" w:hAnsi="StobiSerif"/>
                <w:sz w:val="20"/>
                <w:szCs w:val="20"/>
                <w:lang w:val="it-IT"/>
              </w:rPr>
              <w:t>e-mail:</w:t>
            </w:r>
            <w:r w:rsidRPr="00D43F6A">
              <w:rPr>
                <w:rFonts w:ascii="StobiSerif" w:hAnsi="StobiSerif"/>
                <w:sz w:val="20"/>
                <w:szCs w:val="20"/>
                <w:lang w:val="mk-MK"/>
              </w:rPr>
              <w:t xml:space="preserve"> </w:t>
            </w:r>
            <w:r w:rsidRPr="00D43F6A">
              <w:rPr>
                <w:rFonts w:ascii="StobiSerif" w:hAnsi="StobiSerif"/>
                <w:sz w:val="20"/>
                <w:szCs w:val="20"/>
                <w:lang w:val="en-US"/>
              </w:rPr>
              <w:t>ilir.sabani@economy.gov.mk</w:t>
            </w:r>
          </w:p>
        </w:tc>
      </w:tr>
      <w:tr w:rsidR="00963B16" w:rsidRPr="00215C47" w:rsidTr="00F51C25">
        <w:tc>
          <w:tcPr>
            <w:tcW w:w="3261" w:type="dxa"/>
          </w:tcPr>
          <w:p w:rsidR="00963B16" w:rsidRPr="00215C47" w:rsidRDefault="00963B16" w:rsidP="00F51C25">
            <w:pPr>
              <w:pStyle w:val="ListParagraph"/>
              <w:ind w:left="0"/>
              <w:rPr>
                <w:rFonts w:ascii="StobiSerifPro" w:hAnsi="StobiSerifPro"/>
                <w:lang w:val="mk-MK"/>
              </w:rPr>
            </w:pPr>
            <w:r w:rsidRPr="00215C47">
              <w:rPr>
                <w:rFonts w:ascii="StobiSerifPro" w:hAnsi="StobiSerifPro"/>
                <w:sz w:val="22"/>
                <w:szCs w:val="22"/>
                <w:lang w:val="mk-MK"/>
              </w:rPr>
              <w:t>Други информации</w:t>
            </w:r>
          </w:p>
        </w:tc>
        <w:tc>
          <w:tcPr>
            <w:tcW w:w="5873" w:type="dxa"/>
            <w:gridSpan w:val="2"/>
          </w:tcPr>
          <w:p w:rsidR="008D1DEF" w:rsidRPr="00D43F6A" w:rsidRDefault="008D1DEF" w:rsidP="008D1DEF">
            <w:pPr>
              <w:jc w:val="both"/>
              <w:rPr>
                <w:rFonts w:ascii="StobiSerif" w:hAnsi="StobiSerif" w:cs="Arial"/>
                <w:sz w:val="20"/>
                <w:szCs w:val="20"/>
                <w:lang w:val="mk-MK"/>
              </w:rPr>
            </w:pPr>
            <w:r w:rsidRPr="00D43F6A">
              <w:rPr>
                <w:rFonts w:ascii="StobiSerif" w:hAnsi="StobiSerif"/>
                <w:sz w:val="20"/>
                <w:szCs w:val="20"/>
                <w:lang w:val="mk-MK"/>
              </w:rPr>
              <w:t>Со цел да се обезбеди правилна имплементација на Директивата за услуги  беа консултирани</w:t>
            </w:r>
            <w:r w:rsidRPr="00D43F6A">
              <w:rPr>
                <w:rFonts w:ascii="StobiSerif" w:hAnsi="StobiSerif" w:cs="Arial"/>
                <w:sz w:val="20"/>
                <w:szCs w:val="20"/>
                <w:lang w:val="mk-MK"/>
              </w:rPr>
              <w:t xml:space="preserve"> одредени законски решенија од законодавствата на држави членки на ЕУ (Република Словенија, Република Хрватска, Бугарија и Данска) во функција на натамошно усогласување со најдобрите пракси во оваа област. Исто така се користеа и Извештаите на Европската комисија за имплементација на Директивата за услуги, како и Извештаи од одделни  земји членки на ЕУ за предизвиците во имплементација на Директивата за услуги.  </w:t>
            </w:r>
          </w:p>
          <w:p w:rsidR="008D1DEF" w:rsidRPr="00D43F6A" w:rsidRDefault="008D1DEF" w:rsidP="008D1DEF">
            <w:pPr>
              <w:pStyle w:val="ListParagraph"/>
              <w:ind w:left="0"/>
              <w:jc w:val="both"/>
              <w:rPr>
                <w:rFonts w:ascii="StobiSerif" w:hAnsi="StobiSerif"/>
                <w:sz w:val="20"/>
                <w:szCs w:val="20"/>
                <w:lang w:val="mk-MK"/>
              </w:rPr>
            </w:pPr>
          </w:p>
          <w:p w:rsidR="008D1DEF" w:rsidRPr="00D43F6A" w:rsidRDefault="008D1DEF" w:rsidP="008D1DEF">
            <w:pPr>
              <w:pStyle w:val="ListParagraph"/>
              <w:ind w:left="0"/>
              <w:jc w:val="both"/>
              <w:rPr>
                <w:rFonts w:ascii="StobiSerif" w:hAnsi="StobiSerif"/>
                <w:sz w:val="20"/>
                <w:szCs w:val="20"/>
                <w:lang w:val="mk-MK"/>
              </w:rPr>
            </w:pPr>
            <w:r w:rsidRPr="00D43F6A">
              <w:rPr>
                <w:rFonts w:ascii="StobiSerif" w:hAnsi="StobiSerif"/>
                <w:sz w:val="20"/>
                <w:szCs w:val="20"/>
                <w:lang w:val="mk-MK"/>
              </w:rPr>
              <w:t xml:space="preserve">До членовите на Работната група за услуги се доставени Директивата за услуги во англиска и македонска верзија. </w:t>
            </w:r>
          </w:p>
          <w:p w:rsidR="008D1DEF" w:rsidRPr="00D43F6A" w:rsidRDefault="008D1DEF" w:rsidP="008D1DEF">
            <w:pPr>
              <w:pStyle w:val="ListParagraph"/>
              <w:ind w:left="0"/>
              <w:rPr>
                <w:rFonts w:ascii="StobiSerif" w:hAnsi="StobiSerif"/>
                <w:sz w:val="20"/>
                <w:szCs w:val="20"/>
                <w:lang w:val="mk-MK"/>
              </w:rPr>
            </w:pPr>
          </w:p>
          <w:p w:rsidR="00963B16" w:rsidRPr="00D43F6A" w:rsidRDefault="008D1DEF" w:rsidP="008D1DEF">
            <w:pPr>
              <w:pStyle w:val="ListParagraph"/>
              <w:ind w:left="0"/>
              <w:rPr>
                <w:rFonts w:ascii="StobiSerif" w:hAnsi="StobiSerif"/>
                <w:sz w:val="20"/>
                <w:szCs w:val="20"/>
                <w:lang w:val="mk-MK"/>
              </w:rPr>
            </w:pPr>
            <w:r w:rsidRPr="00D43F6A">
              <w:rPr>
                <w:rFonts w:ascii="StobiSerif" w:hAnsi="StobiSerif"/>
                <w:sz w:val="20"/>
                <w:szCs w:val="20"/>
                <w:lang w:val="mk-MK"/>
              </w:rPr>
              <w:t>При подготовката на текстот на предлогот на Закон за услуги беа земени во предвид и предлозите, забелешките и коментарите од засегнатите страни кои Министерството за економија ги побара од</w:t>
            </w:r>
            <w:r w:rsidRPr="00D43F6A">
              <w:rPr>
                <w:rFonts w:ascii="StobiSerif" w:hAnsi="StobiSerif"/>
                <w:bCs/>
                <w:sz w:val="20"/>
                <w:szCs w:val="20"/>
                <w:lang w:val="mk-MK"/>
              </w:rPr>
              <w:t xml:space="preserve"> </w:t>
            </w:r>
            <w:r w:rsidRPr="00D43F6A">
              <w:rPr>
                <w:rFonts w:ascii="StobiSerif" w:hAnsi="StobiSerif"/>
                <w:sz w:val="20"/>
                <w:szCs w:val="20"/>
                <w:lang w:val="mk-MK"/>
              </w:rPr>
              <w:t xml:space="preserve">истите во двете меѓуресорски консултации, како и од експертот на ЕК во рамки на </w:t>
            </w:r>
            <w:r w:rsidRPr="00D43F6A">
              <w:rPr>
                <w:rFonts w:ascii="StobiSerif" w:hAnsi="StobiSerif"/>
                <w:sz w:val="20"/>
                <w:szCs w:val="20"/>
                <w:lang w:val="en-US"/>
              </w:rPr>
              <w:t xml:space="preserve">TAIEX </w:t>
            </w:r>
            <w:r w:rsidRPr="00D43F6A">
              <w:rPr>
                <w:rFonts w:ascii="StobiSerif" w:hAnsi="StobiSerif"/>
                <w:sz w:val="20"/>
                <w:szCs w:val="20"/>
                <w:lang w:val="mk-MK"/>
              </w:rPr>
              <w:t>Експертската мисија.</w:t>
            </w:r>
          </w:p>
          <w:p w:rsidR="00963B16" w:rsidRPr="00D43F6A" w:rsidRDefault="00963B16" w:rsidP="00F51C25">
            <w:pPr>
              <w:pStyle w:val="ListParagraph"/>
              <w:ind w:left="0"/>
              <w:rPr>
                <w:rFonts w:ascii="StobiSerif" w:hAnsi="StobiSerif"/>
                <w:sz w:val="20"/>
                <w:szCs w:val="20"/>
                <w:lang w:val="mk-MK"/>
              </w:rPr>
            </w:pPr>
          </w:p>
        </w:tc>
      </w:tr>
    </w:tbl>
    <w:p w:rsidR="008F1C5B" w:rsidRPr="00215C47" w:rsidRDefault="008F1C5B" w:rsidP="008F1C5B">
      <w:pPr>
        <w:rPr>
          <w:rFonts w:ascii="StobiSerifPro" w:hAnsi="StobiSerifPro"/>
          <w:sz w:val="22"/>
          <w:szCs w:val="22"/>
          <w:lang w:val="mk-MK"/>
        </w:rPr>
      </w:pPr>
    </w:p>
    <w:p w:rsidR="008F1C5B" w:rsidRPr="00215C47" w:rsidRDefault="008F1C5B" w:rsidP="008F1C5B">
      <w:pPr>
        <w:rPr>
          <w:rFonts w:ascii="StobiSerifPro" w:hAnsi="StobiSerifPro"/>
          <w:sz w:val="22"/>
          <w:szCs w:val="22"/>
          <w:lang w:val="mk-MK"/>
        </w:rPr>
      </w:pPr>
    </w:p>
    <w:sectPr w:rsidR="008F1C5B" w:rsidRPr="00215C47" w:rsidSect="006774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tobiSerifPro">
    <w:altName w:val="Arial"/>
    <w:panose1 w:val="00000000000000000000"/>
    <w:charset w:val="00"/>
    <w:family w:val="modern"/>
    <w:notTrueType/>
    <w:pitch w:val="variable"/>
    <w:sig w:usb0="00000001" w:usb1="5000204B" w:usb2="00000000" w:usb3="00000000" w:csb0="0000009F" w:csb1="00000000"/>
  </w:font>
  <w:font w:name="StobiSerif">
    <w:panose1 w:val="00000000000000000000"/>
    <w:charset w:val="00"/>
    <w:family w:val="modern"/>
    <w:notTrueType/>
    <w:pitch w:val="variable"/>
    <w:sig w:usb0="A00002AF" w:usb1="5000204B" w:usb2="00000000" w:usb3="00000000" w:csb0="0000009F" w:csb1="00000000"/>
  </w:font>
  <w:font w:name="stobiserifregular">
    <w:panose1 w:val="00000000000000000000"/>
    <w:charset w:val="CC"/>
    <w:family w:val="roman"/>
    <w:notTrueType/>
    <w:pitch w:val="default"/>
    <w:sig w:usb0="00000201" w:usb1="00000000" w:usb2="00000000" w:usb3="00000000" w:csb0="00000004"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35248"/>
    <w:multiLevelType w:val="hybridMultilevel"/>
    <w:tmpl w:val="97F62362"/>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C5B"/>
    <w:rsid w:val="00107424"/>
    <w:rsid w:val="004271EF"/>
    <w:rsid w:val="0057655E"/>
    <w:rsid w:val="00786219"/>
    <w:rsid w:val="0083042C"/>
    <w:rsid w:val="008A3D95"/>
    <w:rsid w:val="008D1DEF"/>
    <w:rsid w:val="008F1C5B"/>
    <w:rsid w:val="009246AB"/>
    <w:rsid w:val="00963B16"/>
    <w:rsid w:val="00D43F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C5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C5B"/>
    <w:pPr>
      <w:ind w:left="720"/>
      <w:contextualSpacing/>
    </w:pPr>
    <w:rPr>
      <w:lang w:eastAsia="fi-FI"/>
    </w:rPr>
  </w:style>
  <w:style w:type="paragraph" w:customStyle="1" w:styleId="Default">
    <w:name w:val="Default"/>
    <w:rsid w:val="008F1C5B"/>
    <w:pPr>
      <w:autoSpaceDE w:val="0"/>
      <w:autoSpaceDN w:val="0"/>
      <w:adjustRightInd w:val="0"/>
      <w:spacing w:after="0" w:line="240" w:lineRule="auto"/>
    </w:pPr>
    <w:rPr>
      <w:rFonts w:ascii="Arial" w:eastAsia="Calibri" w:hAnsi="Arial" w:cs="Arial"/>
      <w:color w:val="000000"/>
      <w:sz w:val="24"/>
      <w:szCs w:val="24"/>
    </w:rPr>
  </w:style>
  <w:style w:type="paragraph" w:styleId="BodyText3">
    <w:name w:val="Body Text 3"/>
    <w:basedOn w:val="Normal"/>
    <w:link w:val="BodyText3Char"/>
    <w:rsid w:val="00963B16"/>
    <w:pPr>
      <w:jc w:val="both"/>
    </w:pPr>
    <w:rPr>
      <w:rFonts w:ascii="Arial" w:hAnsi="Arial" w:cs="Arial"/>
      <w:lang w:val="mk-MK"/>
    </w:rPr>
  </w:style>
  <w:style w:type="character" w:customStyle="1" w:styleId="BodyText3Char">
    <w:name w:val="Body Text 3 Char"/>
    <w:basedOn w:val="DefaultParagraphFont"/>
    <w:link w:val="BodyText3"/>
    <w:rsid w:val="00963B16"/>
    <w:rPr>
      <w:rFonts w:ascii="Arial" w:eastAsia="Times New Roman" w:hAnsi="Arial" w:cs="Arial"/>
      <w:sz w:val="24"/>
      <w:szCs w:val="24"/>
    </w:rPr>
  </w:style>
  <w:style w:type="paragraph" w:styleId="NormalWeb">
    <w:name w:val="Normal (Web)"/>
    <w:basedOn w:val="Normal"/>
    <w:uiPriority w:val="99"/>
    <w:semiHidden/>
    <w:unhideWhenUsed/>
    <w:rsid w:val="009246AB"/>
    <w:pPr>
      <w:spacing w:before="100" w:beforeAutospacing="1" w:after="100" w:afterAutospacing="1"/>
    </w:pPr>
    <w:rPr>
      <w:lang w:val="en-US"/>
    </w:rPr>
  </w:style>
  <w:style w:type="character" w:styleId="Hyperlink">
    <w:name w:val="Hyperlink"/>
    <w:uiPriority w:val="99"/>
    <w:unhideWhenUsed/>
    <w:rsid w:val="009246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ir.sabani@economy.gov.mk" TargetMode="External"/><Relationship Id="rId3" Type="http://schemas.openxmlformats.org/officeDocument/2006/relationships/settings" Target="settings.xml"/><Relationship Id="rId7" Type="http://schemas.openxmlformats.org/officeDocument/2006/relationships/hyperlink" Target="https://ener.gov.m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y.gov.mk" TargetMode="External"/><Relationship Id="rId11" Type="http://schemas.openxmlformats.org/officeDocument/2006/relationships/theme" Target="theme/theme1.xml"/><Relationship Id="rId5" Type="http://schemas.openxmlformats.org/officeDocument/2006/relationships/hyperlink" Target="https://ener.gov.m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nezana.nikolovska@economy.gov.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ilir.sabani</dc:creator>
  <cp:lastModifiedBy>Snezana.Nikolovska</cp:lastModifiedBy>
  <cp:revision>3</cp:revision>
  <cp:lastPrinted>2013-01-24T14:42:00Z</cp:lastPrinted>
  <dcterms:created xsi:type="dcterms:W3CDTF">2013-01-24T14:08:00Z</dcterms:created>
  <dcterms:modified xsi:type="dcterms:W3CDTF">2013-01-24T14:42:00Z</dcterms:modified>
</cp:coreProperties>
</file>