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C6" w:rsidRPr="00FF7398" w:rsidRDefault="00C771C6" w:rsidP="00B27759">
      <w:pPr>
        <w:rPr>
          <w:rFonts w:ascii="StobiSerif Regular" w:hAnsi="StobiSerif Regular"/>
          <w:b/>
          <w:sz w:val="20"/>
          <w:szCs w:val="20"/>
          <w:lang w:val="mk-MK"/>
        </w:rPr>
      </w:pPr>
    </w:p>
    <w:p w:rsidR="007F181B" w:rsidRPr="00FF7398" w:rsidRDefault="007F181B" w:rsidP="00B27759">
      <w:pPr>
        <w:jc w:val="center"/>
        <w:rPr>
          <w:rFonts w:ascii="StobiSerif Regular" w:hAnsi="StobiSerif Regular"/>
          <w:b/>
          <w:sz w:val="20"/>
          <w:szCs w:val="20"/>
          <w:lang w:val="mk-MK"/>
        </w:rPr>
      </w:pPr>
      <w:r w:rsidRPr="00FF7398">
        <w:rPr>
          <w:rFonts w:ascii="StobiSerif Regular" w:hAnsi="StobiSerif Regular"/>
          <w:b/>
          <w:sz w:val="20"/>
          <w:szCs w:val="20"/>
          <w:lang w:val="mk-MK"/>
        </w:rPr>
        <w:t>ИЗВЕШТАЈ ЗА ПРОЦЕНКА НА ВЛИЈАНИЕТО НА РЕГУЛАТИВАТА</w:t>
      </w:r>
    </w:p>
    <w:p w:rsidR="0087764B" w:rsidRPr="00FF7398" w:rsidRDefault="0087764B" w:rsidP="00B27759">
      <w:pPr>
        <w:jc w:val="center"/>
        <w:rPr>
          <w:rFonts w:ascii="StobiSerif Regular" w:hAnsi="StobiSerif Regular"/>
          <w:b/>
          <w:sz w:val="20"/>
          <w:szCs w:val="20"/>
          <w:lang w:val="mk-MK"/>
        </w:rPr>
      </w:pPr>
    </w:p>
    <w:p w:rsidR="00507ADB" w:rsidRPr="00FF7398" w:rsidRDefault="00507ADB" w:rsidP="00B27759">
      <w:pPr>
        <w:jc w:val="center"/>
        <w:rPr>
          <w:rFonts w:ascii="StobiSerif Regular" w:hAnsi="StobiSerif Regular"/>
          <w:b/>
          <w:sz w:val="20"/>
          <w:szCs w:val="20"/>
          <w:lang w:val="mk-MK"/>
        </w:rPr>
      </w:pPr>
    </w:p>
    <w:p w:rsidR="007F181B" w:rsidRPr="00FF7398" w:rsidRDefault="007F181B" w:rsidP="00B27759">
      <w:pPr>
        <w:rPr>
          <w:rFonts w:ascii="StobiSerif Regular" w:hAnsi="StobiSerif Regular"/>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7F181B" w:rsidRPr="00FF7398">
        <w:trPr>
          <w:trHeight w:val="622"/>
        </w:trPr>
        <w:tc>
          <w:tcPr>
            <w:tcW w:w="3105" w:type="dxa"/>
          </w:tcPr>
          <w:p w:rsidR="007F181B" w:rsidRPr="00FF7398" w:rsidRDefault="00C771C6" w:rsidP="00C218F9">
            <w:pPr>
              <w:jc w:val="both"/>
              <w:rPr>
                <w:rFonts w:ascii="StobiSerif Regular" w:hAnsi="StobiSerif Regular"/>
                <w:sz w:val="20"/>
                <w:szCs w:val="20"/>
                <w:lang w:val="mk-MK"/>
              </w:rPr>
            </w:pPr>
            <w:r w:rsidRPr="00FF7398">
              <w:rPr>
                <w:rFonts w:ascii="StobiSerif Regular" w:hAnsi="StobiSerif Regular"/>
                <w:sz w:val="20"/>
                <w:szCs w:val="20"/>
                <w:lang w:val="mk-MK"/>
              </w:rPr>
              <w:t>Назив на м</w:t>
            </w:r>
            <w:r w:rsidR="005D0CB8" w:rsidRPr="00FF7398">
              <w:rPr>
                <w:rFonts w:ascii="StobiSerif Regular" w:hAnsi="StobiSerif Regular"/>
                <w:sz w:val="20"/>
                <w:szCs w:val="20"/>
                <w:lang w:val="mk-MK"/>
              </w:rPr>
              <w:t>инистерство:</w:t>
            </w:r>
          </w:p>
        </w:tc>
        <w:tc>
          <w:tcPr>
            <w:tcW w:w="6196" w:type="dxa"/>
          </w:tcPr>
          <w:p w:rsidR="006F1327" w:rsidRPr="00FF7398" w:rsidRDefault="00D661F4" w:rsidP="00C218F9">
            <w:pPr>
              <w:jc w:val="both"/>
              <w:rPr>
                <w:rFonts w:ascii="StobiSerif Regular" w:hAnsi="StobiSerif Regular"/>
                <w:sz w:val="20"/>
                <w:szCs w:val="20"/>
                <w:lang w:val="mk-MK"/>
              </w:rPr>
            </w:pPr>
            <w:r w:rsidRPr="00FF7398">
              <w:rPr>
                <w:rFonts w:ascii="StobiSerif Regular" w:hAnsi="StobiSerif Regular"/>
                <w:sz w:val="20"/>
                <w:szCs w:val="20"/>
                <w:lang w:val="mk-MK"/>
              </w:rPr>
              <w:t>Министерство за економија</w:t>
            </w:r>
          </w:p>
        </w:tc>
      </w:tr>
      <w:tr w:rsidR="007F181B" w:rsidRPr="00FF7398">
        <w:trPr>
          <w:trHeight w:val="622"/>
        </w:trPr>
        <w:tc>
          <w:tcPr>
            <w:tcW w:w="3105" w:type="dxa"/>
          </w:tcPr>
          <w:p w:rsidR="007F181B" w:rsidRPr="00FF7398" w:rsidRDefault="005D0CB8" w:rsidP="00C218F9">
            <w:pPr>
              <w:jc w:val="both"/>
              <w:rPr>
                <w:rFonts w:ascii="StobiSerif Regular" w:hAnsi="StobiSerif Regular"/>
                <w:sz w:val="20"/>
                <w:szCs w:val="20"/>
                <w:lang w:val="mk-MK"/>
              </w:rPr>
            </w:pPr>
            <w:r w:rsidRPr="00FF7398">
              <w:rPr>
                <w:rFonts w:ascii="StobiSerif Regular" w:hAnsi="StobiSerif Regular"/>
                <w:sz w:val="20"/>
                <w:szCs w:val="20"/>
                <w:lang w:val="mk-MK"/>
              </w:rPr>
              <w:t>Назив на предлог</w:t>
            </w:r>
            <w:r w:rsidR="00F66307" w:rsidRPr="00FF7398">
              <w:rPr>
                <w:rFonts w:ascii="StobiSerif Regular" w:hAnsi="StobiSerif Regular"/>
                <w:sz w:val="20"/>
                <w:szCs w:val="20"/>
                <w:lang w:val="mk-MK"/>
              </w:rPr>
              <w:t>от</w:t>
            </w:r>
            <w:r w:rsidRPr="00FF7398">
              <w:rPr>
                <w:rFonts w:ascii="StobiSerif Regular" w:hAnsi="StobiSerif Regular"/>
                <w:sz w:val="20"/>
                <w:szCs w:val="20"/>
                <w:lang w:val="mk-MK"/>
              </w:rPr>
              <w:t xml:space="preserve"> </w:t>
            </w:r>
            <w:r w:rsidR="00B413F0" w:rsidRPr="00FF7398">
              <w:rPr>
                <w:rFonts w:ascii="StobiSerif Regular" w:hAnsi="StobiSerif Regular"/>
                <w:sz w:val="20"/>
                <w:szCs w:val="20"/>
                <w:lang w:val="mk-MK"/>
              </w:rPr>
              <w:t xml:space="preserve">на </w:t>
            </w:r>
            <w:r w:rsidR="006F1327" w:rsidRPr="00FF7398">
              <w:rPr>
                <w:rFonts w:ascii="StobiSerif Regular" w:hAnsi="StobiSerif Regular"/>
                <w:sz w:val="20"/>
                <w:szCs w:val="20"/>
                <w:lang w:val="mk-MK"/>
              </w:rPr>
              <w:t>закон</w:t>
            </w:r>
            <w:r w:rsidRPr="00FF7398">
              <w:rPr>
                <w:rFonts w:ascii="StobiSerif Regular" w:hAnsi="StobiSerif Regular"/>
                <w:sz w:val="20"/>
                <w:szCs w:val="20"/>
                <w:lang w:val="mk-MK"/>
              </w:rPr>
              <w:t>:</w:t>
            </w:r>
          </w:p>
        </w:tc>
        <w:tc>
          <w:tcPr>
            <w:tcW w:w="6196" w:type="dxa"/>
          </w:tcPr>
          <w:p w:rsidR="006F1327" w:rsidRPr="00FF7398" w:rsidRDefault="000A1629" w:rsidP="003C4A86">
            <w:pPr>
              <w:pStyle w:val="ListParagraph"/>
              <w:ind w:left="0"/>
              <w:jc w:val="both"/>
              <w:rPr>
                <w:rFonts w:ascii="StobiSerif Regular" w:hAnsi="StobiSerif Regular"/>
                <w:sz w:val="20"/>
                <w:szCs w:val="20"/>
              </w:rPr>
            </w:pPr>
            <w:r w:rsidRPr="00FF7398">
              <w:rPr>
                <w:rFonts w:ascii="StobiSerif Regular" w:hAnsi="StobiSerif Regular"/>
                <w:sz w:val="20"/>
                <w:szCs w:val="20"/>
              </w:rPr>
              <w:t xml:space="preserve">Предлог Закон за </w:t>
            </w:r>
            <w:r w:rsidR="003C4A86" w:rsidRPr="00FF7398">
              <w:rPr>
                <w:rFonts w:ascii="StobiSerif Regular" w:hAnsi="StobiSerif Regular"/>
                <w:sz w:val="20"/>
                <w:szCs w:val="20"/>
              </w:rPr>
              <w:t>занаетчиство</w:t>
            </w:r>
          </w:p>
        </w:tc>
      </w:tr>
      <w:tr w:rsidR="00D661F4" w:rsidRPr="00FF7398">
        <w:trPr>
          <w:trHeight w:val="622"/>
        </w:trPr>
        <w:tc>
          <w:tcPr>
            <w:tcW w:w="3105" w:type="dxa"/>
          </w:tcPr>
          <w:p w:rsidR="00D661F4" w:rsidRPr="00FF7398" w:rsidRDefault="00D661F4" w:rsidP="00C218F9">
            <w:pPr>
              <w:jc w:val="both"/>
              <w:rPr>
                <w:rFonts w:ascii="StobiSerif Regular" w:hAnsi="StobiSerif Regular"/>
                <w:sz w:val="20"/>
                <w:szCs w:val="20"/>
                <w:lang w:val="mk-MK"/>
              </w:rPr>
            </w:pPr>
            <w:r w:rsidRPr="00FF7398">
              <w:rPr>
                <w:rFonts w:ascii="StobiSerif Regular" w:hAnsi="StobiSerif Regular"/>
                <w:sz w:val="20"/>
                <w:szCs w:val="20"/>
                <w:lang w:val="mk-MK"/>
              </w:rPr>
              <w:t>Одговорно лице и контакт информации:</w:t>
            </w:r>
          </w:p>
        </w:tc>
        <w:tc>
          <w:tcPr>
            <w:tcW w:w="6196" w:type="dxa"/>
          </w:tcPr>
          <w:p w:rsidR="00D661F4" w:rsidRPr="00FF7398" w:rsidRDefault="003C4A86" w:rsidP="0053212E">
            <w:pPr>
              <w:pStyle w:val="ListParagraph"/>
              <w:ind w:left="0"/>
              <w:jc w:val="both"/>
              <w:rPr>
                <w:rFonts w:ascii="StobiSerif Regular" w:hAnsi="StobiSerif Regular"/>
                <w:sz w:val="20"/>
                <w:szCs w:val="20"/>
              </w:rPr>
            </w:pPr>
            <w:r w:rsidRPr="00FF7398">
              <w:rPr>
                <w:rFonts w:ascii="StobiSerif Regular" w:hAnsi="StobiSerif Regular"/>
                <w:sz w:val="20"/>
                <w:szCs w:val="20"/>
              </w:rPr>
              <w:t>Блерим Златку</w:t>
            </w:r>
          </w:p>
        </w:tc>
      </w:tr>
      <w:tr w:rsidR="00D661F4" w:rsidRPr="00FF7398">
        <w:trPr>
          <w:trHeight w:val="939"/>
        </w:trPr>
        <w:tc>
          <w:tcPr>
            <w:tcW w:w="3105" w:type="dxa"/>
            <w:shd w:val="clear" w:color="auto" w:fill="auto"/>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Вид на Извештај</w:t>
            </w:r>
          </w:p>
        </w:tc>
        <w:tc>
          <w:tcPr>
            <w:tcW w:w="6196" w:type="dxa"/>
            <w:shd w:val="clear" w:color="auto" w:fill="auto"/>
          </w:tcPr>
          <w:p w:rsidR="00D661F4" w:rsidRPr="00FF7398" w:rsidRDefault="002414DB" w:rsidP="00B27759">
            <w:pPr>
              <w:pStyle w:val="ListParagraph"/>
              <w:spacing w:after="0" w:line="240" w:lineRule="auto"/>
              <w:ind w:left="0"/>
              <w:rPr>
                <w:rFonts w:ascii="StobiSerif Regular" w:hAnsi="StobiSerif Regular"/>
                <w:sz w:val="20"/>
                <w:szCs w:val="20"/>
              </w:rPr>
            </w:pPr>
            <w:r w:rsidRPr="00FF7398">
              <w:rPr>
                <w:rFonts w:ascii="StobiSerif Regular" w:hAnsi="StobiSerif Regular"/>
                <w:sz w:val="20"/>
                <w:szCs w:val="20"/>
              </w:rPr>
              <w:t>Нацрт</w:t>
            </w:r>
            <w:r w:rsidR="000A1629" w:rsidRPr="00FF7398">
              <w:rPr>
                <w:rFonts w:ascii="StobiSerif Regular" w:hAnsi="StobiSerif Regular"/>
                <w:sz w:val="20"/>
                <w:szCs w:val="20"/>
              </w:rPr>
              <w:t xml:space="preserve"> текст</w:t>
            </w:r>
          </w:p>
        </w:tc>
      </w:tr>
      <w:tr w:rsidR="00D661F4" w:rsidRPr="00FF7398">
        <w:trPr>
          <w:trHeight w:val="1243"/>
        </w:trPr>
        <w:tc>
          <w:tcPr>
            <w:tcW w:w="3105" w:type="dxa"/>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Обврската за подготовка на предлогот на закон произлегува од:</w:t>
            </w:r>
          </w:p>
        </w:tc>
        <w:tc>
          <w:tcPr>
            <w:tcW w:w="6196" w:type="dxa"/>
          </w:tcPr>
          <w:p w:rsidR="00D661F4" w:rsidRPr="00FF7398" w:rsidRDefault="003C4A86" w:rsidP="005049E9">
            <w:pPr>
              <w:jc w:val="both"/>
              <w:rPr>
                <w:rFonts w:ascii="StobiSerif Regular" w:hAnsi="StobiSerif Regular"/>
                <w:sz w:val="20"/>
                <w:szCs w:val="20"/>
                <w:lang w:val="mk-MK"/>
              </w:rPr>
            </w:pPr>
            <w:r w:rsidRPr="00FF7398">
              <w:rPr>
                <w:rFonts w:ascii="StobiSerif Regular" w:hAnsi="StobiSerif Regular"/>
                <w:sz w:val="20"/>
                <w:szCs w:val="20"/>
                <w:lang w:val="mk-MK"/>
              </w:rPr>
              <w:t>Заклучок на Влада</w:t>
            </w:r>
            <w:r w:rsidR="006D4309" w:rsidRPr="00FF7398">
              <w:rPr>
                <w:rFonts w:ascii="StobiSerif Regular" w:hAnsi="StobiSerif Regular"/>
                <w:sz w:val="20"/>
                <w:szCs w:val="20"/>
                <w:lang w:val="mk-MK"/>
              </w:rPr>
              <w:t xml:space="preserve">  </w:t>
            </w:r>
          </w:p>
        </w:tc>
      </w:tr>
      <w:tr w:rsidR="00D661F4" w:rsidRPr="00FF7398">
        <w:trPr>
          <w:trHeight w:val="634"/>
        </w:trPr>
        <w:tc>
          <w:tcPr>
            <w:tcW w:w="3105" w:type="dxa"/>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Поврзаност со Директивите на ЕУ</w:t>
            </w:r>
          </w:p>
        </w:tc>
        <w:tc>
          <w:tcPr>
            <w:tcW w:w="6196" w:type="dxa"/>
          </w:tcPr>
          <w:p w:rsidR="00D661F4" w:rsidRPr="00FF7398" w:rsidRDefault="00D661F4" w:rsidP="00B27759">
            <w:pPr>
              <w:pStyle w:val="ListParagraph"/>
              <w:ind w:left="0"/>
              <w:rPr>
                <w:rFonts w:ascii="StobiSerif Regular" w:hAnsi="StobiSerif Regular"/>
                <w:sz w:val="20"/>
                <w:szCs w:val="20"/>
              </w:rPr>
            </w:pPr>
            <w:r w:rsidRPr="00FF7398">
              <w:rPr>
                <w:rFonts w:ascii="StobiSerif Regular" w:hAnsi="StobiSerif Regular"/>
                <w:sz w:val="20"/>
                <w:szCs w:val="20"/>
              </w:rPr>
              <w:t>Нема</w:t>
            </w:r>
          </w:p>
        </w:tc>
      </w:tr>
      <w:tr w:rsidR="00D661F4" w:rsidRPr="00FF7398">
        <w:trPr>
          <w:trHeight w:val="1865"/>
        </w:trPr>
        <w:tc>
          <w:tcPr>
            <w:tcW w:w="3105" w:type="dxa"/>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Дали нацрт извештајот содржи информации согласно прописите кои се однесуваат на класифицираните</w:t>
            </w:r>
            <w:r w:rsidR="000A1629" w:rsidRPr="00FF7398">
              <w:rPr>
                <w:rFonts w:ascii="StobiSerif Regular" w:hAnsi="StobiSerif Regular"/>
                <w:sz w:val="20"/>
                <w:szCs w:val="20"/>
                <w:lang w:val="mk-MK"/>
              </w:rPr>
              <w:t xml:space="preserve"> информации</w:t>
            </w:r>
          </w:p>
        </w:tc>
        <w:tc>
          <w:tcPr>
            <w:tcW w:w="6196" w:type="dxa"/>
          </w:tcPr>
          <w:p w:rsidR="00D661F4" w:rsidRPr="00FF7398" w:rsidRDefault="00D661F4" w:rsidP="00B27759">
            <w:pPr>
              <w:pStyle w:val="ListParagraph"/>
              <w:spacing w:after="0" w:line="240" w:lineRule="auto"/>
              <w:ind w:left="0"/>
              <w:rPr>
                <w:rFonts w:ascii="StobiSerif Regular" w:hAnsi="StobiSerif Regular"/>
                <w:sz w:val="20"/>
                <w:szCs w:val="20"/>
              </w:rPr>
            </w:pPr>
            <w:r w:rsidRPr="00FF7398">
              <w:rPr>
                <w:rFonts w:ascii="StobiSerif Regular" w:hAnsi="StobiSerif Regular"/>
                <w:sz w:val="20"/>
                <w:szCs w:val="20"/>
              </w:rPr>
              <w:t>Не</w:t>
            </w:r>
          </w:p>
        </w:tc>
      </w:tr>
      <w:tr w:rsidR="00D661F4" w:rsidRPr="00FF7398">
        <w:trPr>
          <w:trHeight w:val="939"/>
        </w:trPr>
        <w:tc>
          <w:tcPr>
            <w:tcW w:w="3105" w:type="dxa"/>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Датум на објавување на нацрт Извештајот на ЕНЕР:</w:t>
            </w:r>
          </w:p>
        </w:tc>
        <w:tc>
          <w:tcPr>
            <w:tcW w:w="6196" w:type="dxa"/>
          </w:tcPr>
          <w:p w:rsidR="00D661F4" w:rsidRPr="00EC45C2" w:rsidRDefault="00EC45C2" w:rsidP="00B27759">
            <w:pPr>
              <w:rPr>
                <w:rFonts w:ascii="StobiSerif Regular" w:hAnsi="StobiSerif Regular"/>
                <w:sz w:val="20"/>
                <w:szCs w:val="20"/>
                <w:lang w:val="en-US"/>
              </w:rPr>
            </w:pPr>
            <w:r>
              <w:rPr>
                <w:rFonts w:ascii="StobiSerif Regular" w:hAnsi="StobiSerif Regular"/>
                <w:sz w:val="20"/>
                <w:szCs w:val="20"/>
                <w:lang w:val="en-US"/>
              </w:rPr>
              <w:t>27.04.2015</w:t>
            </w:r>
          </w:p>
        </w:tc>
      </w:tr>
      <w:tr w:rsidR="00D661F4" w:rsidRPr="00FF7398">
        <w:trPr>
          <w:trHeight w:val="691"/>
        </w:trPr>
        <w:tc>
          <w:tcPr>
            <w:tcW w:w="3105" w:type="dxa"/>
          </w:tcPr>
          <w:p w:rsidR="00D661F4" w:rsidRPr="00FF7398" w:rsidRDefault="00D661F4" w:rsidP="00B27759">
            <w:pPr>
              <w:rPr>
                <w:rFonts w:ascii="StobiSerif Regular" w:hAnsi="StobiSerif Regular"/>
                <w:sz w:val="20"/>
                <w:szCs w:val="20"/>
                <w:lang w:val="mk-MK"/>
              </w:rPr>
            </w:pPr>
            <w:r w:rsidRPr="00FF7398">
              <w:rPr>
                <w:rFonts w:ascii="StobiSerif Regular" w:hAnsi="StobiSerif Regular"/>
                <w:sz w:val="20"/>
                <w:szCs w:val="20"/>
                <w:lang w:val="mk-MK"/>
              </w:rPr>
              <w:t xml:space="preserve">Датум на доставување на нацрт Извештајот до </w:t>
            </w:r>
            <w:r w:rsidRPr="00FF7398">
              <w:rPr>
                <w:rFonts w:ascii="StobiSerif Regular" w:hAnsi="StobiSerif Regular"/>
                <w:sz w:val="20"/>
                <w:szCs w:val="20"/>
                <w:lang w:val="ru-RU"/>
              </w:rPr>
              <w:t>Министерството за информатичко општество и администрација</w:t>
            </w:r>
            <w:r w:rsidRPr="00FF7398">
              <w:rPr>
                <w:rFonts w:ascii="StobiSerif Regular" w:hAnsi="StobiSerif Regular"/>
                <w:sz w:val="20"/>
                <w:szCs w:val="20"/>
                <w:lang w:val="mk-MK"/>
              </w:rPr>
              <w:t>:</w:t>
            </w:r>
          </w:p>
        </w:tc>
        <w:tc>
          <w:tcPr>
            <w:tcW w:w="6196" w:type="dxa"/>
          </w:tcPr>
          <w:p w:rsidR="00D661F4" w:rsidRPr="00FF7398" w:rsidRDefault="00EC45C2" w:rsidP="00B27759">
            <w:pPr>
              <w:rPr>
                <w:rFonts w:ascii="StobiSerif Regular" w:hAnsi="StobiSerif Regular"/>
                <w:sz w:val="20"/>
                <w:szCs w:val="20"/>
                <w:lang w:val="mk-MK"/>
              </w:rPr>
            </w:pPr>
            <w:r>
              <w:rPr>
                <w:rFonts w:ascii="StobiSerif Regular" w:hAnsi="StobiSerif Regular"/>
                <w:sz w:val="20"/>
                <w:szCs w:val="20"/>
              </w:rPr>
              <w:t>15.04.2015</w:t>
            </w:r>
          </w:p>
        </w:tc>
      </w:tr>
      <w:tr w:rsidR="00D661F4" w:rsidRPr="00FF7398">
        <w:trPr>
          <w:trHeight w:val="622"/>
        </w:trPr>
        <w:tc>
          <w:tcPr>
            <w:tcW w:w="3105" w:type="dxa"/>
          </w:tcPr>
          <w:p w:rsidR="00D661F4" w:rsidRPr="00FF7398" w:rsidRDefault="00D661F4" w:rsidP="00B27759">
            <w:pPr>
              <w:rPr>
                <w:rFonts w:ascii="StobiSerif Regular" w:hAnsi="StobiSerif Regular"/>
                <w:sz w:val="20"/>
                <w:szCs w:val="20"/>
              </w:rPr>
            </w:pPr>
            <w:r w:rsidRPr="00FF7398">
              <w:rPr>
                <w:rFonts w:ascii="StobiSerif Regular" w:hAnsi="StobiSerif Regular"/>
                <w:sz w:val="20"/>
                <w:szCs w:val="20"/>
              </w:rPr>
              <w:t>Датум на добивање на мислењето од Министерството за информатичко општество и администрација:</w:t>
            </w:r>
          </w:p>
        </w:tc>
        <w:tc>
          <w:tcPr>
            <w:tcW w:w="6196" w:type="dxa"/>
          </w:tcPr>
          <w:p w:rsidR="00D661F4" w:rsidRPr="00FF7398" w:rsidRDefault="00EC45C2" w:rsidP="00B27759">
            <w:pPr>
              <w:rPr>
                <w:rFonts w:ascii="StobiSerif Regular" w:hAnsi="StobiSerif Regular"/>
                <w:sz w:val="20"/>
                <w:szCs w:val="20"/>
              </w:rPr>
            </w:pPr>
            <w:r>
              <w:rPr>
                <w:rFonts w:ascii="StobiSerif Regular" w:hAnsi="StobiSerif Regular"/>
                <w:sz w:val="20"/>
                <w:szCs w:val="20"/>
              </w:rPr>
              <w:t>23.04.2015</w:t>
            </w:r>
          </w:p>
        </w:tc>
      </w:tr>
      <w:tr w:rsidR="00D661F4" w:rsidRPr="00FF7398">
        <w:trPr>
          <w:trHeight w:val="951"/>
        </w:trPr>
        <w:tc>
          <w:tcPr>
            <w:tcW w:w="3105" w:type="dxa"/>
          </w:tcPr>
          <w:p w:rsidR="00D661F4" w:rsidRPr="00FF7398" w:rsidRDefault="00D661F4" w:rsidP="00B27759">
            <w:pPr>
              <w:rPr>
                <w:rFonts w:ascii="StobiSerif Regular" w:hAnsi="StobiSerif Regular"/>
                <w:sz w:val="20"/>
                <w:szCs w:val="20"/>
                <w:lang w:val="en-US"/>
              </w:rPr>
            </w:pPr>
            <w:r w:rsidRPr="00FF7398">
              <w:rPr>
                <w:rFonts w:ascii="StobiSerif Regular" w:hAnsi="StobiSerif Regular"/>
                <w:sz w:val="20"/>
                <w:szCs w:val="20"/>
                <w:lang w:val="mk-MK"/>
              </w:rPr>
              <w:t>Рок за доставување на предлогот на закон до Генералниот секр</w:t>
            </w:r>
            <w:r w:rsidR="008B4EF4" w:rsidRPr="00FF7398">
              <w:rPr>
                <w:rFonts w:ascii="StobiSerif Regular" w:hAnsi="StobiSerif Regular"/>
                <w:sz w:val="20"/>
                <w:szCs w:val="20"/>
                <w:lang w:val="mk-MK"/>
              </w:rPr>
              <w:t>етаријат</w:t>
            </w:r>
          </w:p>
        </w:tc>
        <w:tc>
          <w:tcPr>
            <w:tcW w:w="6196" w:type="dxa"/>
          </w:tcPr>
          <w:p w:rsidR="00D661F4" w:rsidRPr="00FF7398" w:rsidRDefault="003C4A86" w:rsidP="0053212E">
            <w:pPr>
              <w:rPr>
                <w:rFonts w:ascii="StobiSerif Regular" w:hAnsi="StobiSerif Regular"/>
                <w:sz w:val="20"/>
                <w:szCs w:val="20"/>
                <w:lang w:val="mk-MK"/>
              </w:rPr>
            </w:pPr>
            <w:r w:rsidRPr="00FF7398">
              <w:rPr>
                <w:rFonts w:ascii="StobiSerif Regular" w:hAnsi="StobiSerif Regular"/>
                <w:sz w:val="20"/>
                <w:szCs w:val="20"/>
                <w:lang w:val="mk-MK"/>
              </w:rPr>
              <w:t>Април</w:t>
            </w:r>
            <w:r w:rsidR="0053212E" w:rsidRPr="00FF7398">
              <w:rPr>
                <w:rFonts w:ascii="StobiSerif Regular" w:hAnsi="StobiSerif Regular"/>
                <w:sz w:val="20"/>
                <w:szCs w:val="20"/>
                <w:lang w:val="mk-MK"/>
              </w:rPr>
              <w:t xml:space="preserve"> </w:t>
            </w:r>
            <w:r w:rsidR="0002507F" w:rsidRPr="00FF7398">
              <w:rPr>
                <w:rFonts w:ascii="StobiSerif Regular" w:hAnsi="StobiSerif Regular"/>
                <w:sz w:val="20"/>
                <w:szCs w:val="20"/>
                <w:lang w:val="mk-MK"/>
              </w:rPr>
              <w:t>201</w:t>
            </w:r>
            <w:r w:rsidR="0053212E" w:rsidRPr="00FF7398">
              <w:rPr>
                <w:rFonts w:ascii="StobiSerif Regular" w:hAnsi="StobiSerif Regular"/>
                <w:sz w:val="20"/>
                <w:szCs w:val="20"/>
                <w:lang w:val="mk-MK"/>
              </w:rPr>
              <w:t>5</w:t>
            </w:r>
          </w:p>
        </w:tc>
      </w:tr>
    </w:tbl>
    <w:p w:rsidR="00BA6848" w:rsidRPr="00FF7398" w:rsidRDefault="00BA6848"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3C4A86" w:rsidRPr="00FF7398" w:rsidRDefault="003C4A86" w:rsidP="00B27759">
      <w:pPr>
        <w:spacing w:line="276" w:lineRule="auto"/>
        <w:jc w:val="both"/>
        <w:rPr>
          <w:rFonts w:ascii="StobiSerif Regular" w:eastAsia="Calibri" w:hAnsi="StobiSerif Regular" w:cs="Calibri"/>
          <w:iCs/>
          <w:sz w:val="20"/>
          <w:szCs w:val="20"/>
          <w:lang w:val="mk-MK"/>
        </w:rPr>
      </w:pPr>
    </w:p>
    <w:p w:rsidR="00E62DC4" w:rsidRPr="00FF7398" w:rsidRDefault="00E62DC4" w:rsidP="00B27759">
      <w:pPr>
        <w:numPr>
          <w:ilvl w:val="0"/>
          <w:numId w:val="9"/>
        </w:num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Опис на состојбите во областа и дефинирање на проблемот</w:t>
      </w:r>
    </w:p>
    <w:p w:rsidR="00F8280F" w:rsidRPr="00FF7398" w:rsidRDefault="00F8280F" w:rsidP="00B27759">
      <w:pPr>
        <w:tabs>
          <w:tab w:val="left" w:pos="675"/>
        </w:tabs>
        <w:ind w:left="1035"/>
        <w:rPr>
          <w:rFonts w:ascii="StobiSerif Regular" w:hAnsi="StobiSerif Regular"/>
          <w:b/>
          <w:sz w:val="20"/>
          <w:szCs w:val="20"/>
          <w:lang w:val="mk-MK"/>
        </w:rPr>
      </w:pPr>
    </w:p>
    <w:p w:rsidR="00E62DC4" w:rsidRPr="00FF7398" w:rsidRDefault="00E62DC4" w:rsidP="00B27759">
      <w:pPr>
        <w:numPr>
          <w:ilvl w:val="1"/>
          <w:numId w:val="7"/>
        </w:numPr>
        <w:spacing w:line="276" w:lineRule="auto"/>
        <w:jc w:val="both"/>
        <w:rPr>
          <w:rFonts w:ascii="StobiSerif Regular" w:eastAsia="Calibri" w:hAnsi="StobiSerif Regular" w:cs="Calibri"/>
          <w:i/>
          <w:sz w:val="20"/>
          <w:szCs w:val="20"/>
          <w:lang w:val="mk-MK"/>
        </w:rPr>
      </w:pPr>
      <w:r w:rsidRPr="00FF7398">
        <w:rPr>
          <w:rFonts w:ascii="StobiSerif Regular" w:eastAsia="Calibri" w:hAnsi="StobiSerif Regular" w:cs="Calibri"/>
          <w:i/>
          <w:sz w:val="20"/>
          <w:szCs w:val="20"/>
          <w:lang w:val="mk-MK"/>
        </w:rPr>
        <w:t xml:space="preserve">Опис на состојбите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Занаетчискиот сектор во Република Македонија е релативно мал, разновиден и се карактеризира со многу специфични подгрупи.</w:t>
      </w:r>
      <w:proofErr w:type="gramEnd"/>
      <w:r w:rsidRPr="00FF7398">
        <w:rPr>
          <w:rFonts w:ascii="StobiSerif Regular" w:eastAsia="+mn-ea" w:hAnsi="StobiSerif Regular" w:cs="+mn-cs"/>
          <w:color w:val="000000"/>
          <w:kern w:val="24"/>
          <w:sz w:val="20"/>
          <w:szCs w:val="20"/>
        </w:rPr>
        <w:t xml:space="preserve"> </w:t>
      </w:r>
      <w:proofErr w:type="gramStart"/>
      <w:r w:rsidRPr="00FF7398">
        <w:rPr>
          <w:rFonts w:ascii="StobiSerif Regular" w:eastAsiaTheme="minorHAnsi" w:hAnsi="StobiSerif Regular" w:cstheme="minorBidi"/>
          <w:sz w:val="20"/>
          <w:szCs w:val="20"/>
        </w:rPr>
        <w:t>Занаетчиските бизниси се карактеристично мали по обем и се географски распространети.</w:t>
      </w:r>
      <w:proofErr w:type="gramEnd"/>
      <w:r w:rsidRPr="00FF7398">
        <w:rPr>
          <w:rFonts w:ascii="StobiSerif Regular" w:eastAsiaTheme="minorHAnsi" w:hAnsi="StobiSerif Regular" w:cstheme="minorBidi"/>
          <w:sz w:val="20"/>
          <w:szCs w:val="20"/>
        </w:rPr>
        <w:t xml:space="preserve"> Сепак анализите покажуваат дека овој сектор има голем потенцијал да стане значаен работодавец</w:t>
      </w:r>
      <w:proofErr w:type="gramStart"/>
      <w:r w:rsidRPr="00FF7398">
        <w:rPr>
          <w:rFonts w:ascii="StobiSerif Regular" w:eastAsiaTheme="minorHAnsi" w:hAnsi="StobiSerif Regular" w:cstheme="minorBidi"/>
          <w:sz w:val="20"/>
          <w:szCs w:val="20"/>
        </w:rPr>
        <w:t>,  да</w:t>
      </w:r>
      <w:proofErr w:type="gramEnd"/>
      <w:r w:rsidRPr="00FF7398">
        <w:rPr>
          <w:rFonts w:ascii="StobiSerif Regular" w:eastAsiaTheme="minorHAnsi" w:hAnsi="StobiSerif Regular" w:cstheme="minorBidi"/>
          <w:sz w:val="20"/>
          <w:szCs w:val="20"/>
        </w:rPr>
        <w:t xml:space="preserve"> обезбеди прифатливи, одржливи бизниси во сите  региони на државата, особено во руралните делови. Последните достапни податоци за</w:t>
      </w:r>
      <w:r w:rsidRPr="00FF7398">
        <w:rPr>
          <w:rFonts w:ascii="StobiSerif Regular" w:eastAsia="+mn-ea" w:hAnsi="StobiSerif Regular" w:cs="+mn-cs"/>
          <w:color w:val="000000"/>
          <w:kern w:val="24"/>
          <w:sz w:val="20"/>
          <w:szCs w:val="20"/>
        </w:rPr>
        <w:t xml:space="preserve"> б</w:t>
      </w:r>
      <w:r w:rsidRPr="00FF7398">
        <w:rPr>
          <w:rFonts w:ascii="StobiSerif Regular" w:eastAsiaTheme="minorHAnsi" w:hAnsi="StobiSerif Regular" w:cstheme="minorBidi"/>
          <w:sz w:val="20"/>
          <w:szCs w:val="20"/>
        </w:rPr>
        <w:t xml:space="preserve">ројот на занаетчии во Република Македонија, од 2010 година, изнесува 5000, од кои најголем дел од нив се во Скопје и Тетово. </w:t>
      </w:r>
      <w:r w:rsidRPr="00FF7398">
        <w:rPr>
          <w:rFonts w:ascii="StobiSerif Regular" w:hAnsi="StobiSerif Regular" w:cs="Arial"/>
          <w:sz w:val="20"/>
          <w:szCs w:val="20"/>
        </w:rPr>
        <w:t>Според Законот за вршење на занаетчиска дејност од декември 2004 година и измените направени во 2007 година, во моментот на територијата на Република Македонија регистрирана е една</w:t>
      </w:r>
      <w:r w:rsidRPr="00FF7398">
        <w:rPr>
          <w:rFonts w:ascii="StobiSerif Regular" w:eastAsiaTheme="minorHAnsi" w:hAnsi="StobiSerif Regular" w:cstheme="minorBidi"/>
          <w:sz w:val="20"/>
          <w:szCs w:val="20"/>
        </w:rPr>
        <w:t xml:space="preserve"> Занаетчиска комора на Македонија и </w:t>
      </w:r>
      <w:proofErr w:type="gramStart"/>
      <w:r w:rsidRPr="00FF7398">
        <w:rPr>
          <w:rFonts w:ascii="StobiSerif Regular" w:eastAsiaTheme="minorHAnsi" w:hAnsi="StobiSerif Regular" w:cstheme="minorBidi"/>
          <w:sz w:val="20"/>
          <w:szCs w:val="20"/>
        </w:rPr>
        <w:t>1</w:t>
      </w:r>
      <w:r w:rsidRPr="00FF7398">
        <w:rPr>
          <w:rFonts w:ascii="StobiSerif Regular" w:eastAsiaTheme="minorHAnsi" w:hAnsi="StobiSerif Regular" w:cstheme="minorBidi"/>
          <w:sz w:val="20"/>
          <w:szCs w:val="20"/>
          <w:lang w:val="en-US"/>
        </w:rPr>
        <w:t>5</w:t>
      </w:r>
      <w:r w:rsidRPr="00FF7398">
        <w:rPr>
          <w:rFonts w:ascii="StobiSerif Regular" w:eastAsiaTheme="minorHAnsi" w:hAnsi="StobiSerif Regular" w:cstheme="minorBidi"/>
          <w:sz w:val="20"/>
          <w:szCs w:val="20"/>
        </w:rPr>
        <w:t xml:space="preserve">  Регионални</w:t>
      </w:r>
      <w:proofErr w:type="gramEnd"/>
      <w:r w:rsidRPr="00FF7398">
        <w:rPr>
          <w:rFonts w:ascii="StobiSerif Regular" w:eastAsiaTheme="minorHAnsi" w:hAnsi="StobiSerif Regular" w:cstheme="minorBidi"/>
          <w:sz w:val="20"/>
          <w:szCs w:val="20"/>
        </w:rPr>
        <w:t xml:space="preserve"> занаетчиски комори.</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Правната рамка која ја регулира областа на занаетчиството е Законот за вршење на занаетчиска дејност, кој е донесен во 2004 година.</w:t>
      </w:r>
      <w:proofErr w:type="gramEnd"/>
    </w:p>
    <w:p w:rsidR="00597411" w:rsidRPr="00FF7398" w:rsidRDefault="003C4A86" w:rsidP="003C4A86">
      <w:pPr>
        <w:jc w:val="both"/>
        <w:rPr>
          <w:rFonts w:ascii="StobiSerif Regular" w:eastAsiaTheme="minorHAnsi" w:hAnsi="StobiSerif Regular" w:cstheme="minorBidi"/>
          <w:iCs/>
          <w:sz w:val="20"/>
          <w:szCs w:val="20"/>
          <w:lang w:val="ru-RU"/>
        </w:rPr>
      </w:pPr>
      <w:proofErr w:type="gramStart"/>
      <w:r w:rsidRPr="00FF7398">
        <w:rPr>
          <w:rFonts w:ascii="StobiSerif Regular" w:eastAsiaTheme="minorHAnsi" w:hAnsi="StobiSerif Regular" w:cstheme="minorBidi"/>
          <w:sz w:val="20"/>
          <w:szCs w:val="20"/>
        </w:rPr>
        <w:t xml:space="preserve">Политиките за развој и поддршка на занаетчиството се дефинирани во Национална стратегија за развој на занаетчиството (2012-2020) и Годишни програми за развој на претприемништвото, конкурентноста и иновативноста на МСП, кои предвидуваат средства за </w:t>
      </w:r>
      <w:r w:rsidRPr="00FF7398">
        <w:rPr>
          <w:rFonts w:ascii="StobiSerif Regular" w:eastAsiaTheme="minorHAnsi" w:hAnsi="StobiSerif Regular" w:cstheme="minorBidi"/>
          <w:iCs/>
          <w:sz w:val="20"/>
          <w:szCs w:val="20"/>
          <w:lang w:val="ru-RU"/>
        </w:rPr>
        <w:t>кофинансирање на проекти за поддршка и промоција на занаетчиството и субвенции за традиционалното занаетчиство.</w:t>
      </w:r>
      <w:proofErr w:type="gramEnd"/>
    </w:p>
    <w:p w:rsidR="003C4A86" w:rsidRPr="00FF7398" w:rsidRDefault="003C4A86" w:rsidP="003C4A86">
      <w:pPr>
        <w:jc w:val="both"/>
        <w:rPr>
          <w:rFonts w:ascii="StobiSerif Regular" w:eastAsia="Calibri" w:hAnsi="StobiSerif Regular" w:cs="Calibri"/>
          <w:iCs/>
          <w:sz w:val="20"/>
          <w:szCs w:val="20"/>
          <w:lang w:val="mk-MK"/>
        </w:rPr>
      </w:pPr>
    </w:p>
    <w:p w:rsidR="00E62DC4" w:rsidRPr="00FF7398" w:rsidRDefault="00E62DC4" w:rsidP="00B27759">
      <w:pPr>
        <w:spacing w:line="276" w:lineRule="auto"/>
        <w:jc w:val="both"/>
        <w:rPr>
          <w:rFonts w:ascii="StobiSerif Regular" w:eastAsia="Calibri" w:hAnsi="StobiSerif Regular" w:cs="Calibri"/>
          <w:i/>
          <w:iCs/>
          <w:sz w:val="20"/>
          <w:szCs w:val="20"/>
          <w:lang w:val="mk-MK"/>
        </w:rPr>
      </w:pPr>
      <w:r w:rsidRPr="00FF7398">
        <w:rPr>
          <w:rFonts w:ascii="StobiSerif Regular" w:hAnsi="StobiSerif Regular"/>
          <w:i/>
          <w:sz w:val="20"/>
          <w:szCs w:val="20"/>
          <w:lang w:val="mk-MK"/>
        </w:rPr>
        <w:t>1.2</w:t>
      </w:r>
      <w:r w:rsidRPr="00FF7398">
        <w:rPr>
          <w:rFonts w:ascii="StobiSerif Regular" w:hAnsi="StobiSerif Regular"/>
          <w:i/>
          <w:sz w:val="20"/>
          <w:szCs w:val="20"/>
          <w:lang w:val="mk-MK"/>
        </w:rPr>
        <w:tab/>
      </w:r>
      <w:r w:rsidRPr="00FF7398">
        <w:rPr>
          <w:rFonts w:ascii="StobiSerif Regular" w:eastAsia="Calibri" w:hAnsi="StobiSerif Regular" w:cs="Calibri"/>
          <w:i/>
          <w:sz w:val="20"/>
          <w:szCs w:val="20"/>
          <w:lang w:val="mk-MK"/>
        </w:rPr>
        <w:t xml:space="preserve">Причини за проблемите кои се предмет на разгледување </w:t>
      </w:r>
    </w:p>
    <w:p w:rsidR="003C4A86" w:rsidRPr="00FF7398" w:rsidRDefault="003C4A86" w:rsidP="003C4A86">
      <w:pPr>
        <w:tabs>
          <w:tab w:val="num" w:pos="720"/>
        </w:tabs>
        <w:jc w:val="both"/>
        <w:rPr>
          <w:rFonts w:ascii="StobiSerif Regular" w:eastAsiaTheme="minorHAnsi" w:hAnsi="StobiSerif Regular" w:cstheme="minorBidi"/>
          <w:sz w:val="20"/>
          <w:szCs w:val="20"/>
          <w:lang w:val="ru-RU"/>
        </w:rPr>
      </w:pPr>
      <w:r w:rsidRPr="00FF7398">
        <w:rPr>
          <w:rFonts w:ascii="StobiSerif Regular" w:eastAsiaTheme="minorHAnsi" w:hAnsi="StobiSerif Regular" w:cstheme="minorBidi"/>
          <w:sz w:val="20"/>
          <w:szCs w:val="20"/>
        </w:rPr>
        <w:t>Постојат неколку причини од кои произлезе потребата за носење на нова регулатива за вршење на занаетчиската дејност, а се однесуваат на недоволно прецизирање на одредбите во постоечкиот закон, неефикасно функционирање на системот „регионални занаетчиски комори“ како и нефункционалност на системот на образованието кај занаетчиите во делот на мајсторски испит и основањето на центрите за обука.</w:t>
      </w:r>
      <w:r w:rsidRPr="00FF7398">
        <w:rPr>
          <w:rFonts w:ascii="StobiSerif Regular" w:eastAsiaTheme="minorHAnsi" w:hAnsi="StobiSerif Regular" w:cstheme="minorBidi"/>
          <w:sz w:val="20"/>
          <w:szCs w:val="20"/>
          <w:lang w:val="ru-RU"/>
        </w:rPr>
        <w:t xml:space="preserve"> </w:t>
      </w:r>
    </w:p>
    <w:p w:rsidR="003C4A86" w:rsidRPr="00FF7398" w:rsidRDefault="003C4A86" w:rsidP="003C4A86">
      <w:pPr>
        <w:tabs>
          <w:tab w:val="num" w:pos="720"/>
        </w:tabs>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Постоечкиот систем на регионално коморско здружување на занаетчиите е неефикасен бидејќи постои недоволен просторен и административен капацитет во регионалните комори за спроведување на обуки на занаетчиите, развој на занаетчиството и нивна соодветна поддршка.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Досегашното искуство покажува дека недостасува координацијата и соработката помеѓу регионалните комори и ЗКРМ, не се одржуваат заеднички средби на кој би се разменувале искуства и би се креирале планови за соработка и развој.</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Исто така не се пројавени заеднички иницијативи на коморите за подобрување на нивната работата и взаемна соработка како и заедничко аплицирање на проекти за искористување на достапните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Со ова Владата нема на располагање соодветен социјален партнер за соработка со кој ќе може заедно да ги креира политиките за развој на оваа гранка.</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tabs>
          <w:tab w:val="num" w:pos="720"/>
        </w:tabs>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Дополнително, капацитетот и квалитетот на консултантските услуги за подготовка на проекти со цел зголемено искористување на достапните фондови за развој на занаетчиството е многу слаб и поради тоа занаетчиите и коморите се соочуваат со помала достапност до информации и значително помала поддршка за нивен развој.</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 xml:space="preserve">Имајќи го предвид слабиот капацитет и нефункционирање на системот за добивање на мајсторска титула, Регионалните занаетчиски комори не можат да обезбедат континуирано </w:t>
      </w:r>
      <w:r w:rsidRPr="00FF7398">
        <w:rPr>
          <w:rFonts w:ascii="StobiSerif Regular" w:eastAsiaTheme="minorHAnsi" w:hAnsi="StobiSerif Regular" w:cstheme="minorBidi"/>
          <w:sz w:val="20"/>
          <w:szCs w:val="20"/>
        </w:rPr>
        <w:lastRenderedPageBreak/>
        <w:t>образование и развој на стручните вештини кај знаетчиите што доведува до намалување на нивната конкурентност на национално и меѓународно ниво и послаб квалитет на финалниот занаетчиски производ.</w:t>
      </w:r>
      <w:proofErr w:type="gramEnd"/>
      <w:r w:rsidRPr="00FF7398">
        <w:rPr>
          <w:rFonts w:ascii="StobiSerif Regular" w:eastAsiaTheme="minorHAnsi" w:hAnsi="StobiSerif Regular" w:cstheme="minorBidi"/>
          <w:sz w:val="20"/>
          <w:szCs w:val="20"/>
        </w:rPr>
        <w:t xml:space="preserve"> Нееднаквиот квалитет на работа помеѓу занаетчиите, појавата на нелојална конкуренција и сите останати проблеми во оваа дејност доведува до непостоење перцепција за занаетчиството како пропулзивна </w:t>
      </w:r>
      <w:proofErr w:type="gramStart"/>
      <w:r w:rsidRPr="00FF7398">
        <w:rPr>
          <w:rFonts w:ascii="StobiSerif Regular" w:eastAsiaTheme="minorHAnsi" w:hAnsi="StobiSerif Regular" w:cstheme="minorBidi"/>
          <w:sz w:val="20"/>
          <w:szCs w:val="20"/>
        </w:rPr>
        <w:t>дејност  со</w:t>
      </w:r>
      <w:proofErr w:type="gramEnd"/>
      <w:r w:rsidRPr="00FF7398">
        <w:rPr>
          <w:rFonts w:ascii="StobiSerif Regular" w:eastAsiaTheme="minorHAnsi" w:hAnsi="StobiSerif Regular" w:cstheme="minorBidi"/>
          <w:sz w:val="20"/>
          <w:szCs w:val="20"/>
        </w:rPr>
        <w:t xml:space="preserve"> голем потенцијал за развој. </w:t>
      </w:r>
      <w:proofErr w:type="gramStart"/>
      <w:r w:rsidRPr="00FF7398">
        <w:rPr>
          <w:rFonts w:ascii="StobiSerif Regular" w:eastAsiaTheme="minorHAnsi" w:hAnsi="StobiSerif Regular" w:cstheme="minorBidi"/>
          <w:sz w:val="20"/>
          <w:szCs w:val="20"/>
        </w:rPr>
        <w:t>Промоцијата на оваа дејност е на едно незавидно ниво со значително повисоките трошоци за промотивни активности кои не се целно насочени по вид на занаетчии.</w:t>
      </w:r>
      <w:proofErr w:type="gramEnd"/>
    </w:p>
    <w:p w:rsidR="00E62DC4" w:rsidRPr="00FF7398" w:rsidRDefault="003C4A86" w:rsidP="003C4A86">
      <w:pPr>
        <w:pStyle w:val="Standard-TekstFirstline127cm"/>
        <w:ind w:firstLine="0"/>
        <w:rPr>
          <w:rFonts w:ascii="StobiSerif Regular" w:eastAsiaTheme="minorHAnsi" w:hAnsi="StobiSerif Regular" w:cstheme="minorBidi"/>
          <w:sz w:val="20"/>
          <w:szCs w:val="20"/>
          <w:lang w:val="mk-MK"/>
        </w:rPr>
      </w:pPr>
      <w:proofErr w:type="gramStart"/>
      <w:r w:rsidRPr="00FF7398">
        <w:rPr>
          <w:rFonts w:ascii="StobiSerif Regular" w:eastAsiaTheme="minorHAnsi" w:hAnsi="StobiSerif Regular" w:cstheme="minorBidi"/>
          <w:sz w:val="20"/>
          <w:szCs w:val="20"/>
        </w:rPr>
        <w:t>Присутни се и проблемите поврзани со постоење на неунифициран тарифник за регистрација како и непостоење на централна база на податоци за занаетчиите кој придонесува за несоодветно креирање на политиките за поддршка и развој на занаетчиството врз основа на нецелосни информации.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Сега податоците се чуваат на најразлични места во регионалните комори, па дури и во архивите на поедини членови на коморите.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Исто така државата нема контрола врз јавните овластувања кои со законот се предадени на коморите.</w:t>
      </w:r>
      <w:proofErr w:type="gramEnd"/>
    </w:p>
    <w:p w:rsidR="003C4A86" w:rsidRPr="00FF7398" w:rsidRDefault="003C4A86" w:rsidP="003C4A86">
      <w:pPr>
        <w:pStyle w:val="Standard-TekstFirstline127cm"/>
        <w:ind w:firstLine="0"/>
        <w:rPr>
          <w:rFonts w:ascii="StobiSerif Regular" w:hAnsi="StobiSerif Regular" w:cs="Calibri"/>
          <w:sz w:val="20"/>
          <w:szCs w:val="20"/>
          <w:lang w:val="mk-MK"/>
        </w:rPr>
      </w:pPr>
    </w:p>
    <w:p w:rsidR="00E62DC4" w:rsidRPr="00FF7398" w:rsidRDefault="00E62DC4" w:rsidP="00B27759">
      <w:p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 xml:space="preserve">2. </w:t>
      </w:r>
      <w:r w:rsidRPr="00FF7398">
        <w:rPr>
          <w:rFonts w:ascii="StobiSerif Regular" w:hAnsi="StobiSerif Regular"/>
          <w:b/>
          <w:sz w:val="20"/>
          <w:szCs w:val="20"/>
          <w:lang w:val="mk-MK"/>
        </w:rPr>
        <w:tab/>
        <w:t>Цели на предлог регулативата</w:t>
      </w:r>
    </w:p>
    <w:p w:rsidR="00E62DC4" w:rsidRPr="00FF7398" w:rsidRDefault="00E62DC4" w:rsidP="00B27759">
      <w:pPr>
        <w:jc w:val="both"/>
        <w:rPr>
          <w:rFonts w:ascii="StobiSerif Regular" w:hAnsi="StobiSerif Regular"/>
          <w:sz w:val="20"/>
          <w:szCs w:val="20"/>
          <w:lang w:val="mk-MK"/>
        </w:rPr>
      </w:pPr>
      <w:r w:rsidRPr="00FF7398">
        <w:rPr>
          <w:rFonts w:ascii="StobiSerif Regular" w:hAnsi="StobiSerif Regular"/>
          <w:sz w:val="20"/>
          <w:szCs w:val="20"/>
          <w:lang w:val="mk-MK"/>
        </w:rPr>
        <w:tab/>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Целта на новата предлог регулатива е обезбедување на квалитетна поддршка за развој на конкурентноста на занаетчиството и еднакви услови за регистрација и вршење на занаетчиската дејност.</w:t>
      </w:r>
      <w:proofErr w:type="gramEnd"/>
    </w:p>
    <w:p w:rsidR="00D533EA" w:rsidRPr="00FF7398" w:rsidRDefault="00D533EA" w:rsidP="00D533EA">
      <w:pPr>
        <w:jc w:val="both"/>
        <w:rPr>
          <w:rFonts w:ascii="StobiSerif Regular" w:hAnsi="StobiSerif Regular"/>
          <w:sz w:val="20"/>
          <w:szCs w:val="20"/>
          <w:lang w:val="mk-MK"/>
        </w:rPr>
      </w:pPr>
    </w:p>
    <w:p w:rsidR="00B27759" w:rsidRPr="00FF7398" w:rsidRDefault="00B27759" w:rsidP="00B27759">
      <w:pPr>
        <w:autoSpaceDE w:val="0"/>
        <w:autoSpaceDN w:val="0"/>
        <w:adjustRightInd w:val="0"/>
        <w:ind w:firstLine="720"/>
        <w:jc w:val="both"/>
        <w:rPr>
          <w:rFonts w:ascii="StobiSerif Regular" w:hAnsi="StobiSerif Regular" w:cs="Arial"/>
          <w:sz w:val="20"/>
          <w:szCs w:val="20"/>
          <w:lang w:val="mk-MK"/>
        </w:rPr>
      </w:pPr>
    </w:p>
    <w:p w:rsidR="00E62DC4" w:rsidRPr="00FF7398" w:rsidRDefault="00E62DC4" w:rsidP="00B27759">
      <w:p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3.</w:t>
      </w:r>
      <w:r w:rsidRPr="00FF7398">
        <w:rPr>
          <w:rFonts w:ascii="StobiSerif Regular" w:hAnsi="StobiSerif Regular"/>
          <w:b/>
          <w:sz w:val="20"/>
          <w:szCs w:val="20"/>
          <w:lang w:val="mk-MK"/>
        </w:rPr>
        <w:tab/>
        <w:t>Можни решенија (опции)</w:t>
      </w:r>
    </w:p>
    <w:p w:rsidR="00E62DC4" w:rsidRPr="00FF7398" w:rsidRDefault="00E62DC4" w:rsidP="00B27759">
      <w:pPr>
        <w:spacing w:line="276" w:lineRule="auto"/>
        <w:jc w:val="both"/>
        <w:rPr>
          <w:rFonts w:ascii="StobiSerif Regular" w:hAnsi="StobiSerif Regular"/>
          <w:i/>
          <w:sz w:val="20"/>
          <w:szCs w:val="20"/>
          <w:lang w:val="ru-RU"/>
        </w:rPr>
      </w:pPr>
    </w:p>
    <w:p w:rsidR="00E62DC4" w:rsidRPr="00FF7398" w:rsidRDefault="00E62DC4" w:rsidP="00FF5B4C">
      <w:pPr>
        <w:pStyle w:val="ListParagraph"/>
        <w:numPr>
          <w:ilvl w:val="1"/>
          <w:numId w:val="22"/>
        </w:numPr>
        <w:jc w:val="both"/>
        <w:rPr>
          <w:rFonts w:ascii="StobiSerif Regular" w:hAnsi="StobiSerif Regular" w:cs="Calibri"/>
          <w:i/>
          <w:sz w:val="20"/>
          <w:szCs w:val="20"/>
        </w:rPr>
      </w:pPr>
      <w:r w:rsidRPr="00FF7398">
        <w:rPr>
          <w:rFonts w:ascii="StobiSerif Regular" w:hAnsi="StobiSerif Regular" w:cs="Calibri"/>
          <w:i/>
          <w:sz w:val="20"/>
          <w:szCs w:val="20"/>
        </w:rPr>
        <w:t>Опис на решението „не прави ништо“</w:t>
      </w:r>
    </w:p>
    <w:p w:rsidR="003C4A86" w:rsidRPr="00FF7398" w:rsidRDefault="003C4A86" w:rsidP="003C4A86">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Моменталниот систем на здружување на занаетчиите се одвива преку воспоставените 1</w:t>
      </w:r>
      <w:r w:rsidRPr="00FF7398">
        <w:rPr>
          <w:rFonts w:ascii="StobiSerif Regular" w:eastAsiaTheme="minorHAnsi" w:hAnsi="StobiSerif Regular" w:cstheme="minorBidi"/>
          <w:sz w:val="20"/>
          <w:szCs w:val="20"/>
          <w:lang w:val="sq-AL"/>
        </w:rPr>
        <w:t>5</w:t>
      </w:r>
      <w:r w:rsidRPr="00FF7398">
        <w:rPr>
          <w:rFonts w:ascii="StobiSerif Regular" w:eastAsiaTheme="minorHAnsi" w:hAnsi="StobiSerif Regular" w:cstheme="minorBidi"/>
          <w:sz w:val="20"/>
          <w:szCs w:val="20"/>
        </w:rPr>
        <w:t xml:space="preserve"> Регионални занаетчиски комори и една Национална Занаетчиска комора на Република Македонија. Функционалноста на овој систем е неефикасна и доколку се продолжи и понатаму да се спроведува, без никакви унапредувања, постоечките проблеми и трошоци ќе се продлабочуваат и зголемуваат. </w:t>
      </w:r>
      <w:proofErr w:type="gramStart"/>
      <w:r w:rsidRPr="00FF7398">
        <w:rPr>
          <w:rFonts w:ascii="StobiSerif Regular" w:eastAsiaTheme="minorHAnsi" w:hAnsi="StobiSerif Regular" w:cstheme="minorBidi"/>
          <w:sz w:val="20"/>
          <w:szCs w:val="20"/>
        </w:rPr>
        <w:t>Постои нејасно дефинирање на односите помеѓу Занаетчиската комора на РМ и Регионалните комори, улогата на ЗКРМ како социјален партнер на Владата е несоодветно исполнета и во иднина може целосно да се изгуби.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Бидејќи соработката помеѓу коморите е несоодветна и не се пројавени иницијативи за развој на занаетчиството, Владата нема силен партнер преку кој може да ги спроведува проектите.</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Поради проблемот со непостоење на централна база на податоци, односно централен занаетчиски регистар, доколку истата не се воспостави и не се одржува Владата ќе креира политики врз основа на нецелосни информации.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Некој од позначајните проблеми со кои се соочуваат занаетчиите е слабата конкурентост на занаетчиските производи и услуги, појавата на нелојална конкуренција и ниски цени од увезените занаетчиски производи од странство.</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Моментално регионалните комори имаат несоодветен капацитет за ефикасно опслужување и задоволување на потребите на занаетчиите.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Капацитетите на регионалните комори за одржување на обуки за занаетчиите за развој на стручните вештини е многу слаба и со значително повисоки трошоци, што во иднина може дополнително да се зголемуваат како ќе се зголемуваат и потребите на занаетчиите.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Исто така недостасува и капацитет за промоција на занаетчиските производи во странство како и пружање на консултантски услуги за изработка на проекти или аплицирање за кредити.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 xml:space="preserve">Ако не се интервенира соодветно сите наведени проблеми директно ќе влијаат врз </w:t>
      </w:r>
      <w:r w:rsidRPr="00FF7398">
        <w:rPr>
          <w:rFonts w:ascii="StobiSerif Regular" w:eastAsiaTheme="minorHAnsi" w:hAnsi="StobiSerif Regular" w:cstheme="minorBidi"/>
          <w:sz w:val="20"/>
          <w:szCs w:val="20"/>
        </w:rPr>
        <w:lastRenderedPageBreak/>
        <w:t>забавување на развојот на занаетчиството во земјата, а со тоа овој значаен сектор ќе стане неатрактивен за развој на малите бизниси и бројот на занаетчии ќе се намалува секоја година.</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hAnsi="StobiSerif Regular" w:cs="Calibri"/>
          <w:i/>
          <w:sz w:val="20"/>
          <w:szCs w:val="20"/>
          <w:lang w:val="mk-MK"/>
        </w:rPr>
      </w:pPr>
    </w:p>
    <w:p w:rsidR="00E62DC4" w:rsidRPr="00FF7398" w:rsidRDefault="00E62DC4" w:rsidP="005B33F0">
      <w:pPr>
        <w:tabs>
          <w:tab w:val="left" w:pos="675"/>
        </w:tabs>
        <w:rPr>
          <w:rFonts w:ascii="StobiSerif Regular" w:hAnsi="StobiSerif Regular" w:cs="Calibri"/>
          <w:i/>
          <w:sz w:val="20"/>
          <w:szCs w:val="20"/>
          <w:lang w:val="mk-MK"/>
        </w:rPr>
      </w:pPr>
    </w:p>
    <w:p w:rsidR="00E62DC4" w:rsidRPr="00FF7398" w:rsidRDefault="00E62DC4" w:rsidP="00B27759">
      <w:pPr>
        <w:ind w:firstLine="720"/>
        <w:jc w:val="both"/>
        <w:rPr>
          <w:rFonts w:ascii="StobiSerif Regular" w:hAnsi="StobiSerif Regular"/>
          <w:i/>
          <w:sz w:val="20"/>
          <w:szCs w:val="20"/>
          <w:lang w:val="mk-MK"/>
        </w:rPr>
      </w:pPr>
      <w:r w:rsidRPr="00FF7398">
        <w:rPr>
          <w:rFonts w:ascii="StobiSerif Regular" w:hAnsi="StobiSerif Regular"/>
          <w:i/>
          <w:sz w:val="20"/>
          <w:szCs w:val="20"/>
          <w:lang w:val="mk-MK"/>
        </w:rPr>
        <w:t>3.2</w:t>
      </w:r>
      <w:r w:rsidRPr="00FF7398">
        <w:rPr>
          <w:rFonts w:ascii="StobiSerif Regular" w:hAnsi="StobiSerif Regular"/>
          <w:i/>
          <w:sz w:val="20"/>
          <w:szCs w:val="20"/>
          <w:lang w:val="mk-MK"/>
        </w:rPr>
        <w:tab/>
        <w:t>Опис на можните решенија (опции) за решавање на проблемот</w:t>
      </w:r>
    </w:p>
    <w:p w:rsidR="003C4A86" w:rsidRPr="00FF7398" w:rsidRDefault="003C4A86" w:rsidP="003C4A86">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За целите на оваа Проценка на влијанието на регулативата беа разгледувани и споредувани три можни опции за регулирање на концептот за вршење на занаетчиска дејност, и тоа: </w:t>
      </w:r>
    </w:p>
    <w:p w:rsidR="003C4A86" w:rsidRPr="00FF7398" w:rsidRDefault="003C4A86" w:rsidP="003C4A86">
      <w:pPr>
        <w:pStyle w:val="ListParagraph"/>
        <w:numPr>
          <w:ilvl w:val="0"/>
          <w:numId w:val="29"/>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Унапредување на постоечкиот систем на регионално коморско здружување,</w:t>
      </w:r>
    </w:p>
    <w:p w:rsidR="003C4A86" w:rsidRPr="00FF7398" w:rsidRDefault="003C4A86" w:rsidP="003C4A86">
      <w:pPr>
        <w:pStyle w:val="ListParagraph"/>
        <w:numPr>
          <w:ilvl w:val="0"/>
          <w:numId w:val="29"/>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Воспоставување на Централна комора </w:t>
      </w:r>
    </w:p>
    <w:p w:rsidR="003C4A86" w:rsidRPr="00FF7398" w:rsidRDefault="003C4A86" w:rsidP="003C4A86">
      <w:pPr>
        <w:pStyle w:val="ListParagraph"/>
        <w:numPr>
          <w:ilvl w:val="0"/>
          <w:numId w:val="29"/>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Воспоставување на Централна комора со упис на занаетчиите во Централниот регистар на Република Македонија. </w:t>
      </w:r>
    </w:p>
    <w:p w:rsidR="003C4A86" w:rsidRPr="00FF7398" w:rsidRDefault="003C4A86" w:rsidP="003C4A86">
      <w:pPr>
        <w:jc w:val="both"/>
        <w:rPr>
          <w:rFonts w:ascii="StobiSerif Regular" w:eastAsiaTheme="minorHAnsi" w:hAnsi="StobiSerif Regular" w:cstheme="minorBidi"/>
          <w:sz w:val="20"/>
          <w:szCs w:val="20"/>
        </w:rPr>
      </w:pP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Со цел успешно спроведување на првата опција потребно е унапредување на постоечката инфраструктура на институции и подобрување на институционалниот капацитет на Централната комора и на регионалните занаетчиски комори, преку вработување на нови лица и обука на постоечките со цел задоволување на потребите и опслужување на сите занаетчии.</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За спроведувањето на втората и третата опција кои се однесуваат на централно коморско здружување неопходно е носење на нов закон за вршење на занаетчиска дејност со кој ќе допрецизираат одредбите на постоечкиот закон кој ја регулира оваа област во делот на здружување на коморите и нивно поврзување, јавните овластувања, допрецизирање на </w:t>
      </w:r>
      <w:r w:rsidRPr="00FF7398">
        <w:rPr>
          <w:rFonts w:ascii="StobiSerif Regular" w:hAnsi="StobiSerif Regular"/>
          <w:sz w:val="20"/>
          <w:szCs w:val="20"/>
        </w:rPr>
        <w:t>постапката за стекнување мајсторска титула итн.</w:t>
      </w:r>
      <w:r w:rsidRPr="00FF7398">
        <w:rPr>
          <w:rFonts w:ascii="StobiSerif Regular" w:eastAsiaTheme="minorHAnsi" w:hAnsi="StobiSerif Regular" w:cstheme="minorBidi"/>
          <w:sz w:val="20"/>
          <w:szCs w:val="20"/>
        </w:rPr>
        <w:t xml:space="preserve">    </w:t>
      </w:r>
    </w:p>
    <w:p w:rsidR="00237832" w:rsidRPr="00FF7398" w:rsidRDefault="00237832" w:rsidP="00C25F50">
      <w:pPr>
        <w:jc w:val="both"/>
        <w:rPr>
          <w:rFonts w:ascii="StobiSerif Regular" w:hAnsi="StobiSerif Regular"/>
          <w:sz w:val="20"/>
          <w:szCs w:val="20"/>
          <w:u w:val="single"/>
          <w:lang w:val="mk-MK"/>
        </w:rPr>
      </w:pPr>
    </w:p>
    <w:p w:rsidR="00320CED" w:rsidRPr="00FF7398" w:rsidRDefault="00320CED" w:rsidP="00B27759">
      <w:pPr>
        <w:tabs>
          <w:tab w:val="left" w:pos="675"/>
        </w:tabs>
        <w:rPr>
          <w:rFonts w:ascii="StobiSerif Regular" w:hAnsi="StobiSerif Regular"/>
          <w:sz w:val="20"/>
          <w:szCs w:val="20"/>
          <w:lang w:val="mk-MK"/>
        </w:rPr>
      </w:pPr>
    </w:p>
    <w:p w:rsidR="00E62DC4" w:rsidRPr="00FF7398" w:rsidRDefault="00E62DC4" w:rsidP="00B27759">
      <w:pPr>
        <w:numPr>
          <w:ilvl w:val="0"/>
          <w:numId w:val="6"/>
        </w:numPr>
        <w:tabs>
          <w:tab w:val="left" w:pos="675"/>
        </w:tabs>
        <w:rPr>
          <w:rFonts w:ascii="StobiSerif Regular" w:hAnsi="StobiSerif Regular"/>
          <w:b/>
          <w:sz w:val="20"/>
          <w:szCs w:val="20"/>
          <w:lang w:val="en-US"/>
        </w:rPr>
      </w:pPr>
      <w:r w:rsidRPr="00FF7398">
        <w:rPr>
          <w:rFonts w:ascii="StobiSerif Regular" w:hAnsi="StobiSerif Regular"/>
          <w:b/>
          <w:sz w:val="20"/>
          <w:szCs w:val="20"/>
          <w:lang w:val="mk-MK"/>
        </w:rPr>
        <w:t>Проценка на влијанијата на регулативата</w:t>
      </w:r>
    </w:p>
    <w:p w:rsidR="006A5FBC" w:rsidRPr="00FF7398" w:rsidRDefault="006A5FBC" w:rsidP="00B27759">
      <w:pPr>
        <w:tabs>
          <w:tab w:val="left" w:pos="675"/>
        </w:tabs>
        <w:ind w:left="360"/>
        <w:rPr>
          <w:rFonts w:ascii="StobiSerif Regular" w:hAnsi="StobiSerif Regular"/>
          <w:b/>
          <w:sz w:val="20"/>
          <w:szCs w:val="20"/>
          <w:lang w:val="en-US"/>
        </w:rPr>
      </w:pPr>
    </w:p>
    <w:p w:rsidR="00E62DC4" w:rsidRPr="00FF7398" w:rsidRDefault="00E62DC4" w:rsidP="00B27759">
      <w:pPr>
        <w:jc w:val="both"/>
        <w:rPr>
          <w:rFonts w:ascii="StobiSerif Regular" w:hAnsi="StobiSerif Regular"/>
          <w:i/>
          <w:sz w:val="20"/>
          <w:szCs w:val="20"/>
          <w:lang w:val="mk-MK"/>
        </w:rPr>
      </w:pPr>
      <w:r w:rsidRPr="00FF7398">
        <w:rPr>
          <w:rFonts w:ascii="StobiSerif Regular" w:hAnsi="StobiSerif Regular"/>
          <w:sz w:val="20"/>
          <w:szCs w:val="20"/>
          <w:lang w:val="mk-MK"/>
        </w:rPr>
        <w:tab/>
      </w:r>
      <w:r w:rsidRPr="00FF7398">
        <w:rPr>
          <w:rFonts w:ascii="StobiSerif Regular" w:hAnsi="StobiSerif Regular"/>
          <w:i/>
          <w:sz w:val="20"/>
          <w:szCs w:val="20"/>
          <w:lang w:val="mk-MK"/>
        </w:rPr>
        <w:t>Можни позитивни и негативни влијанија од секоја од опциите:</w:t>
      </w:r>
    </w:p>
    <w:p w:rsidR="00E62DC4" w:rsidRPr="00FF7398" w:rsidRDefault="00E62DC4" w:rsidP="00B27759">
      <w:pPr>
        <w:tabs>
          <w:tab w:val="left" w:pos="675"/>
        </w:tabs>
        <w:rPr>
          <w:rFonts w:ascii="StobiSerif Regular" w:hAnsi="StobiSerif Regular"/>
          <w:i/>
          <w:sz w:val="20"/>
          <w:szCs w:val="20"/>
          <w:lang w:val="mk-MK"/>
        </w:rPr>
      </w:pPr>
    </w:p>
    <w:p w:rsidR="00E62DC4" w:rsidRPr="00FF7398" w:rsidRDefault="00335BC9" w:rsidP="00B27759">
      <w:pPr>
        <w:numPr>
          <w:ilvl w:val="1"/>
          <w:numId w:val="6"/>
        </w:numPr>
        <w:jc w:val="both"/>
        <w:rPr>
          <w:rFonts w:ascii="StobiSerif Regular" w:hAnsi="StobiSerif Regular"/>
          <w:i/>
          <w:sz w:val="20"/>
          <w:szCs w:val="20"/>
          <w:lang w:val="mk-MK"/>
        </w:rPr>
      </w:pPr>
      <w:r w:rsidRPr="00FF7398">
        <w:rPr>
          <w:rFonts w:ascii="StobiSerif Regular" w:hAnsi="StobiSerif Regular"/>
          <w:i/>
          <w:sz w:val="20"/>
          <w:szCs w:val="20"/>
          <w:lang w:val="mk-MK"/>
        </w:rPr>
        <w:t>Економски влијанија</w:t>
      </w:r>
    </w:p>
    <w:p w:rsidR="003C4A86" w:rsidRPr="00FF7398" w:rsidRDefault="003C4A86" w:rsidP="003C4A86">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Во насока на дефинирање и анализирање на можните придобивки и трошоци за секоја од предвидените опции беше извршена cost-benefit анализа, при што се разгледуваа трошоците и придобивките, изразени во монетарни единици, за сите засегнати страни односно Владата, занаетчиите, коморите и крајните потрошувачи. Cost- </w:t>
      </w:r>
      <w:proofErr w:type="gramStart"/>
      <w:r w:rsidRPr="00FF7398">
        <w:rPr>
          <w:rFonts w:ascii="StobiSerif Regular" w:eastAsiaTheme="minorHAnsi" w:hAnsi="StobiSerif Regular" w:cstheme="minorBidi"/>
          <w:sz w:val="20"/>
          <w:szCs w:val="20"/>
        </w:rPr>
        <w:t>benefit</w:t>
      </w:r>
      <w:proofErr w:type="gramEnd"/>
      <w:r w:rsidRPr="00FF7398">
        <w:rPr>
          <w:rFonts w:ascii="StobiSerif Regular" w:eastAsiaTheme="minorHAnsi" w:hAnsi="StobiSerif Regular" w:cstheme="minorBidi"/>
          <w:sz w:val="20"/>
          <w:szCs w:val="20"/>
        </w:rPr>
        <w:t xml:space="preserve"> анализата е клучна алатка која ги анализира и споредува потенцијалните економски трошоци и придобивки за секоја опција. За целите на подготовка на проценка на влијанието на Законот за вршење на занаетчиска дејност, трошоците и придобивките за секоја опција беа дефинирани согласно неколку важни аспекти за имплементација на процесот на занаетчиска дејност, и тоа: Постоење на унифицирана регистрација и тарифник; Спроведување на обука и доследно спроведување на критериумите на мајсторскиот испит; Промоција и интернационализација; Јавни овластувања; Централна база на податоци; Консултантска поддршка за занаетчиите и капацитет за проекти; и Конкурентноста. Резултатите од примената на оваа алатка се следниве:</w:t>
      </w:r>
    </w:p>
    <w:p w:rsidR="00FF7398" w:rsidRPr="00FF7398" w:rsidRDefault="00FF7398" w:rsidP="003C4A86">
      <w:pPr>
        <w:jc w:val="both"/>
        <w:rPr>
          <w:rFonts w:ascii="StobiSerif Regular" w:eastAsiaTheme="minorHAnsi" w:hAnsi="StobiSerif Regular" w:cstheme="minorBidi"/>
          <w:b/>
          <w:i/>
          <w:sz w:val="20"/>
          <w:szCs w:val="20"/>
          <w:lang w:val="mk-MK"/>
        </w:rPr>
      </w:pPr>
    </w:p>
    <w:p w:rsidR="003C4A86" w:rsidRPr="00FF7398" w:rsidRDefault="003C4A86" w:rsidP="003C4A86">
      <w:pPr>
        <w:jc w:val="both"/>
        <w:rPr>
          <w:rFonts w:ascii="StobiSerif Regular" w:eastAsiaTheme="minorHAnsi" w:hAnsi="StobiSerif Regular" w:cstheme="minorBidi"/>
          <w:b/>
          <w:i/>
          <w:sz w:val="20"/>
          <w:szCs w:val="20"/>
        </w:rPr>
      </w:pPr>
      <w:r w:rsidRPr="00FF7398">
        <w:rPr>
          <w:rFonts w:ascii="StobiSerif Regular" w:eastAsiaTheme="minorHAnsi" w:hAnsi="StobiSerif Regular" w:cstheme="minorBidi"/>
          <w:b/>
          <w:i/>
          <w:sz w:val="20"/>
          <w:szCs w:val="20"/>
        </w:rPr>
        <w:t>Опција 1- Регионални комори – Унапредување на системот на регионални комори</w:t>
      </w:r>
    </w:p>
    <w:p w:rsidR="003C4A86" w:rsidRPr="00FF7398" w:rsidRDefault="003C4A86" w:rsidP="003C4A86">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По однос на првата опција, односно задржување на моменталниот систем на Регионални занаетчиски комори, негативните влијанија, односно трошоците, врз Владата произлегуваат од немањето на податоци на централно ниво и недостаток на централна </w:t>
      </w:r>
      <w:r w:rsidRPr="00FF7398">
        <w:rPr>
          <w:rFonts w:ascii="StobiSerif Regular" w:eastAsiaTheme="minorHAnsi" w:hAnsi="StobiSerif Regular" w:cstheme="minorBidi"/>
          <w:sz w:val="20"/>
          <w:szCs w:val="20"/>
        </w:rPr>
        <w:lastRenderedPageBreak/>
        <w:t xml:space="preserve">база на податоци што предизвикува несоодветно креирање на политиките, како и негативни ефекти од злоупотреба на јавни овластувања од страна на регионалните комори. </w:t>
      </w:r>
      <w:proofErr w:type="gramStart"/>
      <w:r w:rsidRPr="00FF7398">
        <w:rPr>
          <w:rFonts w:ascii="StobiSerif Regular" w:eastAsiaTheme="minorHAnsi" w:hAnsi="StobiSerif Regular" w:cstheme="minorBidi"/>
          <w:sz w:val="20"/>
          <w:szCs w:val="20"/>
        </w:rPr>
        <w:t>Дополнително негативните влијанија од овој систем на здружување се однесуваат и на процесот на промоција на занаетчиството, при што потенцијалот за промоција не е целосно искористен бидејќи интересите на занаетчиите се диспрезирани на повеќе регионални комори и различни гранки во занатчиството не се еднакво промовирани.</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Потенцијалните трошоци за втората засегната страна - занаетчиите се однесуваат на неунифицираниот тарифник за регистрација помеѓу регионалните комори и како и нецелосна покриеност на сите региони во државата, што предизвикува и нелојална конкуренција на пазарот.</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Трошоците кои се поврзани со промоција на производите и занаетчиството како и консултантските услуги за подготовка на проекти се значително повисоки и со понизок квалитет бидејќи се подготвуваат за помал број на занаетчиите во рамките на секоја регионална комора.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Поради слабиот административен капацитет на регионалните комори, занаетчиите се соочуваат и со недоволна поддршка и помала достапност до информации што влијае директно врз нивната конкурентност.</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Можните придобивки за занаетчиите од продолжување на системот на регионални комори се задржување на уникатноста и автентичноста на регионот во кој тие ја вршат својата дејност.</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Негативните влијанија врз коморите, како засегнати страни, произлегуваат од неефикасниот систем за регистрација на занаетчиите како и неунифициран тарифник за регистрација што влијае врз работата и функционалноста на коморите, а дополнително придонесува и за нелојална конкуренција на пазарот.</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Слабиот административен капацитет на регионалните комори предвидува повисоки трошоци за обука или дополнително ангажирање на човечки ресурси за ефикасно спроведување на обуките за занаетчиите, промоција во странство и давање на консултантски услуги за подготовка на проекти и аплицирање за кредити.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Сето ова доведува и до слабо искористување на потенцијалот за абсорпција на меѓународните фондови.</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Поради малите финансиски средства за промоција регионалните коморите не ги застапуваат доволно своите интереси на национално и меѓународно ниво.</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Еден од позначајните трошоци во системот на децентрализирано коморско здружување е непостоењето на единствен регистар на податоци, односно регистар за вршители на занаетчиска дејност кој треба да биде поврзан со останатите релевантни државни институции.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Економските придобивки за регионалните занаетчиски комори се приходите што ги остваруваат од регистрација на занаетчиите, како и располагање со јавните овластувања кои им се доделени согласно законските прописи.</w:t>
      </w:r>
      <w:proofErr w:type="gramEnd"/>
      <w:r w:rsidRPr="00FF7398">
        <w:rPr>
          <w:rFonts w:ascii="StobiSerif Regular" w:eastAsiaTheme="minorHAnsi" w:hAnsi="StobiSerif Regular" w:cstheme="minorBidi"/>
          <w:sz w:val="20"/>
          <w:szCs w:val="20"/>
        </w:rPr>
        <w:t xml:space="preserve">     </w:t>
      </w:r>
    </w:p>
    <w:p w:rsidR="003C4A86" w:rsidRPr="00FF7398" w:rsidRDefault="003C4A86" w:rsidP="003C4A8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Крајните потрошувачи, за кој всушност се наменети финалните занаетчиски производи, добиваат производи со понизок квалитет поради сите наведени слабости на системот како и слабата поддршка на занаетчиството и појавата на нелојална конкуренција.</w:t>
      </w:r>
      <w:proofErr w:type="gramEnd"/>
      <w:r w:rsidRPr="00FF7398">
        <w:rPr>
          <w:rFonts w:ascii="StobiSerif Regular" w:eastAsiaTheme="minorHAnsi" w:hAnsi="StobiSerif Regular" w:cstheme="minorBidi"/>
          <w:sz w:val="20"/>
          <w:szCs w:val="20"/>
        </w:rPr>
        <w:t xml:space="preserve"> </w:t>
      </w:r>
    </w:p>
    <w:p w:rsidR="00E62DC4" w:rsidRPr="00FF7398" w:rsidRDefault="00E62DC4" w:rsidP="00B27759">
      <w:pPr>
        <w:tabs>
          <w:tab w:val="left" w:pos="675"/>
        </w:tabs>
        <w:rPr>
          <w:rFonts w:ascii="StobiSerif Regular" w:hAnsi="StobiSerif Regular"/>
          <w:sz w:val="20"/>
          <w:szCs w:val="20"/>
          <w:lang w:val="mk-MK"/>
        </w:rPr>
      </w:pPr>
    </w:p>
    <w:p w:rsidR="00FF7398" w:rsidRPr="00FF7398" w:rsidRDefault="00FF7398" w:rsidP="00FF7398">
      <w:pPr>
        <w:jc w:val="both"/>
        <w:rPr>
          <w:rFonts w:ascii="StobiSerif Regular" w:eastAsiaTheme="minorHAnsi" w:hAnsi="StobiSerif Regular" w:cstheme="minorBidi"/>
          <w:b/>
          <w:i/>
          <w:sz w:val="20"/>
          <w:szCs w:val="20"/>
        </w:rPr>
      </w:pPr>
      <w:r w:rsidRPr="00FF7398">
        <w:rPr>
          <w:rFonts w:ascii="StobiSerif Regular" w:eastAsiaTheme="minorHAnsi" w:hAnsi="StobiSerif Regular" w:cstheme="minorBidi"/>
          <w:b/>
          <w:i/>
          <w:sz w:val="20"/>
          <w:szCs w:val="20"/>
        </w:rPr>
        <w:t>Опција II- Централна комора</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Втората опција која беше анализирана е воспоставување на систем на центално коморско здружување со општински комори.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За воспоставување и имплементација на овој систем не се предвидени никакви трошоци за Владата, додека економските придобивките се поврзани со формирање на централна база на податоци која ќе придонесе кон ефикасно креирање и имплементација на политиките, како и креирање на силен социјален партнер на државата.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Дополнително придобивките за Владата се и зголемено учество на занаетчиството во БДП и приход од даноци од вршење на занаетчиска дејност.</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 xml:space="preserve">Подобрената перцепција за занаетчиството, зголемената поддршка како и соодветното </w:t>
      </w:r>
      <w:r w:rsidRPr="00FF7398">
        <w:rPr>
          <w:rFonts w:ascii="StobiSerif Regular" w:eastAsiaTheme="minorHAnsi" w:hAnsi="StobiSerif Regular" w:cstheme="minorBidi"/>
          <w:sz w:val="20"/>
          <w:szCs w:val="20"/>
        </w:rPr>
        <w:lastRenderedPageBreak/>
        <w:t>креирање на политиките ќе придонесе кон пораст на бројот на занаетчиите што директно ќе влијае врз намалување на невработеноста.</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Предвидените потенцијални трошоци за занаетчиите се трошоците за регистрација и упис во Централната комори.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Придобивките за занаетчиите од постоењето на систем на централизирано коморско здружување се постоење на лојална конкуренција на пазарот и креирање на еден единствен унифициран тарифник за сите занаетчии, но и повисок квалитет на обуки и континуиран развој на стручни вештини, како резултат на ангажирање на соодветени и поквалитетни обучувачи.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Ангажирање обучен кадар кој ќе може да пружи квалитетни консултантски услуги ќе придонесе кон отворање на поголеми можности за користење меѓународните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По однос на промотивните активности, централизираниот пристап ќе овозможи заштеда на трошоците за промотивен материјал поради искористување на економијата од обем, поефикасна промоција и поголем опфат на сите занаетчиите и зголемување на можностите за извоз на занаетчиските производи.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Економските трошоци за коморите, при втората опција на централизиран систем се поврзани со формирање на општински комори, односно градење на административен капацитет и финансиски средства за опремување на посточеките и нивно функционирање.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Предвидени се трошоци за вработување и еднократни трошоци за опремување на нивното работно место.</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Бидејќи се предвидува воспоставување на нова централна база на податоци, потребни ќе бидат и значителни финансиски средства за нејзино воспоставување, поврзување со општинските комори и одржување.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Економските придобивки за коморите кои беа идентификувани се централизирање на приходите од регистрација на занаетчиите, соодветен административен капацитет кој ќе може ефикасно да ги врши функциите на комората за одржување на обуки, промоција на занаетчиското производство и давање на консултантски услуги за изработка на проекти.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За обуки кои се поврзани со генерички вештни и за видови на занаетчиство кое е застапено во повеќе региони, централизираниот начин на организирање и спроведување дозволува искористување на економијата од обем и повисок квалитет на обуките како резултат на поголемо искуство и ангажирање на поквалитетни обучувачи.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Од друга страна, доколку се работи за обуки кои се специфиччи за одреден регион, т.е. стручноста е тесно поврзано со регионот и наследувањето на занаетот од колено на колено, тогаш многу поефикасни се специјализирани обуки со помал број на учесници.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ЗКРМ поефикасно ќе ги застапува интересите на коморите и ќе ја унапреди соработката на регионално ниво, а исто така ќе придонесе кон поквалитетна изработка на проекти и зголемување на абсорпциониот капацитет за искористување на достапните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Промотивните активности при централизираниот пристап на здружување се очекува да дадат поголем ефекти бидејќи се искористуваат придобивките од заедничко дејствување и работење и со малку финансиски средства ќе се добијат поголеми промотивни ефекти.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Овој систем на централно коморско здружување сепак е и делумно децентрализиран, имајќи предвид дека ќе се воспостават и ќе функционираат и општински комори, со што се дозволува задржување на специфичните карактеристики на занаетчиството но и фокусирање на потенцијалот за негов развој.</w:t>
      </w:r>
      <w:proofErr w:type="gramEnd"/>
      <w:r w:rsidRPr="00FF7398">
        <w:rPr>
          <w:rFonts w:ascii="StobiSerif Regular" w:eastAsiaTheme="minorHAnsi" w:hAnsi="StobiSerif Regular" w:cstheme="minorBidi"/>
          <w:sz w:val="20"/>
          <w:szCs w:val="20"/>
        </w:rPr>
        <w:t xml:space="preserve"> </w:t>
      </w:r>
    </w:p>
    <w:p w:rsidR="00EA20BA" w:rsidRPr="00FF7398" w:rsidRDefault="00EA20BA" w:rsidP="00FF7398">
      <w:pPr>
        <w:jc w:val="both"/>
        <w:rPr>
          <w:rFonts w:ascii="StobiSerif Regular" w:eastAsiaTheme="minorHAnsi" w:hAnsi="StobiSerif Regular" w:cstheme="minorBidi"/>
          <w:sz w:val="20"/>
          <w:szCs w:val="20"/>
        </w:rPr>
      </w:pPr>
    </w:p>
    <w:p w:rsidR="003C4A86" w:rsidRPr="00FF7398" w:rsidRDefault="003C4A86" w:rsidP="00B27759">
      <w:pPr>
        <w:tabs>
          <w:tab w:val="left" w:pos="675"/>
        </w:tabs>
        <w:rPr>
          <w:rFonts w:ascii="StobiSerif Regular" w:hAnsi="StobiSerif Regular"/>
          <w:i/>
          <w:sz w:val="20"/>
          <w:szCs w:val="20"/>
          <w:lang w:val="mk-MK"/>
        </w:rPr>
      </w:pPr>
    </w:p>
    <w:p w:rsidR="00FF7398" w:rsidRPr="00FF7398" w:rsidRDefault="00FF7398" w:rsidP="00FF7398">
      <w:pPr>
        <w:jc w:val="both"/>
        <w:rPr>
          <w:rFonts w:ascii="StobiSerif Regular" w:eastAsiaTheme="minorHAnsi" w:hAnsi="StobiSerif Regular" w:cstheme="minorBidi"/>
          <w:b/>
          <w:i/>
          <w:sz w:val="20"/>
          <w:szCs w:val="20"/>
        </w:rPr>
      </w:pPr>
      <w:r w:rsidRPr="00FF7398">
        <w:rPr>
          <w:rFonts w:ascii="StobiSerif Regular" w:eastAsiaTheme="minorHAnsi" w:hAnsi="StobiSerif Regular" w:cstheme="minorBidi"/>
          <w:b/>
          <w:i/>
          <w:sz w:val="20"/>
          <w:szCs w:val="20"/>
        </w:rPr>
        <w:lastRenderedPageBreak/>
        <w:t>Опција III- Централна комора со упис во Централен регистар на Р. Македонија</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По однос на третата опција не беа идентификувани трошоци за Владата. Економските придобивки за Владата произлегуваат од воспоставување на ефикасен систем на регистрација и постоење на унифициран тарифник, како и искористување на веќе постоечката инфраструктура за креирање на Централна база на податоци, од Централниот регистар со што ќе се зголеми ефикасноста на креирањето и имплементацијата на политиките поради достапност на релевантни и целосни податоци. </w:t>
      </w:r>
      <w:proofErr w:type="gramStart"/>
      <w:r w:rsidRPr="00FF7398">
        <w:rPr>
          <w:rFonts w:ascii="StobiSerif Regular" w:eastAsiaTheme="minorHAnsi" w:hAnsi="StobiSerif Regular" w:cstheme="minorBidi"/>
          <w:sz w:val="20"/>
          <w:szCs w:val="20"/>
        </w:rPr>
        <w:t>Дополнително, преку поефикасен развој на занаетчиската дејност ќе дојде до зголемено учество на оваа гранка во БДП и зголемен приход во буџетот од даноци.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Придобивките за занаетчиите, како засегната страна се намалени патни трошоци поради целосна покриеност на државата, земајќи предвид дека Централниот регистар има голем број на канцеларии низ државата, со што ќе се воспостават еднакви услови за сите занаетчии и претпријатија.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За знаетчиите ќе бидат достапни обуки со значително повисок квалитет и со пониски трошоци поради ангажирање на високо квалификувани обучувачи.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Како резултат од поефикасни меѓународни промотивни активности, кои ќе бидат целно насочени по вид на занаетчии или дејности, ефектите врз зголемување на извозот на знаетчиските производи се очекува да биде поголем.</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Креирање на еднакви услови за работа и развој на занаетчиството ќе резултира со лојална конкуренција на пазарот и просперитет за развој на оваа стопанска гранка.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Преку искористување на поквалитетни консултантски услуги, како и заедничко дејствување на коморите ќе се отворат поголеми можности за добивање на проекти и искористување на можностите од програмите на ЕУ и други меѓународни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Сето ова ќе резултира со поквалитетни финални производи, зголемено производство и поголеми можности за извоз.</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Повисок квалитет на услугата и крајниот производ е клучна придобивка и за крајните потрошувачи.</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Идентификуваните трошоците за комората се потребни за зајакнување на соработката помеѓу регионалните комори како и трошоци за креирање на новиот систем на централно коморско здружување со нови 8 регионални комори, при што се предвидува да се вработат уште 5 нови лица кои ќе работат во Централната комора како и трошоци за опремување на нивното работно место. </w:t>
      </w:r>
      <w:proofErr w:type="gramStart"/>
      <w:r w:rsidRPr="00FF7398">
        <w:rPr>
          <w:rFonts w:ascii="StobiSerif Regular" w:eastAsiaTheme="minorHAnsi" w:hAnsi="StobiSerif Regular" w:cstheme="minorBidi"/>
          <w:sz w:val="20"/>
          <w:szCs w:val="20"/>
        </w:rPr>
        <w:t>Придобивките за коморите кои произлегуваат од третата опција се намалени трошоци за обуки како резултат на искористување на економијата од обем и задоволителен и квалитетен административен капацитет за вршење на обуки и давање на консултански услуги.</w:t>
      </w:r>
      <w:proofErr w:type="gramEnd"/>
      <w:r w:rsidRPr="00FF7398">
        <w:rPr>
          <w:rFonts w:ascii="StobiSerif Regular" w:eastAsiaTheme="minorHAnsi" w:hAnsi="StobiSerif Regular" w:cstheme="minorBidi"/>
          <w:sz w:val="20"/>
          <w:szCs w:val="20"/>
        </w:rPr>
        <w:t xml:space="preserve"> Една од позначајните придобивки за коморите е искористување на постоечкиот технички и административен </w:t>
      </w:r>
      <w:proofErr w:type="gramStart"/>
      <w:r w:rsidRPr="00FF7398">
        <w:rPr>
          <w:rFonts w:ascii="StobiSerif Regular" w:eastAsiaTheme="minorHAnsi" w:hAnsi="StobiSerif Regular" w:cstheme="minorBidi"/>
          <w:sz w:val="20"/>
          <w:szCs w:val="20"/>
        </w:rPr>
        <w:t>капацитет  за</w:t>
      </w:r>
      <w:proofErr w:type="gramEnd"/>
      <w:r w:rsidRPr="00FF7398">
        <w:rPr>
          <w:rFonts w:ascii="StobiSerif Regular" w:eastAsiaTheme="minorHAnsi" w:hAnsi="StobiSerif Regular" w:cstheme="minorBidi"/>
          <w:sz w:val="20"/>
          <w:szCs w:val="20"/>
        </w:rPr>
        <w:t xml:space="preserve"> креирање и одржување на централна база на податоци со регистар на мајстори, од Централниот регистар. </w:t>
      </w:r>
      <w:proofErr w:type="gramStart"/>
      <w:r w:rsidRPr="00FF7398">
        <w:rPr>
          <w:rFonts w:ascii="StobiSerif Regular" w:eastAsiaTheme="minorHAnsi" w:hAnsi="StobiSerif Regular" w:cstheme="minorBidi"/>
          <w:sz w:val="20"/>
          <w:szCs w:val="20"/>
        </w:rPr>
        <w:t>Централизираниот пристап на здружување и меѓусебното дејствување и соработка овозможува поефикасно застапување на интересите на коморите и унапредување на меѓународната соработка како и зголемување на абсорпциониот капацитет на користење на достапните фондови за развој и поддршка на занаетчиството.</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Овој систем на централно коморско здружување, сепак е и делумно децентрлизиран, имајќи предвид дека ќе се воспостават и ќе функционираат 8 регионални комори, со што се дозволува задржување на специфичните карактеристики на знаетчиството но и фокусирање на потенцијалот за негов развој. </w:t>
      </w:r>
    </w:p>
    <w:p w:rsidR="00FF7398" w:rsidRDefault="00FF7398" w:rsidP="00B27759">
      <w:pPr>
        <w:tabs>
          <w:tab w:val="left" w:pos="675"/>
        </w:tabs>
        <w:rPr>
          <w:rFonts w:ascii="StobiSerif Regular" w:hAnsi="StobiSerif Regular"/>
          <w:i/>
          <w:sz w:val="20"/>
          <w:szCs w:val="20"/>
          <w:lang w:val="en-US"/>
        </w:rPr>
      </w:pPr>
    </w:p>
    <w:p w:rsidR="00DC6A5B" w:rsidRDefault="00DC6A5B" w:rsidP="00B27759">
      <w:pPr>
        <w:tabs>
          <w:tab w:val="left" w:pos="675"/>
        </w:tabs>
        <w:rPr>
          <w:rFonts w:ascii="StobiSerif Regular" w:hAnsi="StobiSerif Regular"/>
          <w:i/>
          <w:sz w:val="20"/>
          <w:szCs w:val="20"/>
          <w:lang w:val="en-US"/>
        </w:rPr>
      </w:pPr>
    </w:p>
    <w:p w:rsidR="00DC6A5B" w:rsidRDefault="00DC6A5B" w:rsidP="00B27759">
      <w:pPr>
        <w:tabs>
          <w:tab w:val="left" w:pos="675"/>
        </w:tabs>
        <w:rPr>
          <w:rFonts w:ascii="StobiSerif Regular" w:hAnsi="StobiSerif Regular"/>
          <w:i/>
          <w:sz w:val="20"/>
          <w:szCs w:val="20"/>
          <w:lang w:val="en-US"/>
        </w:rPr>
      </w:pPr>
    </w:p>
    <w:p w:rsidR="00DC6A5B" w:rsidRPr="00DC6A5B" w:rsidRDefault="00DC6A5B" w:rsidP="00B27759">
      <w:pPr>
        <w:tabs>
          <w:tab w:val="left" w:pos="675"/>
        </w:tabs>
        <w:rPr>
          <w:rFonts w:ascii="StobiSerif Regular" w:hAnsi="StobiSerif Regular"/>
          <w:i/>
          <w:sz w:val="20"/>
          <w:szCs w:val="20"/>
          <w:lang w:val="en-US"/>
        </w:rPr>
      </w:pPr>
    </w:p>
    <w:p w:rsidR="00693814" w:rsidRPr="00FF7398" w:rsidRDefault="00E62DC4" w:rsidP="00FF7398">
      <w:pPr>
        <w:pStyle w:val="ListParagraph"/>
        <w:numPr>
          <w:ilvl w:val="1"/>
          <w:numId w:val="6"/>
        </w:numPr>
        <w:jc w:val="both"/>
        <w:rPr>
          <w:rFonts w:ascii="StobiSerif Regular" w:hAnsi="StobiSerif Regular"/>
          <w:i/>
          <w:sz w:val="20"/>
          <w:szCs w:val="20"/>
        </w:rPr>
      </w:pPr>
      <w:r w:rsidRPr="00FF7398">
        <w:rPr>
          <w:rFonts w:ascii="StobiSerif Regular" w:hAnsi="StobiSerif Regular"/>
          <w:i/>
          <w:sz w:val="20"/>
          <w:szCs w:val="20"/>
        </w:rPr>
        <w:lastRenderedPageBreak/>
        <w:t xml:space="preserve">Фискални влијанија </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Фискалните влијанија за трите можни опции беа предмет на анализа со користење на cost- </w:t>
      </w:r>
      <w:proofErr w:type="gramStart"/>
      <w:r w:rsidRPr="00FF7398">
        <w:rPr>
          <w:rFonts w:ascii="StobiSerif Regular" w:eastAsiaTheme="minorHAnsi" w:hAnsi="StobiSerif Regular" w:cstheme="minorBidi"/>
          <w:sz w:val="20"/>
          <w:szCs w:val="20"/>
        </w:rPr>
        <w:t>benefit</w:t>
      </w:r>
      <w:proofErr w:type="gramEnd"/>
      <w:r w:rsidRPr="00FF7398">
        <w:rPr>
          <w:rFonts w:ascii="StobiSerif Regular" w:eastAsiaTheme="minorHAnsi" w:hAnsi="StobiSerif Regular" w:cstheme="minorBidi"/>
          <w:sz w:val="20"/>
          <w:szCs w:val="20"/>
        </w:rPr>
        <w:t xml:space="preserve"> алатката. Првата разгледувана опција, односно моменталниот систем на регионални занаетчиски комори, предизвикува директни трошоци за буџетот на државата преку проектираните трошоците за вработување на 2 лица во Министерството за економија, кои ќе работат на надзор и координација на регионалните комори. Вредноста на овие трошоци за првата година предвидено е дека ќе изнесуваат 912.000 денари, а за наредните години трошокот е само за исплата на плати и вклучени индиректни трошоци, односно вкупно 672.000 денари за секоја наредна година.  </w:t>
      </w:r>
      <w:proofErr w:type="gramStart"/>
      <w:r w:rsidRPr="00FF7398">
        <w:rPr>
          <w:rFonts w:ascii="StobiSerif Regular" w:eastAsiaTheme="minorHAnsi" w:hAnsi="StobiSerif Regular" w:cstheme="minorBidi"/>
          <w:sz w:val="20"/>
          <w:szCs w:val="20"/>
        </w:rPr>
        <w:t>Проекциите за приходите во буџетот на Р. Македонија се однесуваат на приходи од персонален данок како и приходи од ДДВ и приходи од административни такси.</w:t>
      </w:r>
      <w:proofErr w:type="gramEnd"/>
      <w:r w:rsidRPr="00FF7398">
        <w:rPr>
          <w:rFonts w:ascii="StobiSerif Regular" w:eastAsiaTheme="minorHAnsi" w:hAnsi="StobiSerif Regular" w:cstheme="minorBidi"/>
          <w:sz w:val="20"/>
          <w:szCs w:val="20"/>
        </w:rPr>
        <w:t xml:space="preserve"> Согласно проекциите, при продолжување на сегашниот систем на регионални занаетчиски комори, односно првата разгледувана опција, бројот на занаетчии секоја година ќе расте за само 50, додека учеството на занаетчиството во БДП ќе расте за 2% на годишно ниво, </w:t>
      </w:r>
      <w:r w:rsidRPr="00FF7398">
        <w:rPr>
          <w:rFonts w:ascii="StobiSerif Regular" w:eastAsiaTheme="minorHAnsi" w:hAnsi="StobiSerif Regular" w:cstheme="minorBidi"/>
          <w:sz w:val="20"/>
          <w:szCs w:val="20"/>
          <w:lang w:val="en-US"/>
        </w:rPr>
        <w:t>a</w:t>
      </w:r>
      <w:r w:rsidRPr="00FF7398">
        <w:rPr>
          <w:rFonts w:ascii="StobiSerif Regular" w:eastAsiaTheme="minorHAnsi" w:hAnsi="StobiSerif Regular" w:cstheme="minorBidi"/>
          <w:sz w:val="20"/>
          <w:szCs w:val="20"/>
        </w:rPr>
        <w:t xml:space="preserve"> приходот ќе се задржи на нивото од 24600 денари. Соодветно на ова ќе растат и приходите од персоналниот данокот и ДДВ, кој приход вкупно би изнесувал 10,713.223 денари за 201</w:t>
      </w:r>
      <w:r w:rsidR="0079469F">
        <w:rPr>
          <w:rFonts w:ascii="StobiSerif Regular" w:eastAsiaTheme="minorHAnsi" w:hAnsi="StobiSerif Regular" w:cstheme="minorBidi"/>
          <w:sz w:val="20"/>
          <w:szCs w:val="20"/>
        </w:rPr>
        <w:t>6</w:t>
      </w:r>
      <w:r w:rsidRPr="00FF7398">
        <w:rPr>
          <w:rFonts w:ascii="StobiSerif Regular" w:eastAsiaTheme="minorHAnsi" w:hAnsi="StobiSerif Regular" w:cstheme="minorBidi"/>
          <w:sz w:val="20"/>
          <w:szCs w:val="20"/>
        </w:rPr>
        <w:t xml:space="preserve"> година и ќе расте соодветно за секоја наредна година (Cost- benefit анализа</w:t>
      </w:r>
      <w:r w:rsidR="0079469F">
        <w:rPr>
          <w:rFonts w:ascii="StobiSerif Regular" w:eastAsiaTheme="minorHAnsi" w:hAnsi="StobiSerif Regular" w:cstheme="minorBidi"/>
          <w:sz w:val="20"/>
          <w:szCs w:val="20"/>
        </w:rPr>
        <w:t>).</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Анализите на втората и третата опција на централизирано коморско здружување на занаетчиите покажаа дека при нивната имплементација ќе се постигнат ефект на зголемена добивка за буџетот поради поголемиот број на регистрирани занаетчии и развој на занаетчиската дејност, односно зголемени приходи од персонален данок и данок на додадена вредност.</w:t>
      </w:r>
      <w:proofErr w:type="gramEnd"/>
      <w:r w:rsidRPr="00FF7398">
        <w:rPr>
          <w:rFonts w:ascii="StobiSerif Regular" w:eastAsiaTheme="minorHAnsi" w:hAnsi="StobiSerif Regular" w:cstheme="minorBidi"/>
          <w:sz w:val="20"/>
          <w:szCs w:val="20"/>
        </w:rPr>
        <w:t xml:space="preserve"> Вкупните приходи за буџетот на Р. Македонија за втората опција се очекува да изнесуваат 28,274,057 денари за првата година и соодветно да се зголемуваат со растот на бројот на занаетчиите за 200 секоја наредна година и пораст на учеството на занаетчиството за 5% на годишно ниво. По однос на третата опција, покрај овој приход, постои и дополнителен приход за буџетот од регистрација на занаетчиите во Централниот регистар на Р. Македонија. Овој приход за првата година би изнесувал 852,500 денари и секоја натамошна година ќе расте со пораст на бројот на занаетчии за 200. </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Предвидените трошоци за буџетот, за реализација на втората и третата опција се трошоци за организирање на информативна кампања за занаетчиите и коморите со цел запознавање со новиот концепт на работа.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Овие трошоци, во износ од 200,000 денари, се еднократни и се однесуваат само на првата година.</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ind w:left="720"/>
        <w:jc w:val="both"/>
        <w:rPr>
          <w:rFonts w:ascii="StobiSerif Regular" w:hAnsi="StobiSerif Regular"/>
          <w:i/>
          <w:sz w:val="20"/>
          <w:szCs w:val="20"/>
          <w:lang w:val="mk-MK"/>
        </w:rPr>
      </w:pPr>
    </w:p>
    <w:p w:rsidR="00FA2F9F" w:rsidRPr="00FF7398" w:rsidRDefault="00FA2F9F" w:rsidP="00B27759">
      <w:pPr>
        <w:jc w:val="both"/>
        <w:rPr>
          <w:rFonts w:ascii="StobiSerif Regular" w:hAnsi="StobiSerif Regular"/>
          <w:sz w:val="20"/>
          <w:szCs w:val="20"/>
          <w:lang w:val="mk-MK"/>
        </w:rPr>
      </w:pPr>
    </w:p>
    <w:p w:rsidR="00E62DC4" w:rsidRPr="00FF7398" w:rsidRDefault="00E62DC4" w:rsidP="00B27759">
      <w:pPr>
        <w:numPr>
          <w:ilvl w:val="1"/>
          <w:numId w:val="6"/>
        </w:numPr>
        <w:jc w:val="both"/>
        <w:rPr>
          <w:rFonts w:ascii="StobiSerif Regular" w:hAnsi="StobiSerif Regular"/>
          <w:i/>
          <w:sz w:val="20"/>
          <w:szCs w:val="20"/>
          <w:lang w:val="mk-MK"/>
        </w:rPr>
      </w:pPr>
      <w:r w:rsidRPr="00FF7398">
        <w:rPr>
          <w:rFonts w:ascii="StobiSerif Regular" w:hAnsi="StobiSerif Regular"/>
          <w:i/>
          <w:sz w:val="20"/>
          <w:szCs w:val="20"/>
          <w:lang w:val="mk-MK"/>
        </w:rPr>
        <w:t>Социјални влијанија</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Понатамошно функционирање на веќе постоечкиот систем на регионално коморско здружување на занаетчиите може да предизвика влијаније врз вработеноста преку регистрација и вршење на занаетчиска дејност на 50 нови лица за секоја наредна година.</w:t>
      </w:r>
      <w:proofErr w:type="gramEnd"/>
      <w:r w:rsidRPr="00FF7398">
        <w:rPr>
          <w:rFonts w:ascii="StobiSerif Regular" w:eastAsiaTheme="minorHAnsi" w:hAnsi="StobiSerif Regular" w:cstheme="minorBidi"/>
          <w:sz w:val="20"/>
          <w:szCs w:val="20"/>
        </w:rPr>
        <w:t xml:space="preserve">  Системот на воспоставување на Централна комора како и Централна комора со упис во Централниот регистар на Република Македонија ќе има позитивно социјално влијание врз намалување на сиромаштијата преку нови вработувања и регистрација на занаетчии, чиј што број е предвидено секоја година да се зголемува за дополнителни 200 занаетчии, како и подобрување на квалитетот на производите и подобрување на стандардот на живот.</w:t>
      </w:r>
    </w:p>
    <w:p w:rsidR="00FF7398" w:rsidRPr="00FF7398" w:rsidRDefault="00FF7398" w:rsidP="00FF7398">
      <w:pPr>
        <w:jc w:val="both"/>
        <w:rPr>
          <w:rFonts w:ascii="StobiSerif Regular" w:hAnsi="StobiSerif Regular"/>
          <w:i/>
          <w:sz w:val="20"/>
          <w:szCs w:val="20"/>
          <w:lang w:val="mk-MK"/>
        </w:rPr>
      </w:pPr>
    </w:p>
    <w:p w:rsidR="00352E2B" w:rsidRPr="00FF7398" w:rsidRDefault="00352E2B" w:rsidP="00B27759">
      <w:pPr>
        <w:tabs>
          <w:tab w:val="left" w:pos="675"/>
        </w:tabs>
        <w:rPr>
          <w:rFonts w:ascii="StobiSerif Regular" w:hAnsi="StobiSerif Regular"/>
          <w:i/>
          <w:sz w:val="20"/>
          <w:szCs w:val="20"/>
          <w:lang w:val="mk-MK"/>
        </w:rPr>
      </w:pPr>
    </w:p>
    <w:p w:rsidR="001B10A3" w:rsidRPr="00FF7398" w:rsidRDefault="00E62DC4" w:rsidP="00B27759">
      <w:pPr>
        <w:numPr>
          <w:ilvl w:val="1"/>
          <w:numId w:val="6"/>
        </w:numPr>
        <w:jc w:val="both"/>
        <w:rPr>
          <w:rFonts w:ascii="StobiSerif Regular" w:hAnsi="StobiSerif Regular"/>
          <w:i/>
          <w:sz w:val="20"/>
          <w:szCs w:val="20"/>
          <w:lang w:val="mk-MK"/>
        </w:rPr>
      </w:pPr>
      <w:r w:rsidRPr="00FF7398">
        <w:rPr>
          <w:rFonts w:ascii="StobiSerif Regular" w:hAnsi="StobiSerif Regular"/>
          <w:i/>
          <w:sz w:val="20"/>
          <w:szCs w:val="20"/>
          <w:lang w:val="mk-MK"/>
        </w:rPr>
        <w:t>Влијанија врз животната средина</w:t>
      </w:r>
      <w:r w:rsidR="001B10A3" w:rsidRPr="00FF7398">
        <w:rPr>
          <w:rFonts w:ascii="StobiSerif Regular" w:hAnsi="StobiSerif Regular"/>
          <w:i/>
          <w:sz w:val="20"/>
          <w:szCs w:val="20"/>
          <w:lang w:val="mk-MK"/>
        </w:rPr>
        <w:t>,</w:t>
      </w:r>
    </w:p>
    <w:p w:rsidR="004D2666" w:rsidRPr="00FF7398" w:rsidRDefault="004D2666" w:rsidP="00B27759">
      <w:pPr>
        <w:ind w:left="1440"/>
        <w:jc w:val="both"/>
        <w:rPr>
          <w:rFonts w:ascii="StobiSerif Regular" w:hAnsi="StobiSerif Regular"/>
          <w:sz w:val="20"/>
          <w:szCs w:val="20"/>
          <w:lang w:val="mk-MK"/>
        </w:rPr>
      </w:pPr>
      <w:r w:rsidRPr="00FF7398">
        <w:rPr>
          <w:rFonts w:ascii="StobiSerif Regular" w:hAnsi="StobiSerif Regular" w:cs="Arial"/>
          <w:sz w:val="20"/>
          <w:szCs w:val="20"/>
        </w:rPr>
        <w:tab/>
      </w:r>
    </w:p>
    <w:p w:rsidR="00E62DC4" w:rsidRPr="00FF7398" w:rsidRDefault="00E62DC4" w:rsidP="00B27759">
      <w:pPr>
        <w:tabs>
          <w:tab w:val="left" w:pos="675"/>
        </w:tabs>
        <w:rPr>
          <w:rFonts w:ascii="StobiSerif Regular" w:hAnsi="StobiSerif Regular"/>
          <w:i/>
          <w:sz w:val="20"/>
          <w:szCs w:val="20"/>
          <w:lang w:val="mk-MK"/>
        </w:rPr>
      </w:pPr>
    </w:p>
    <w:p w:rsidR="00E62DC4" w:rsidRPr="00FF7398" w:rsidRDefault="00E62DC4" w:rsidP="00B27759">
      <w:pPr>
        <w:ind w:firstLine="720"/>
        <w:jc w:val="both"/>
        <w:rPr>
          <w:rFonts w:ascii="StobiSerif Regular" w:hAnsi="StobiSerif Regular"/>
          <w:i/>
          <w:sz w:val="20"/>
          <w:szCs w:val="20"/>
          <w:lang w:val="mk-MK"/>
        </w:rPr>
      </w:pPr>
      <w:r w:rsidRPr="00FF7398">
        <w:rPr>
          <w:rFonts w:ascii="StobiSerif Regular" w:hAnsi="StobiSerif Regular"/>
          <w:i/>
          <w:sz w:val="20"/>
          <w:szCs w:val="20"/>
          <w:lang w:val="mk-MK"/>
        </w:rPr>
        <w:lastRenderedPageBreak/>
        <w:t>4.5</w:t>
      </w:r>
      <w:r w:rsidRPr="00FF7398">
        <w:rPr>
          <w:rFonts w:ascii="StobiSerif Regular" w:hAnsi="StobiSerif Regular"/>
          <w:i/>
          <w:sz w:val="20"/>
          <w:szCs w:val="20"/>
          <w:lang w:val="mk-MK"/>
        </w:rPr>
        <w:tab/>
        <w:t xml:space="preserve">Административни влијанија и трошоци – </w:t>
      </w:r>
    </w:p>
    <w:p w:rsidR="00E62DC4" w:rsidRPr="00FF7398" w:rsidRDefault="00E62DC4" w:rsidP="00B27759">
      <w:pPr>
        <w:jc w:val="both"/>
        <w:rPr>
          <w:rFonts w:ascii="StobiSerif Regular" w:hAnsi="StobiSerif Regular"/>
          <w:i/>
          <w:sz w:val="20"/>
          <w:szCs w:val="20"/>
          <w:lang w:val="mk-MK"/>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Согласно направената анализа на опциите, за ефикасно спроведување на првата опција на регионално здружување потребни се трошоци за вработување на 2 нови лица во Министерството за економија кои ќе работат на надзор на регионалните комори, како и трошоци за опремување на нивно работно место. Вкупната вредност на овие трошоци за првата година од нивната работа предвидено е дека ќе изнесуваат 912.000 денари, а за наредните години трошокот е само за исплата на плати и вклучени индиректни трошоци, односно вкупно 672.000 денари за секоја наредна година.</w:t>
      </w:r>
    </w:p>
    <w:p w:rsidR="00FF7398" w:rsidRPr="00FF7398" w:rsidRDefault="00FF7398" w:rsidP="00FF7398">
      <w:pPr>
        <w:jc w:val="both"/>
        <w:rPr>
          <w:rFonts w:ascii="StobiSerif Regular" w:eastAsiaTheme="minorHAnsi" w:hAnsi="StobiSerif Regular" w:cstheme="minorBidi"/>
          <w:i/>
          <w:sz w:val="20"/>
          <w:szCs w:val="20"/>
        </w:rPr>
      </w:pPr>
    </w:p>
    <w:p w:rsidR="00FF7398" w:rsidRPr="00FF7398" w:rsidRDefault="00FF7398" w:rsidP="00FF7398">
      <w:pPr>
        <w:jc w:val="both"/>
        <w:rPr>
          <w:rFonts w:ascii="StobiSerif Regular" w:eastAsiaTheme="minorHAnsi" w:hAnsi="StobiSerif Regular" w:cstheme="minorHAnsi"/>
          <w:i/>
          <w:iCs/>
          <w:sz w:val="20"/>
          <w:szCs w:val="20"/>
        </w:rPr>
      </w:pPr>
      <w:proofErr w:type="gramStart"/>
      <w:r w:rsidRPr="00FF7398">
        <w:rPr>
          <w:rFonts w:ascii="StobiSerif Regular" w:eastAsiaTheme="minorHAnsi" w:hAnsi="StobiSerif Regular" w:cstheme="minorBidi"/>
          <w:i/>
          <w:sz w:val="20"/>
          <w:szCs w:val="20"/>
        </w:rPr>
        <w:t>б)трошоци</w:t>
      </w:r>
      <w:proofErr w:type="gramEnd"/>
      <w:r w:rsidRPr="00FF7398">
        <w:rPr>
          <w:rFonts w:ascii="StobiSerif Regular" w:eastAsiaTheme="minorHAnsi" w:hAnsi="StobiSerif Regular" w:cstheme="minorBidi"/>
          <w:i/>
          <w:sz w:val="20"/>
          <w:szCs w:val="20"/>
        </w:rPr>
        <w:t xml:space="preserve"> за почитување на регулативата - </w:t>
      </w:r>
      <w:r w:rsidRPr="00FF7398">
        <w:rPr>
          <w:rFonts w:ascii="StobiSerif Regular" w:hAnsi="StobiSerif Regular" w:cs="Calibri"/>
          <w:i/>
          <w:iCs/>
          <w:sz w:val="20"/>
          <w:szCs w:val="20"/>
        </w:rPr>
        <w:t xml:space="preserve">воведување на нови </w:t>
      </w:r>
      <w:r w:rsidRPr="00FF7398">
        <w:rPr>
          <w:rFonts w:ascii="StobiSerif Regular" w:eastAsiaTheme="minorHAnsi" w:hAnsi="StobiSerif Regular" w:cstheme="minorHAnsi"/>
          <w:i/>
          <w:iCs/>
          <w:sz w:val="20"/>
          <w:szCs w:val="20"/>
        </w:rPr>
        <w:t xml:space="preserve">административни </w:t>
      </w:r>
      <w:r w:rsidRPr="00FF7398">
        <w:rPr>
          <w:rFonts w:ascii="StobiSerif Regular" w:hAnsi="StobiSerif Regular" w:cs="Calibri"/>
          <w:i/>
          <w:iCs/>
          <w:sz w:val="20"/>
          <w:szCs w:val="20"/>
        </w:rPr>
        <w:t>формалности</w:t>
      </w:r>
      <w:r w:rsidRPr="00FF7398">
        <w:rPr>
          <w:rFonts w:ascii="StobiSerif Regular" w:eastAsiaTheme="minorHAnsi" w:hAnsi="StobiSerif Regular" w:cstheme="minorHAnsi"/>
          <w:i/>
          <w:iCs/>
          <w:sz w:val="20"/>
          <w:szCs w:val="20"/>
        </w:rPr>
        <w:t xml:space="preserve"> и </w:t>
      </w:r>
      <w:r w:rsidRPr="00FF7398">
        <w:rPr>
          <w:rFonts w:ascii="StobiSerif Regular" w:hAnsi="StobiSerif Regular" w:cs="Calibri"/>
          <w:i/>
          <w:iCs/>
          <w:sz w:val="20"/>
          <w:szCs w:val="20"/>
        </w:rPr>
        <w:t>трошоци за правните или физичките лица</w:t>
      </w:r>
      <w:r w:rsidRPr="00FF7398">
        <w:rPr>
          <w:rFonts w:ascii="StobiSerif Regular" w:eastAsiaTheme="minorHAnsi" w:hAnsi="StobiSerif Regular" w:cstheme="minorHAnsi"/>
          <w:i/>
          <w:iCs/>
          <w:sz w:val="20"/>
          <w:szCs w:val="20"/>
        </w:rPr>
        <w:t xml:space="preserve"> и како тоа ќе се одрази врз конкурентноста</w:t>
      </w:r>
    </w:p>
    <w:p w:rsidR="00FF7398" w:rsidRPr="00FF7398" w:rsidRDefault="00FF7398" w:rsidP="00FF7398">
      <w:pPr>
        <w:jc w:val="both"/>
        <w:rPr>
          <w:rFonts w:ascii="StobiSerif Regular" w:eastAsiaTheme="minorHAnsi" w:hAnsi="StobiSerif Regular" w:cstheme="minorHAnsi"/>
          <w:i/>
          <w:iCs/>
          <w:sz w:val="20"/>
          <w:szCs w:val="20"/>
        </w:rPr>
      </w:pPr>
    </w:p>
    <w:p w:rsidR="00FF7398" w:rsidRPr="00FF7398" w:rsidRDefault="00FF7398" w:rsidP="00FF7398">
      <w:pPr>
        <w:jc w:val="both"/>
        <w:rPr>
          <w:rFonts w:ascii="StobiSerif Regular" w:eastAsiaTheme="minorHAnsi" w:hAnsi="StobiSerif Regular" w:cstheme="minorHAnsi"/>
          <w:iCs/>
          <w:sz w:val="20"/>
          <w:szCs w:val="20"/>
        </w:rPr>
      </w:pPr>
      <w:proofErr w:type="gramStart"/>
      <w:r w:rsidRPr="00FF7398">
        <w:rPr>
          <w:rFonts w:ascii="StobiSerif Regular" w:eastAsiaTheme="minorHAnsi" w:hAnsi="StobiSerif Regular" w:cstheme="minorHAnsi"/>
          <w:iCs/>
          <w:sz w:val="20"/>
          <w:szCs w:val="20"/>
        </w:rPr>
        <w:t>Со цел пресметување на новите административни трошоците кои се поврзани со почитување на регулативата беше користена алатката Модел на стандардни трошоци.</w:t>
      </w:r>
      <w:proofErr w:type="gramEnd"/>
      <w:r w:rsidRPr="00FF7398">
        <w:rPr>
          <w:rFonts w:ascii="StobiSerif Regular" w:eastAsiaTheme="minorHAnsi" w:hAnsi="StobiSerif Regular" w:cstheme="minorHAnsi"/>
          <w:iCs/>
          <w:sz w:val="20"/>
          <w:szCs w:val="20"/>
        </w:rPr>
        <w:t xml:space="preserve"> Резултатите од направената анализа покажуваат дека вкупните трошоци за вршителите на занаетчиска дејност од спроведувањето на третата опција, односно централно коморско здружување со упис во Централниот регистар, изнесуваат 3.455.738 денари, за првата година кога е предвидено да се регистрираат нови 550 занаетчии. </w:t>
      </w:r>
      <w:proofErr w:type="gramStart"/>
      <w:r w:rsidRPr="00FF7398">
        <w:rPr>
          <w:rFonts w:ascii="StobiSerif Regular" w:eastAsiaTheme="minorHAnsi" w:hAnsi="StobiSerif Regular" w:cstheme="minorHAnsi"/>
          <w:iCs/>
          <w:sz w:val="20"/>
          <w:szCs w:val="20"/>
        </w:rPr>
        <w:t>Иако при анализата ги разгледувавме само новите трошоци, дополнително беше направена и пресметка за првата година, за вкупниот број на занаетчии, 5000, чија што вредност на административно оптоварување изнесува 31.415.800 денари.</w:t>
      </w:r>
      <w:proofErr w:type="gramEnd"/>
      <w:r w:rsidRPr="00FF7398">
        <w:rPr>
          <w:rFonts w:ascii="StobiSerif Regular" w:eastAsiaTheme="minorHAnsi" w:hAnsi="StobiSerif Regular" w:cstheme="minorHAnsi"/>
          <w:iCs/>
          <w:sz w:val="20"/>
          <w:szCs w:val="20"/>
        </w:rPr>
        <w:t xml:space="preserve">    </w:t>
      </w:r>
    </w:p>
    <w:p w:rsidR="00E62DC4" w:rsidRPr="00FF7398" w:rsidRDefault="00E62DC4" w:rsidP="00B27759">
      <w:pPr>
        <w:tabs>
          <w:tab w:val="left" w:pos="675"/>
        </w:tabs>
        <w:rPr>
          <w:rFonts w:ascii="StobiSerif Regular" w:hAnsi="StobiSerif Regular" w:cs="Calibri"/>
          <w:i/>
          <w:iCs/>
          <w:sz w:val="20"/>
          <w:szCs w:val="20"/>
          <w:lang w:val="mk-MK"/>
        </w:rPr>
      </w:pPr>
    </w:p>
    <w:p w:rsidR="00E62DC4" w:rsidRPr="00FF7398" w:rsidRDefault="00E62DC4" w:rsidP="00B27759">
      <w:p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5.</w:t>
      </w:r>
      <w:r w:rsidRPr="00FF7398">
        <w:rPr>
          <w:rFonts w:ascii="StobiSerif Regular" w:hAnsi="StobiSerif Regular"/>
          <w:b/>
          <w:sz w:val="20"/>
          <w:szCs w:val="20"/>
          <w:lang w:val="mk-MK"/>
        </w:rPr>
        <w:tab/>
        <w:t>Консултации</w:t>
      </w:r>
    </w:p>
    <w:p w:rsidR="00E62DC4" w:rsidRPr="00FF7398" w:rsidRDefault="00E62DC4" w:rsidP="00B27759">
      <w:pPr>
        <w:ind w:firstLine="720"/>
        <w:jc w:val="both"/>
        <w:rPr>
          <w:rFonts w:ascii="StobiSerif Regular" w:hAnsi="StobiSerif Regular"/>
          <w:i/>
          <w:sz w:val="20"/>
          <w:szCs w:val="20"/>
          <w:lang w:val="ru-RU"/>
        </w:rPr>
      </w:pPr>
    </w:p>
    <w:p w:rsidR="00E62DC4" w:rsidRDefault="00E62DC4" w:rsidP="00B27759">
      <w:pPr>
        <w:ind w:firstLine="720"/>
        <w:jc w:val="both"/>
        <w:rPr>
          <w:rFonts w:ascii="StobiSerif Regular" w:hAnsi="StobiSerif Regular"/>
          <w:i/>
          <w:sz w:val="20"/>
          <w:szCs w:val="20"/>
          <w:lang w:val="en-US"/>
        </w:rPr>
      </w:pPr>
      <w:r w:rsidRPr="00FF7398">
        <w:rPr>
          <w:rFonts w:ascii="StobiSerif Regular" w:hAnsi="StobiSerif Regular"/>
          <w:i/>
          <w:sz w:val="20"/>
          <w:szCs w:val="20"/>
          <w:lang w:val="mk-MK"/>
        </w:rPr>
        <w:t>5.1</w:t>
      </w:r>
      <w:r w:rsidRPr="00FF7398">
        <w:rPr>
          <w:rFonts w:ascii="StobiSerif Regular" w:hAnsi="StobiSerif Regular"/>
          <w:i/>
          <w:sz w:val="20"/>
          <w:szCs w:val="20"/>
          <w:lang w:val="mk-MK"/>
        </w:rPr>
        <w:tab/>
        <w:t>Засегнати страни и начин на вклучување</w:t>
      </w:r>
    </w:p>
    <w:p w:rsidR="0079469F" w:rsidRDefault="0079469F" w:rsidP="00B27759">
      <w:pPr>
        <w:ind w:firstLine="720"/>
        <w:jc w:val="both"/>
        <w:rPr>
          <w:rFonts w:ascii="StobiSerif Regular" w:hAnsi="StobiSerif Regular"/>
          <w:sz w:val="20"/>
          <w:szCs w:val="20"/>
          <w:lang w:val="en-US"/>
        </w:rPr>
      </w:pPr>
      <w:r>
        <w:rPr>
          <w:rFonts w:ascii="StobiSerif Regular" w:hAnsi="StobiSerif Regular"/>
          <w:sz w:val="20"/>
          <w:szCs w:val="20"/>
          <w:lang w:val="mk-MK"/>
        </w:rPr>
        <w:t xml:space="preserve">Преку </w:t>
      </w:r>
      <w:r w:rsidRPr="00574D1B">
        <w:rPr>
          <w:rFonts w:ascii="StobiSerif Regular" w:hAnsi="StobiSerif Regular"/>
          <w:sz w:val="20"/>
          <w:szCs w:val="20"/>
          <w:lang w:val="mk-MK"/>
        </w:rPr>
        <w:t>јавен увид на Единстевениот национален електронски регистар на пр</w:t>
      </w:r>
      <w:r>
        <w:rPr>
          <w:rFonts w:ascii="StobiSerif Regular" w:hAnsi="StobiSerif Regular"/>
          <w:sz w:val="20"/>
          <w:szCs w:val="20"/>
          <w:lang w:val="mk-MK"/>
        </w:rPr>
        <w:t>описи</w:t>
      </w:r>
      <w:r>
        <w:rPr>
          <w:rFonts w:ascii="StobiSerif Regular" w:hAnsi="StobiSerif Regular"/>
          <w:sz w:val="20"/>
          <w:szCs w:val="20"/>
          <w:lang w:val="en-US"/>
        </w:rPr>
        <w:t>,</w:t>
      </w:r>
    </w:p>
    <w:p w:rsidR="0079469F" w:rsidRPr="0079469F" w:rsidRDefault="0079469F" w:rsidP="0079469F">
      <w:pPr>
        <w:ind w:left="720"/>
        <w:jc w:val="both"/>
        <w:rPr>
          <w:rFonts w:ascii="StobiSerif Regular" w:hAnsi="StobiSerif Regular"/>
          <w:sz w:val="20"/>
          <w:szCs w:val="20"/>
          <w:lang w:val="mk-MK"/>
        </w:rPr>
      </w:pPr>
      <w:r w:rsidRPr="0079469F">
        <w:rPr>
          <w:rFonts w:ascii="StobiSerif Regular" w:hAnsi="StobiSerif Regular"/>
          <w:sz w:val="20"/>
          <w:szCs w:val="20"/>
          <w:lang w:val="mk-MK"/>
        </w:rPr>
        <w:t>Предлог Законот за занаетчиство е испратен до сите засегнати институции и се  чека мислење</w:t>
      </w:r>
    </w:p>
    <w:p w:rsidR="0079469F" w:rsidRPr="0079469F" w:rsidRDefault="0079469F" w:rsidP="00B27759">
      <w:pPr>
        <w:ind w:firstLine="720"/>
        <w:jc w:val="both"/>
        <w:rPr>
          <w:rFonts w:ascii="StobiSerif Regular" w:hAnsi="StobiSerif Regular"/>
          <w:i/>
          <w:sz w:val="20"/>
          <w:szCs w:val="20"/>
          <w:lang w:val="en-US"/>
        </w:rPr>
      </w:pPr>
    </w:p>
    <w:p w:rsidR="005223FB" w:rsidRPr="00FF7398" w:rsidRDefault="005223FB" w:rsidP="00B27759">
      <w:pPr>
        <w:ind w:firstLine="720"/>
        <w:jc w:val="both"/>
        <w:rPr>
          <w:rFonts w:ascii="StobiSerif Regular" w:hAnsi="StobiSerif Regular"/>
          <w:i/>
          <w:sz w:val="20"/>
          <w:szCs w:val="20"/>
          <w:lang w:val="mk-MK"/>
        </w:rPr>
      </w:pPr>
    </w:p>
    <w:p w:rsidR="00CA5403" w:rsidRPr="00FF7398" w:rsidRDefault="00CA5403" w:rsidP="00CA5403">
      <w:pPr>
        <w:ind w:left="360"/>
        <w:jc w:val="both"/>
        <w:rPr>
          <w:rFonts w:ascii="StobiSerif Regular" w:hAnsi="StobiSerif Regular"/>
          <w:sz w:val="20"/>
          <w:szCs w:val="20"/>
          <w:lang w:val="mk-MK"/>
        </w:rPr>
      </w:pPr>
    </w:p>
    <w:p w:rsidR="00F90253" w:rsidRDefault="001D269C" w:rsidP="0079469F">
      <w:pPr>
        <w:ind w:firstLine="720"/>
        <w:jc w:val="both"/>
        <w:rPr>
          <w:rFonts w:ascii="StobiSerif Regular" w:hAnsi="StobiSerif Regular"/>
          <w:i/>
          <w:sz w:val="20"/>
          <w:szCs w:val="20"/>
          <w:lang w:val="mk-MK"/>
        </w:rPr>
      </w:pPr>
      <w:r w:rsidRPr="00FF7398">
        <w:rPr>
          <w:rFonts w:ascii="StobiSerif Regular" w:hAnsi="StobiSerif Regular"/>
          <w:i/>
          <w:sz w:val="20"/>
          <w:szCs w:val="20"/>
          <w:lang w:val="mk-MK"/>
        </w:rPr>
        <w:t xml:space="preserve">5.2. </w:t>
      </w:r>
      <w:r w:rsidR="00E62DC4" w:rsidRPr="00FF7398">
        <w:rPr>
          <w:rFonts w:ascii="StobiSerif Regular" w:hAnsi="StobiSerif Regular"/>
          <w:i/>
          <w:sz w:val="20"/>
          <w:szCs w:val="20"/>
          <w:lang w:val="mk-MK"/>
        </w:rPr>
        <w:t xml:space="preserve">Преглед на добиените и вградените </w:t>
      </w:r>
      <w:r w:rsidR="00857EA3" w:rsidRPr="00FF7398">
        <w:rPr>
          <w:rFonts w:ascii="StobiSerif Regular" w:hAnsi="StobiSerif Regular"/>
          <w:i/>
          <w:sz w:val="20"/>
          <w:szCs w:val="20"/>
          <w:lang w:val="mk-MK"/>
        </w:rPr>
        <w:t>мислења</w:t>
      </w:r>
    </w:p>
    <w:p w:rsidR="0079469F" w:rsidRPr="0079469F" w:rsidRDefault="0079469F" w:rsidP="0079469F">
      <w:pPr>
        <w:ind w:firstLine="720"/>
        <w:jc w:val="both"/>
        <w:rPr>
          <w:rFonts w:ascii="StobiSerif Regular" w:hAnsi="StobiSerif Regular"/>
          <w:i/>
          <w:sz w:val="20"/>
          <w:szCs w:val="20"/>
          <w:lang w:val="mk-MK"/>
        </w:rPr>
      </w:pPr>
    </w:p>
    <w:p w:rsidR="0074745B" w:rsidRPr="00FF7398" w:rsidRDefault="0074745B" w:rsidP="00F90253">
      <w:pPr>
        <w:jc w:val="both"/>
        <w:rPr>
          <w:rFonts w:ascii="StobiSerif Regular" w:hAnsi="StobiSerif Regular"/>
          <w:sz w:val="20"/>
          <w:szCs w:val="20"/>
          <w:highlight w:val="yellow"/>
          <w:lang w:val="en-US"/>
        </w:rPr>
      </w:pPr>
    </w:p>
    <w:p w:rsidR="00693814" w:rsidRPr="00FF7398" w:rsidRDefault="00693814" w:rsidP="00B27759">
      <w:pPr>
        <w:jc w:val="both"/>
        <w:rPr>
          <w:rFonts w:ascii="StobiSerif Regular" w:hAnsi="StobiSerif Regular"/>
          <w:sz w:val="20"/>
          <w:szCs w:val="20"/>
          <w:highlight w:val="yellow"/>
          <w:lang w:val="mk-MK"/>
        </w:rPr>
      </w:pPr>
    </w:p>
    <w:p w:rsidR="00E62DC4" w:rsidRPr="00FF7398" w:rsidRDefault="00F6150B" w:rsidP="00F6150B">
      <w:pPr>
        <w:ind w:left="720"/>
        <w:jc w:val="both"/>
        <w:rPr>
          <w:rFonts w:ascii="StobiSerif Regular" w:hAnsi="StobiSerif Regular"/>
          <w:i/>
          <w:sz w:val="20"/>
          <w:szCs w:val="20"/>
        </w:rPr>
      </w:pPr>
      <w:r w:rsidRPr="00FF7398">
        <w:rPr>
          <w:rFonts w:ascii="StobiSerif Regular" w:hAnsi="StobiSerif Regular"/>
          <w:i/>
          <w:sz w:val="20"/>
          <w:szCs w:val="20"/>
          <w:lang w:val="mk-MK"/>
        </w:rPr>
        <w:t xml:space="preserve">5.3. </w:t>
      </w:r>
      <w:r w:rsidR="00E62DC4" w:rsidRPr="00FF7398">
        <w:rPr>
          <w:rFonts w:ascii="StobiSerif Regular" w:hAnsi="StobiSerif Regular"/>
          <w:i/>
          <w:sz w:val="20"/>
          <w:szCs w:val="20"/>
        </w:rPr>
        <w:t>Мислењата кои не биле земени предвид и зошто</w:t>
      </w:r>
      <w:r w:rsidR="001B10A3" w:rsidRPr="00FF7398">
        <w:rPr>
          <w:rFonts w:ascii="StobiSerif Regular" w:hAnsi="StobiSerif Regular"/>
          <w:i/>
          <w:sz w:val="20"/>
          <w:szCs w:val="20"/>
        </w:rPr>
        <w:t>,</w:t>
      </w:r>
    </w:p>
    <w:p w:rsidR="00F6150B" w:rsidRPr="00FF7398" w:rsidRDefault="00F6150B" w:rsidP="00F6150B">
      <w:pPr>
        <w:ind w:left="720" w:firstLine="720"/>
        <w:jc w:val="both"/>
        <w:rPr>
          <w:rFonts w:ascii="StobiSerif Regular" w:hAnsi="StobiSerif Regular"/>
          <w:sz w:val="20"/>
          <w:szCs w:val="20"/>
          <w:lang w:val="en-US"/>
        </w:rPr>
      </w:pPr>
      <w:r w:rsidRPr="00FF7398">
        <w:rPr>
          <w:rFonts w:ascii="StobiSerif Regular" w:hAnsi="StobiSerif Regular"/>
          <w:sz w:val="20"/>
          <w:szCs w:val="20"/>
          <w:lang w:val="mk-MK"/>
        </w:rPr>
        <w:t xml:space="preserve">Нема </w:t>
      </w:r>
    </w:p>
    <w:p w:rsidR="00FA368B" w:rsidRPr="00FF7398" w:rsidRDefault="00FA368B" w:rsidP="00B27759">
      <w:pPr>
        <w:tabs>
          <w:tab w:val="left" w:pos="675"/>
        </w:tabs>
        <w:rPr>
          <w:rFonts w:ascii="StobiSerif Regular" w:hAnsi="StobiSerif Regular"/>
          <w:i/>
          <w:sz w:val="20"/>
          <w:szCs w:val="20"/>
          <w:lang w:val="mk-MK"/>
        </w:rPr>
      </w:pPr>
    </w:p>
    <w:p w:rsidR="00C63B05" w:rsidRPr="00FF7398" w:rsidRDefault="00C63B05" w:rsidP="00B27759">
      <w:pPr>
        <w:tabs>
          <w:tab w:val="left" w:pos="675"/>
        </w:tabs>
        <w:rPr>
          <w:rFonts w:ascii="StobiSerif Regular" w:hAnsi="StobiSerif Regular"/>
          <w:i/>
          <w:sz w:val="20"/>
          <w:szCs w:val="20"/>
          <w:lang w:val="mk-MK"/>
        </w:rPr>
      </w:pPr>
    </w:p>
    <w:p w:rsidR="00E62DC4" w:rsidRPr="00FF7398" w:rsidRDefault="00E62DC4" w:rsidP="00B27759">
      <w:p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 xml:space="preserve">6. </w:t>
      </w:r>
      <w:r w:rsidRPr="00FF7398">
        <w:rPr>
          <w:rFonts w:ascii="StobiSerif Regular" w:hAnsi="StobiSerif Regular"/>
          <w:b/>
          <w:sz w:val="20"/>
          <w:szCs w:val="20"/>
          <w:lang w:val="mk-MK"/>
        </w:rPr>
        <w:tab/>
        <w:t>Заклучоци и препорачано решение</w:t>
      </w:r>
    </w:p>
    <w:p w:rsidR="00E62DC4" w:rsidRPr="00FF7398" w:rsidRDefault="00E62DC4" w:rsidP="00B27759">
      <w:pPr>
        <w:jc w:val="both"/>
        <w:rPr>
          <w:rFonts w:ascii="StobiSerif Regular" w:hAnsi="StobiSerif Regular"/>
          <w:i/>
          <w:sz w:val="20"/>
          <w:szCs w:val="20"/>
          <w:lang w:val="ru-RU"/>
        </w:rPr>
      </w:pP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6.1</w:t>
      </w:r>
      <w:r w:rsidRPr="00FF7398">
        <w:rPr>
          <w:rFonts w:ascii="StobiSerif Regular" w:hAnsi="StobiSerif Regular"/>
          <w:i/>
          <w:sz w:val="20"/>
          <w:szCs w:val="20"/>
          <w:lang w:val="mk-MK"/>
        </w:rPr>
        <w:tab/>
        <w:t>Споредбен преглед на позитивните и негативните влијанија на можните решенија (опции)</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За предвидените опции беа спроведени детални анализа со користење на аналитичките алатки, меѓу кои и мултикритериумската анализа, при што нивната споредба беше направена врз основа на неколку значајни критериуми и тоа: регистрација и тарифник, </w:t>
      </w:r>
      <w:r w:rsidRPr="00FF7398">
        <w:rPr>
          <w:rFonts w:ascii="StobiSerif Regular" w:eastAsiaTheme="minorHAnsi" w:hAnsi="StobiSerif Regular" w:cstheme="minorBidi"/>
          <w:sz w:val="20"/>
          <w:szCs w:val="20"/>
        </w:rPr>
        <w:lastRenderedPageBreak/>
        <w:t xml:space="preserve">обука и мајсторски испит, промоција, јавни овластувања, централна база на податоци, консултантска поддршка за занаетчиите и капацитет за проекти и конкурентноста. </w:t>
      </w:r>
    </w:p>
    <w:p w:rsidR="00E24AC6"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Позитивните страни на предложениот концепт на централно коморско здружување</w:t>
      </w:r>
      <w:r w:rsidR="00A76DCE">
        <w:rPr>
          <w:rFonts w:ascii="StobiSerif Regular" w:eastAsiaTheme="minorHAnsi" w:hAnsi="StobiSerif Regular" w:cstheme="minorBidi"/>
          <w:sz w:val="20"/>
          <w:szCs w:val="20"/>
          <w:lang w:val="mk-MK"/>
        </w:rPr>
        <w:t xml:space="preserve"> т.е. Опција 2.</w:t>
      </w:r>
      <w:proofErr w:type="gramEnd"/>
      <w:r w:rsidR="00A76DCE">
        <w:rPr>
          <w:rFonts w:ascii="StobiSerif Regular" w:eastAsiaTheme="minorHAnsi" w:hAnsi="StobiSerif Regular" w:cstheme="minorBidi"/>
          <w:sz w:val="20"/>
          <w:szCs w:val="20"/>
          <w:lang w:val="mk-MK"/>
        </w:rPr>
        <w:t xml:space="preserve"> Воспоставување на централна комора,</w:t>
      </w:r>
      <w:r w:rsidRPr="00FF7398">
        <w:rPr>
          <w:rFonts w:ascii="StobiSerif Regular" w:eastAsiaTheme="minorHAnsi" w:hAnsi="StobiSerif Regular" w:cstheme="minorBidi"/>
          <w:sz w:val="20"/>
          <w:szCs w:val="20"/>
        </w:rPr>
        <w:t xml:space="preserve">  </w:t>
      </w:r>
      <w:r w:rsidR="00A76DCE">
        <w:rPr>
          <w:rFonts w:ascii="StobiSerif Regular" w:eastAsiaTheme="minorHAnsi" w:hAnsi="StobiSerif Regular" w:cstheme="minorBidi"/>
          <w:sz w:val="20"/>
          <w:szCs w:val="20"/>
          <w:lang w:val="mk-MK"/>
        </w:rPr>
        <w:t xml:space="preserve">се: </w:t>
      </w:r>
      <w:r w:rsidRPr="00FF7398">
        <w:rPr>
          <w:rFonts w:ascii="StobiSerif Regular" w:eastAsiaTheme="minorHAnsi" w:hAnsi="StobiSerif Regular" w:cstheme="minorBidi"/>
          <w:sz w:val="20"/>
          <w:szCs w:val="20"/>
        </w:rPr>
        <w:t xml:space="preserve">воспоставување на унифициран тарифник и ефикасен систем на регистрација на заетчиите, поголема достапност за сите занаетчии и еднакви услови за регистрација. </w:t>
      </w:r>
      <w:proofErr w:type="gramStart"/>
      <w:r w:rsidRPr="00FF7398">
        <w:rPr>
          <w:rFonts w:ascii="StobiSerif Regular" w:eastAsiaTheme="minorHAnsi" w:hAnsi="StobiSerif Regular" w:cstheme="minorBidi"/>
          <w:sz w:val="20"/>
          <w:szCs w:val="20"/>
        </w:rPr>
        <w:t>За споредба, во моменталниот систем на регионално коморско здружување постои неунифициран тарифник и неефикасен систем на регистрација на знаетчиите.</w:t>
      </w:r>
      <w:proofErr w:type="gramEnd"/>
      <w:r w:rsidRPr="00FF7398">
        <w:rPr>
          <w:rFonts w:ascii="StobiSerif Regular" w:eastAsiaTheme="minorHAnsi" w:hAnsi="StobiSerif Regular" w:cstheme="minorBidi"/>
          <w:sz w:val="20"/>
          <w:szCs w:val="20"/>
        </w:rPr>
        <w:t xml:space="preserve"> </w:t>
      </w:r>
    </w:p>
    <w:p w:rsidR="00E24AC6" w:rsidRPr="00FF7398" w:rsidRDefault="00A76DCE" w:rsidP="00E24AC6">
      <w:pPr>
        <w:jc w:val="both"/>
        <w:rPr>
          <w:rFonts w:ascii="StobiSerif Regular" w:eastAsiaTheme="minorHAnsi" w:hAnsi="StobiSerif Regular" w:cstheme="minorBidi"/>
          <w:sz w:val="20"/>
          <w:szCs w:val="20"/>
        </w:rPr>
      </w:pPr>
      <w:r>
        <w:rPr>
          <w:rFonts w:ascii="StobiSerif Regular" w:eastAsiaTheme="minorHAnsi" w:hAnsi="StobiSerif Regular" w:cstheme="minorBidi"/>
          <w:sz w:val="20"/>
          <w:szCs w:val="20"/>
          <w:lang w:val="mk-MK"/>
        </w:rPr>
        <w:t xml:space="preserve">Ова опција </w:t>
      </w:r>
      <w:r w:rsidR="00E24AC6" w:rsidRPr="00FF7398">
        <w:rPr>
          <w:rFonts w:ascii="StobiSerif Regular" w:eastAsiaTheme="minorHAnsi" w:hAnsi="StobiSerif Regular" w:cstheme="minorBidi"/>
          <w:sz w:val="20"/>
          <w:szCs w:val="20"/>
        </w:rPr>
        <w:t xml:space="preserve">која беше анализирана е воспоставување на систем на центално коморско здружување со општински комори. </w:t>
      </w:r>
      <w:proofErr w:type="gramStart"/>
      <w:r w:rsidR="00E24AC6" w:rsidRPr="00FF7398">
        <w:rPr>
          <w:rFonts w:ascii="StobiSerif Regular" w:eastAsiaTheme="minorHAnsi" w:hAnsi="StobiSerif Regular" w:cstheme="minorBidi"/>
          <w:sz w:val="20"/>
          <w:szCs w:val="20"/>
        </w:rPr>
        <w:t>За воспоставување и имплементација на овој систем не се предвидени никакви трошоци за Владата, додека економските придобивките се поврзани со формирање на централна база на податоци која ќе придонесе кон ефикасно креирање и имплементација на политиките, како и креирање на силен социјален партнер на државата.</w:t>
      </w:r>
      <w:proofErr w:type="gramEnd"/>
      <w:r w:rsidR="00E24AC6" w:rsidRPr="00FF7398">
        <w:rPr>
          <w:rFonts w:ascii="StobiSerif Regular" w:eastAsiaTheme="minorHAnsi" w:hAnsi="StobiSerif Regular" w:cstheme="minorBidi"/>
          <w:sz w:val="20"/>
          <w:szCs w:val="20"/>
        </w:rPr>
        <w:t xml:space="preserve"> </w:t>
      </w:r>
      <w:proofErr w:type="gramStart"/>
      <w:r w:rsidR="00E24AC6" w:rsidRPr="00FF7398">
        <w:rPr>
          <w:rFonts w:ascii="StobiSerif Regular" w:eastAsiaTheme="minorHAnsi" w:hAnsi="StobiSerif Regular" w:cstheme="minorBidi"/>
          <w:sz w:val="20"/>
          <w:szCs w:val="20"/>
        </w:rPr>
        <w:t>Дополнително придобивките за Владата се и зголемено учество на занаетчиството во БДП и приход од даноци од вршење на занаетчиска дејност.</w:t>
      </w:r>
      <w:proofErr w:type="gramEnd"/>
      <w:r w:rsidR="00E24AC6" w:rsidRPr="00FF7398">
        <w:rPr>
          <w:rFonts w:ascii="StobiSerif Regular" w:eastAsiaTheme="minorHAnsi" w:hAnsi="StobiSerif Regular" w:cstheme="minorBidi"/>
          <w:sz w:val="20"/>
          <w:szCs w:val="20"/>
        </w:rPr>
        <w:t xml:space="preserve"> </w:t>
      </w:r>
      <w:proofErr w:type="gramStart"/>
      <w:r w:rsidR="00E24AC6" w:rsidRPr="00FF7398">
        <w:rPr>
          <w:rFonts w:ascii="StobiSerif Regular" w:eastAsiaTheme="minorHAnsi" w:hAnsi="StobiSerif Regular" w:cstheme="minorBidi"/>
          <w:sz w:val="20"/>
          <w:szCs w:val="20"/>
        </w:rPr>
        <w:t>Подобрената перцепција за занаетчиството, зголемената поддршка како и соодветното креирање на политиките ќе придонесе кон пораст на бројот на занаетчиите што директно ќе влијае врз намалување на невработеноста.</w:t>
      </w:r>
      <w:proofErr w:type="gramEnd"/>
      <w:r w:rsidR="00E24AC6" w:rsidRPr="00FF7398">
        <w:rPr>
          <w:rFonts w:ascii="StobiSerif Regular" w:eastAsiaTheme="minorHAnsi" w:hAnsi="StobiSerif Regular" w:cstheme="minorBidi"/>
          <w:sz w:val="20"/>
          <w:szCs w:val="20"/>
        </w:rPr>
        <w:t xml:space="preserve"> </w:t>
      </w:r>
    </w:p>
    <w:p w:rsidR="00E24AC6" w:rsidRPr="00FF7398" w:rsidRDefault="00E24AC6" w:rsidP="00E24AC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Придобивките за занаетчиите од постоењето на систем на централизирано коморско здружување се постоење на лојална конкуренција на пазарот и креирање на еден единствен унифициран тарифник за сите занаетчии, но и повисок квалитет на обуки и континуиран развој на стручни вештини, како резултат на ангажирање на соодветени и поквалитетни обучувачи.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Ангажирање обучен кадар кој ќе може да пружи квалитетни консултантски услуги ќе придонесе кон отворање на поголеми можности за користење меѓународните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По однос на промотивните активности, централизираниот пристап ќе овозможи заштеда на трошоците за промотивен материјал поради искористување на економијата од обем, поефикасна промоција и поголем опфат на сите занаетчиите и зголемување на можностите за извоз на занаетчиските производи.</w:t>
      </w:r>
      <w:proofErr w:type="gramEnd"/>
      <w:r w:rsidRPr="00FF7398">
        <w:rPr>
          <w:rFonts w:ascii="StobiSerif Regular" w:eastAsiaTheme="minorHAnsi" w:hAnsi="StobiSerif Regular" w:cstheme="minorBidi"/>
          <w:sz w:val="20"/>
          <w:szCs w:val="20"/>
        </w:rPr>
        <w:t xml:space="preserve">  </w:t>
      </w:r>
    </w:p>
    <w:p w:rsidR="00E24AC6" w:rsidRPr="00FF7398" w:rsidRDefault="00E24AC6" w:rsidP="00E24AC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Економските трошоци за коморите, при втората опција на централизиран систем се поврзани со формирање на општински комори, односно градење на административен капацитет и финансиски средства за опремување на посточеките и нивно функционирање.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Предвидени се трошоци за вработување и еднократни трошоци за опремување на нивното работно место.</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Бидејќи се предвидува воспоставување на нова централна база на податоци, потребни ќе бидат и значителни финансиски средства за нејзино воспоставување, поврзување со општинските комори и одржување.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Економските придобивки за коморите кои беа идентификувани се централизирање на приходите од регистрација на занаетчиите, соодветен административен капацитет кој ќе може ефикасно да ги врши функциите на комората за одржување на обуки, промоција на занаетчиското производство и давање на консултантски услуги за изработка на проекти.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За обуки кои се поврзани со генерички вештни и за видови на занаетчиство кое е застапено во повеќе региони, централизираниот начин на организирање и спроведување дозволува искористување на економијата од обем и повисок квалитет на обуките како резултат на поголемо искуство и ангажирање на поквалитетни обучувачи.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Од друга страна, доколку се работи за обуки кои се специфиччи за одреден регион, т.е. стручноста е тесно поврзано со регионот и наследувањето на занаетот од колено на колено, тогаш многу поефикасни се специјализирани обуки со помал број на учесници.</w:t>
      </w:r>
      <w:proofErr w:type="gramEnd"/>
      <w:r w:rsidRPr="00FF7398">
        <w:rPr>
          <w:rFonts w:ascii="StobiSerif Regular" w:eastAsiaTheme="minorHAnsi" w:hAnsi="StobiSerif Regular" w:cstheme="minorBidi"/>
          <w:sz w:val="20"/>
          <w:szCs w:val="20"/>
        </w:rPr>
        <w:t xml:space="preserve">  </w:t>
      </w:r>
    </w:p>
    <w:p w:rsidR="00E24AC6" w:rsidRPr="00FF7398" w:rsidRDefault="00E24AC6" w:rsidP="00E24AC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ЗКРМ поефикасно ќе ги застапува интересите на коморите и ќе ја унапреди соработката на регионално ниво, а исто така ќе придонесе кон поквалитетна изработка на проекти и зголемување на абсорпциониот капацитет за искористување на достапните фондови.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lastRenderedPageBreak/>
        <w:t>Промотивните активности при централизираниот пристап на здружување се очекува да дадат поголем ефекти бидејќи се искористуваат придобивките од заедничко дејствување и работење и со малку финансиски средства ќе се добијат поголеми промотивни ефекти.</w:t>
      </w:r>
      <w:proofErr w:type="gramEnd"/>
      <w:r w:rsidRPr="00FF7398">
        <w:rPr>
          <w:rFonts w:ascii="StobiSerif Regular" w:eastAsiaTheme="minorHAnsi" w:hAnsi="StobiSerif Regular" w:cstheme="minorBidi"/>
          <w:sz w:val="20"/>
          <w:szCs w:val="20"/>
        </w:rPr>
        <w:t xml:space="preserve">  </w:t>
      </w:r>
    </w:p>
    <w:p w:rsidR="00E24AC6" w:rsidRDefault="00E24AC6" w:rsidP="00E24AC6">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Овој систем на централно коморско здружување сепак е и делумно децентрализиран, имајќи предвид дека ќе се воспостават и ќе функционираат и општински комори, со што се дозволува задржување на специфичните карактеристики на занаетчиството но и фокусирање на потенцијалот за негов развој.</w:t>
      </w:r>
      <w:proofErr w:type="gramEnd"/>
      <w:r w:rsidRPr="00FF7398">
        <w:rPr>
          <w:rFonts w:ascii="StobiSerif Regular" w:eastAsiaTheme="minorHAnsi" w:hAnsi="StobiSerif Regular" w:cstheme="minorBidi"/>
          <w:sz w:val="20"/>
          <w:szCs w:val="20"/>
        </w:rPr>
        <w:t xml:space="preserve"> </w:t>
      </w:r>
    </w:p>
    <w:p w:rsidR="00E24AC6" w:rsidRDefault="00E24AC6"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При споредба на трите опции по однос на критериумот на достапност на консултантска поддршка за знаетчиите и капацитет за проекти, може да се заклучи дека позитивните страни од централното коморско здружување се во достапноста на квалитетни консултантски услуги, соработката и взаемното дејствување на коморите и поквалитетно изработени проекти со што ќе се зголеми потенцијалот за искористување на меѓународните фондови. </w:t>
      </w:r>
      <w:proofErr w:type="gramStart"/>
      <w:r w:rsidRPr="00FF7398">
        <w:rPr>
          <w:rFonts w:ascii="StobiSerif Regular" w:eastAsiaTheme="minorHAnsi" w:hAnsi="StobiSerif Regular" w:cstheme="minorBidi"/>
          <w:sz w:val="20"/>
          <w:szCs w:val="20"/>
        </w:rPr>
        <w:t>Во моменталниот систем, соработката помеѓу регионалните комори е многу слаба, консултантските услуги се незадоволителни и не постои никаква иницијатива за заедничко аплицирање со проекти и искористување на достапните финансиски средства.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Сите горе наведени негативни страни и проблеми придонесуваат за слаба конкурентност на занаетчиите, присуство на странски производи по пониски цени, лоша перцепција за занаетчиството во целина и намален потенцијал за развој на оваа гранка и многу мал извоз.</w:t>
      </w:r>
      <w:proofErr w:type="gramEnd"/>
      <w:r w:rsidRPr="00FF7398">
        <w:rPr>
          <w:rFonts w:ascii="StobiSerif Regular" w:eastAsiaTheme="minorHAnsi" w:hAnsi="StobiSerif Regular" w:cstheme="minorBidi"/>
          <w:sz w:val="20"/>
          <w:szCs w:val="20"/>
        </w:rPr>
        <w:t xml:space="preserve"> Овие негативни страни на системот на регионално коморско здружување во споредба со очекуваните резултати од централизирање на коморското здружување укажуваат дека со новиот концепт, пецепцијата за занаетчиството како пропулзивна дејност ќе се зголеми, конкурентноста на знаетчиите и квалитетот на финалниот производ значително ќе се подобри, а со тоа и потенцијалите за извоз на македонски знаетчиски производи.         </w:t>
      </w:r>
    </w:p>
    <w:p w:rsidR="00FF7398" w:rsidRPr="00FF7398" w:rsidRDefault="00FF7398" w:rsidP="00FF7398">
      <w:pPr>
        <w:autoSpaceDE w:val="0"/>
        <w:autoSpaceDN w:val="0"/>
        <w:adjustRightInd w:val="0"/>
        <w:jc w:val="both"/>
        <w:rPr>
          <w:rFonts w:ascii="StobiSerif Regular" w:hAnsi="StobiSerif Regular"/>
          <w:sz w:val="20"/>
          <w:szCs w:val="20"/>
          <w:lang w:val="mk-MK"/>
        </w:rPr>
      </w:pPr>
    </w:p>
    <w:p w:rsidR="00D60E5E" w:rsidRPr="00FF7398" w:rsidRDefault="00D60E5E" w:rsidP="00B27759">
      <w:pPr>
        <w:tabs>
          <w:tab w:val="left" w:pos="675"/>
        </w:tabs>
        <w:ind w:left="720"/>
        <w:rPr>
          <w:rFonts w:ascii="StobiSerif Regular" w:hAnsi="StobiSerif Regular"/>
          <w:i/>
          <w:sz w:val="20"/>
          <w:szCs w:val="20"/>
          <w:lang w:val="mk-MK"/>
        </w:rPr>
      </w:pP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6.2</w:t>
      </w:r>
      <w:r w:rsidRPr="00FF7398">
        <w:rPr>
          <w:rFonts w:ascii="StobiSerif Regular" w:hAnsi="StobiSerif Regular"/>
          <w:i/>
          <w:sz w:val="20"/>
          <w:szCs w:val="20"/>
          <w:lang w:val="mk-MK"/>
        </w:rPr>
        <w:tab/>
        <w:t>Ризици во спроведувањето и примената на секое од можните решенија (опции)</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Со цел дефинирање на можните ризици за воспоставување и имплементација на можните опции беше извршена анализа на ризик за трите дефинирани опции кои се предмет на разгледување.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Дополнително беше дефинирана и веројатноста на појавување на секој ризик, како и ефектот што ќе го има врз имплементација на самата опција.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Скалата по која беа оценувани ризиците е од 1-10, каде 10 е највисок степен на ризик.</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По однос на постоечката опција беа дефинирани следниве ризици со соодветниот ефект на појавување: Послаба конкурентност на национално ниво, со вредност 3,6, која ќе се појави како резултат на постоењето на нелојална конкуренција на пазарот; Нецелосен опфат на занаетчии од иста дејност од различни подрачја, со вредност 4,2, која е резултат на регионалниот пристап и различната функционалност на сите комори; Погрешно креирање на политики поради нецелосни и нерелевантни информации (6,3), Зголемување на незадоволството на занаетчиите од нееднаквите услови и неквалитетната поддршка (6,4), како и Намалување на членовите на коморите и нерегистрирање на занаетчиите, со вредност 4,5, кој може да се појави поради неефикасна поддршка за сите занаетчии.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По однос на втората опција на постоење на Централна комора со регионални комори, при анализата на ризик беа идентификувани следниве ризици: Отпор од згаснување на регионалните комори, со веројатност на појавување 3,6; Губење на уникатноста (1,5); Отпор од повторна регистрација и повисоки трошоци (1,6), Маргинализирање на регионалните </w:t>
      </w:r>
      <w:r w:rsidRPr="00FF7398">
        <w:rPr>
          <w:rFonts w:ascii="StobiSerif Regular" w:eastAsiaTheme="minorHAnsi" w:hAnsi="StobiSerif Regular" w:cstheme="minorBidi"/>
          <w:sz w:val="20"/>
          <w:szCs w:val="20"/>
        </w:rPr>
        <w:lastRenderedPageBreak/>
        <w:t xml:space="preserve">комори (1,8), Парцијализација на интереси (3,5), Отпор од регионалните комори за соработка со централната (2,28), Достапност на коморите до занаетчиите за регистрација (0,4). </w:t>
      </w:r>
    </w:p>
    <w:p w:rsidR="00FF7398" w:rsidRPr="00FF7398" w:rsidRDefault="00FF7398" w:rsidP="00FF7398">
      <w:pPr>
        <w:jc w:val="both"/>
        <w:rPr>
          <w:rFonts w:ascii="StobiSerif Regular" w:eastAsiaTheme="minorHAnsi" w:hAnsi="StobiSerif Regular" w:cstheme="minorBidi"/>
          <w:sz w:val="20"/>
          <w:szCs w:val="20"/>
        </w:rPr>
      </w:pP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По однос на имплементацијата на третата опција беа дефинирани следниве ризици кои може да се појават: Отпор од згаснување на регионалните комори (3</w:t>
      </w:r>
      <w:proofErr w:type="gramStart"/>
      <w:r w:rsidRPr="00FF7398">
        <w:rPr>
          <w:rFonts w:ascii="StobiSerif Regular" w:eastAsiaTheme="minorHAnsi" w:hAnsi="StobiSerif Regular" w:cstheme="minorBidi"/>
          <w:sz w:val="20"/>
          <w:szCs w:val="20"/>
        </w:rPr>
        <w:t>,6</w:t>
      </w:r>
      <w:proofErr w:type="gramEnd"/>
      <w:r w:rsidRPr="00FF7398">
        <w:rPr>
          <w:rFonts w:ascii="StobiSerif Regular" w:eastAsiaTheme="minorHAnsi" w:hAnsi="StobiSerif Regular" w:cstheme="minorBidi"/>
          <w:sz w:val="20"/>
          <w:szCs w:val="20"/>
        </w:rPr>
        <w:t xml:space="preserve">), Соработка помеѓу Централната комора и Централниот регистар (1), Губење на уникатноста (1,5); Отпор од повторна регистрација и повисоки трошоци (1,6), Маргинализирање на регионалните комори (1,8), Парцијализација на интереси (3,5), Отпор од регионалните комори за соработка со централната (2,28). </w:t>
      </w:r>
    </w:p>
    <w:p w:rsidR="00FF7398" w:rsidRPr="00FF7398" w:rsidRDefault="00FF7398" w:rsidP="00FF7398">
      <w:pPr>
        <w:jc w:val="both"/>
        <w:rPr>
          <w:rFonts w:ascii="StobiSerif Regular" w:hAnsi="StobiSerif Regular"/>
          <w:i/>
          <w:sz w:val="20"/>
          <w:szCs w:val="20"/>
          <w:lang w:val="mk-MK"/>
        </w:rPr>
      </w:pPr>
    </w:p>
    <w:p w:rsidR="005B1815" w:rsidRPr="00FF7398" w:rsidRDefault="005B1815" w:rsidP="00B27759">
      <w:pPr>
        <w:ind w:firstLine="720"/>
        <w:jc w:val="both"/>
        <w:rPr>
          <w:rFonts w:ascii="StobiSerif Regular" w:hAnsi="StobiSerif Regular"/>
          <w:i/>
          <w:sz w:val="20"/>
          <w:szCs w:val="20"/>
          <w:lang w:val="mk-MK"/>
        </w:rPr>
      </w:pPr>
    </w:p>
    <w:p w:rsidR="00E62DC4" w:rsidRPr="00FF7398" w:rsidRDefault="00E62DC4" w:rsidP="00B27759">
      <w:pPr>
        <w:ind w:firstLine="720"/>
        <w:jc w:val="both"/>
        <w:rPr>
          <w:rFonts w:ascii="StobiSerif Regular" w:hAnsi="StobiSerif Regular"/>
          <w:i/>
          <w:sz w:val="20"/>
          <w:szCs w:val="20"/>
          <w:lang w:val="mk-MK"/>
        </w:rPr>
      </w:pPr>
      <w:r w:rsidRPr="00FF7398">
        <w:rPr>
          <w:rFonts w:ascii="StobiSerif Regular" w:hAnsi="StobiSerif Regular"/>
          <w:i/>
          <w:sz w:val="20"/>
          <w:szCs w:val="20"/>
          <w:lang w:val="mk-MK"/>
        </w:rPr>
        <w:t>6.3</w:t>
      </w:r>
      <w:r w:rsidRPr="00FF7398">
        <w:rPr>
          <w:rFonts w:ascii="StobiSerif Regular" w:hAnsi="StobiSerif Regular"/>
          <w:i/>
          <w:sz w:val="20"/>
          <w:szCs w:val="20"/>
          <w:lang w:val="mk-MK"/>
        </w:rPr>
        <w:tab/>
        <w:t>Препорачано решение со образложение</w:t>
      </w:r>
    </w:p>
    <w:p w:rsidR="008E6B3B" w:rsidRPr="00FF7398" w:rsidRDefault="008E6B3B" w:rsidP="00860DD5">
      <w:pPr>
        <w:autoSpaceDE w:val="0"/>
        <w:autoSpaceDN w:val="0"/>
        <w:adjustRightInd w:val="0"/>
        <w:ind w:left="720"/>
        <w:jc w:val="both"/>
        <w:rPr>
          <w:rFonts w:ascii="StobiSerif Regular" w:hAnsi="StobiSerif Regular"/>
          <w:sz w:val="20"/>
          <w:szCs w:val="20"/>
          <w:lang w:val="mk-MK"/>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Согласно резултатите од спроведената детална анализа и споредба на трите опции преку користење на аналитичките алатки се препорачува спроведување/ имплементација на втората опција, односно опцијата на воспоставување на централно коморско здружување.</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Новиот концепт предвидува потребата од менување на системот на регионално коморско здружување.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Тоа е неопходно за да може да се постигне посакуваната цел, да се обезбеди квалитетна поддршка за развој на конкурентноста на занаетчиството и еднакви услови за регистрација и вршење на занаетчиската дејност.</w:t>
      </w:r>
      <w:proofErr w:type="gramEnd"/>
      <w:r w:rsidRPr="00FF7398">
        <w:rPr>
          <w:rFonts w:ascii="StobiSerif Regular" w:eastAsiaTheme="minorHAnsi" w:hAnsi="StobiSerif Regular" w:cstheme="minorBidi"/>
          <w:sz w:val="20"/>
          <w:szCs w:val="20"/>
        </w:rPr>
        <w:t xml:space="preserve"> </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Препорачаното решение предвидува функционален систем на регистрација на занаетчиите, со што за сите занаетчии би постоел еден единствен унифициран систем на регистрација и еднакви трошоци за сите занаетчии.</w:t>
      </w:r>
      <w:proofErr w:type="gramEnd"/>
      <w:r w:rsidRPr="00FF7398">
        <w:rPr>
          <w:rFonts w:ascii="StobiSerif Regular" w:eastAsiaTheme="minorHAnsi" w:hAnsi="StobiSerif Regular" w:cstheme="minorBidi"/>
          <w:sz w:val="20"/>
          <w:szCs w:val="20"/>
        </w:rPr>
        <w:t xml:space="preserve"> Предложениот концепт предвидува  централизирање на надлежностите и јасно дефинирање на односот помеѓу ЗКРМ и оптшинските комори, со што ЗКРМ ќе може соодветно да ја извршува својата улогата како социјален партнер на Владата. Со централизирање на надлежностите, улогата на ЗКРМ ќе се зајакне и истата ќе може соодветно да ги задоволи потребите на знаетчиите. </w:t>
      </w:r>
      <w:proofErr w:type="gramStart"/>
      <w:r w:rsidRPr="00FF7398">
        <w:rPr>
          <w:rFonts w:ascii="StobiSerif Regular" w:eastAsiaTheme="minorHAnsi" w:hAnsi="StobiSerif Regular" w:cstheme="minorBidi"/>
          <w:sz w:val="20"/>
          <w:szCs w:val="20"/>
        </w:rPr>
        <w:t>Капацитетите на ЗКРМ ќе бидат доволни за ефикасно и квалитетно огранизирање на обуки и надградување на стручните вештини на занаетчиите.</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Со новиот концепт ќе се допрецизираат критериумите за спроведување на мајсторски испит и истите доследно ќе се спроведуваат.</w:t>
      </w:r>
      <w:proofErr w:type="gramEnd"/>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Во исто време трошоците за обуки и промоција исто така ќе бидат пониски.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Промотивните активности ќе бидат целно насочени и ќе бидат опфатени сите видови на занаетчии, а соработката на локално и државно ниво ќе се унапреди со што интересите на коморите ќе бидат соодветно застапени.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Поради централниот начин на функционирање, ЗКРМ ќе може да пружи и квалитетни консултантски услуги за подготовка на проекти, а со тоа ќе се зголеми и капацитетот на коморите и занаетчиите за искористување на достапните фондови наменети за развој на знаетчиството.</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Сите наведени придобивки значително ќе придонесат кон зголемување на квалитетот на занаетчиските производи, а со тоа и нивната конкурентност и можностите за извоз во странство.</w:t>
      </w:r>
      <w:proofErr w:type="gramEnd"/>
      <w:r w:rsidRPr="00FF7398">
        <w:rPr>
          <w:rFonts w:ascii="StobiSerif Regular" w:eastAsiaTheme="minorHAnsi" w:hAnsi="StobiSerif Regular" w:cstheme="minorBidi"/>
          <w:sz w:val="20"/>
          <w:szCs w:val="20"/>
        </w:rPr>
        <w:t xml:space="preserve">      </w:t>
      </w:r>
    </w:p>
    <w:p w:rsidR="000F320A" w:rsidRPr="00FF7398" w:rsidRDefault="000F320A" w:rsidP="00C25F50">
      <w:pPr>
        <w:tabs>
          <w:tab w:val="left" w:pos="675"/>
        </w:tabs>
        <w:jc w:val="both"/>
        <w:rPr>
          <w:rFonts w:ascii="StobiSerif Regular" w:hAnsi="StobiSerif Regular"/>
          <w:sz w:val="20"/>
          <w:szCs w:val="20"/>
          <w:lang w:val="mk-MK"/>
        </w:rPr>
      </w:pPr>
    </w:p>
    <w:p w:rsidR="00E62DC4" w:rsidRPr="00FF7398" w:rsidRDefault="00E62DC4" w:rsidP="00B27759">
      <w:pPr>
        <w:tabs>
          <w:tab w:val="left" w:pos="675"/>
        </w:tabs>
        <w:rPr>
          <w:rFonts w:ascii="StobiSerif Regular" w:hAnsi="StobiSerif Regular"/>
          <w:b/>
          <w:sz w:val="20"/>
          <w:szCs w:val="20"/>
          <w:lang w:val="mk-MK"/>
        </w:rPr>
      </w:pPr>
      <w:r w:rsidRPr="00FF7398">
        <w:rPr>
          <w:rFonts w:ascii="StobiSerif Regular" w:hAnsi="StobiSerif Regular"/>
          <w:b/>
          <w:sz w:val="20"/>
          <w:szCs w:val="20"/>
          <w:lang w:val="mk-MK"/>
        </w:rPr>
        <w:t>7.</w:t>
      </w:r>
      <w:r w:rsidRPr="00FF7398">
        <w:rPr>
          <w:rFonts w:ascii="StobiSerif Regular" w:hAnsi="StobiSerif Regular"/>
          <w:b/>
          <w:sz w:val="20"/>
          <w:szCs w:val="20"/>
          <w:lang w:val="mk-MK"/>
        </w:rPr>
        <w:tab/>
        <w:t>Спроведување на препорачаното решение</w:t>
      </w:r>
    </w:p>
    <w:p w:rsidR="00E62DC4" w:rsidRPr="00FF7398" w:rsidRDefault="00E62DC4" w:rsidP="00B27759">
      <w:pPr>
        <w:jc w:val="both"/>
        <w:rPr>
          <w:rFonts w:ascii="StobiSerif Regular" w:hAnsi="StobiSerif Regular"/>
          <w:sz w:val="20"/>
          <w:szCs w:val="20"/>
          <w:lang w:val="ru-RU"/>
        </w:rPr>
      </w:pP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7.1</w:t>
      </w:r>
      <w:r w:rsidRPr="00FF7398">
        <w:rPr>
          <w:rFonts w:ascii="StobiSerif Regular" w:hAnsi="StobiSerif Regular"/>
          <w:i/>
          <w:sz w:val="20"/>
          <w:szCs w:val="20"/>
          <w:lang w:val="mk-MK"/>
        </w:rPr>
        <w:tab/>
        <w:t>Потреба од менување на закони и подзаконска регулатива во областа или други сродни области</w:t>
      </w:r>
      <w:r w:rsidR="00205FA0" w:rsidRPr="00FF7398">
        <w:rPr>
          <w:rFonts w:ascii="StobiSerif Regular" w:hAnsi="StobiSerif Regular"/>
          <w:i/>
          <w:sz w:val="20"/>
          <w:szCs w:val="20"/>
          <w:lang w:val="mk-MK"/>
        </w:rPr>
        <w:t>,</w:t>
      </w:r>
    </w:p>
    <w:p w:rsidR="00E62DC4" w:rsidRPr="00FF7398" w:rsidRDefault="00E62DC4" w:rsidP="00FF7398">
      <w:pPr>
        <w:jc w:val="both"/>
        <w:rPr>
          <w:rFonts w:ascii="StobiSerif Regular" w:hAnsi="StobiSerif Regular"/>
          <w:sz w:val="20"/>
          <w:szCs w:val="20"/>
          <w:lang w:val="mk-MK"/>
        </w:rPr>
      </w:pPr>
    </w:p>
    <w:p w:rsidR="00FF7398" w:rsidRPr="00FF7398" w:rsidRDefault="00FF7398" w:rsidP="00FF7398">
      <w:pPr>
        <w:jc w:val="both"/>
        <w:rPr>
          <w:rFonts w:ascii="StobiSerif Regular" w:eastAsiaTheme="minorHAnsi" w:hAnsi="StobiSerif Regular" w:cstheme="minorBidi"/>
          <w:i/>
          <w:sz w:val="20"/>
          <w:szCs w:val="20"/>
        </w:rPr>
      </w:pPr>
      <w:proofErr w:type="gramStart"/>
      <w:r w:rsidRPr="00FF7398">
        <w:rPr>
          <w:rFonts w:ascii="StobiSerif Regular" w:eastAsiaTheme="minorHAnsi" w:hAnsi="StobiSerif Regular" w:cstheme="minorBidi"/>
          <w:sz w:val="20"/>
          <w:szCs w:val="20"/>
        </w:rPr>
        <w:t xml:space="preserve">Со цел воспоставување на препорачаната опција потребно е да се донесе нов Закон за занаетчиство кој ќе ја воспостави правната рамка и подетално ќе го уреди начинот на </w:t>
      </w:r>
      <w:r w:rsidRPr="00FF7398">
        <w:rPr>
          <w:rFonts w:ascii="StobiSerif Regular" w:eastAsiaTheme="minorHAnsi" w:hAnsi="StobiSerif Regular" w:cstheme="minorBidi"/>
          <w:sz w:val="20"/>
          <w:szCs w:val="20"/>
        </w:rPr>
        <w:lastRenderedPageBreak/>
        <w:t>функционирање на системот на една Централна занаетчиска комора со општински комори за регистрација на занаетчиите.</w:t>
      </w:r>
      <w:proofErr w:type="gramEnd"/>
    </w:p>
    <w:p w:rsidR="00FF7398" w:rsidRPr="00FF7398" w:rsidRDefault="00FF7398" w:rsidP="00FF7398">
      <w:pPr>
        <w:jc w:val="both"/>
        <w:rPr>
          <w:rFonts w:ascii="StobiSerif Regular" w:hAnsi="StobiSerif Regular"/>
          <w:sz w:val="20"/>
          <w:szCs w:val="20"/>
          <w:lang w:val="mk-MK"/>
        </w:rPr>
      </w:pP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7.2</w:t>
      </w:r>
      <w:r w:rsidRPr="00FF7398">
        <w:rPr>
          <w:rFonts w:ascii="StobiSerif Regular" w:hAnsi="StobiSerif Regular"/>
          <w:i/>
          <w:sz w:val="20"/>
          <w:szCs w:val="20"/>
          <w:lang w:val="mk-MK"/>
        </w:rPr>
        <w:tab/>
        <w:t>Потребни подзаконски акти и рок за нивно донесување</w:t>
      </w:r>
      <w:r w:rsidR="00205FA0" w:rsidRPr="00FF7398">
        <w:rPr>
          <w:rFonts w:ascii="StobiSerif Regular" w:hAnsi="StobiSerif Regular"/>
          <w:i/>
          <w:sz w:val="20"/>
          <w:szCs w:val="20"/>
          <w:lang w:val="mk-MK"/>
        </w:rPr>
        <w:t>,</w:t>
      </w:r>
    </w:p>
    <w:p w:rsidR="00FF7398" w:rsidRPr="00FF7398" w:rsidRDefault="00FF7398" w:rsidP="00FF7398">
      <w:pPr>
        <w:pStyle w:val="ListParagraph"/>
        <w:numPr>
          <w:ilvl w:val="0"/>
          <w:numId w:val="30"/>
        </w:numPr>
        <w:spacing w:after="0" w:line="240" w:lineRule="auto"/>
        <w:jc w:val="both"/>
        <w:rPr>
          <w:rFonts w:ascii="StobiSerif Regular" w:eastAsiaTheme="minorHAnsi" w:hAnsi="StobiSerif Regular" w:cstheme="minorBidi"/>
          <w:i/>
          <w:sz w:val="20"/>
          <w:szCs w:val="20"/>
        </w:rPr>
      </w:pPr>
      <w:r w:rsidRPr="00FF7398">
        <w:rPr>
          <w:rFonts w:ascii="StobiSerif Regular" w:eastAsiaTheme="minorHAnsi" w:hAnsi="StobiSerif Regular" w:cstheme="minorBidi"/>
          <w:i/>
          <w:sz w:val="20"/>
          <w:szCs w:val="20"/>
        </w:rPr>
        <w:t>Правилник за определува на дејностите кои можат да ги вршат занаетчиите</w:t>
      </w:r>
    </w:p>
    <w:p w:rsidR="00FF7398" w:rsidRPr="00FF7398" w:rsidRDefault="00FF7398" w:rsidP="00FF7398">
      <w:pPr>
        <w:pStyle w:val="ListParagraph"/>
        <w:numPr>
          <w:ilvl w:val="0"/>
          <w:numId w:val="30"/>
        </w:numPr>
        <w:spacing w:after="0" w:line="240" w:lineRule="auto"/>
        <w:jc w:val="both"/>
        <w:rPr>
          <w:rFonts w:ascii="StobiSerif Regular" w:eastAsiaTheme="minorHAnsi" w:hAnsi="StobiSerif Regular" w:cstheme="minorBidi"/>
          <w:i/>
          <w:sz w:val="20"/>
          <w:szCs w:val="20"/>
        </w:rPr>
      </w:pPr>
      <w:r w:rsidRPr="00FF7398">
        <w:rPr>
          <w:rFonts w:ascii="StobiSerif Regular" w:eastAsiaTheme="minorHAnsi" w:hAnsi="StobiSerif Regular" w:cstheme="minorBidi"/>
          <w:i/>
          <w:sz w:val="20"/>
          <w:szCs w:val="20"/>
        </w:rPr>
        <w:t xml:space="preserve">Правилник за исполнување на минимални технички услови </w:t>
      </w:r>
    </w:p>
    <w:p w:rsidR="00FF7398" w:rsidRPr="00FF7398" w:rsidRDefault="00FF7398" w:rsidP="00FF7398">
      <w:pPr>
        <w:pStyle w:val="ListParagraph"/>
        <w:numPr>
          <w:ilvl w:val="0"/>
          <w:numId w:val="30"/>
        </w:numPr>
        <w:spacing w:after="0" w:line="240" w:lineRule="auto"/>
        <w:jc w:val="both"/>
        <w:rPr>
          <w:rFonts w:ascii="StobiSerif Regular" w:eastAsiaTheme="minorHAnsi" w:hAnsi="StobiSerif Regular" w:cstheme="minorBidi"/>
          <w:i/>
          <w:sz w:val="20"/>
          <w:szCs w:val="20"/>
        </w:rPr>
      </w:pPr>
      <w:r w:rsidRPr="00FF7398">
        <w:rPr>
          <w:rFonts w:ascii="StobiSerif Regular" w:eastAsiaTheme="minorHAnsi" w:hAnsi="StobiSerif Regular" w:cstheme="minorBidi"/>
          <w:i/>
          <w:sz w:val="20"/>
          <w:szCs w:val="20"/>
        </w:rPr>
        <w:t>Правилник за начин и водење на занаетчискиот регистар</w:t>
      </w:r>
    </w:p>
    <w:p w:rsidR="00FF7398" w:rsidRPr="00FF7398" w:rsidRDefault="00FF7398" w:rsidP="00FF7398">
      <w:pPr>
        <w:pStyle w:val="ListParagraph"/>
        <w:numPr>
          <w:ilvl w:val="0"/>
          <w:numId w:val="30"/>
        </w:numPr>
        <w:spacing w:after="0" w:line="240" w:lineRule="auto"/>
        <w:jc w:val="both"/>
        <w:rPr>
          <w:rFonts w:ascii="StobiSerif Regular" w:eastAsiaTheme="minorHAnsi" w:hAnsi="StobiSerif Regular" w:cstheme="minorBidi"/>
          <w:i/>
          <w:sz w:val="20"/>
          <w:szCs w:val="20"/>
        </w:rPr>
      </w:pPr>
      <w:r w:rsidRPr="00FF7398">
        <w:rPr>
          <w:rFonts w:ascii="StobiSerif Regular" w:eastAsiaTheme="minorHAnsi" w:hAnsi="StobiSerif Regular" w:cstheme="minorBidi"/>
          <w:i/>
          <w:sz w:val="20"/>
          <w:szCs w:val="20"/>
        </w:rPr>
        <w:t>Правилник за формата и содржината на поканата за едукација,</w:t>
      </w:r>
    </w:p>
    <w:p w:rsidR="005B1815" w:rsidRPr="0079469F" w:rsidRDefault="00FF7398" w:rsidP="00FF7398">
      <w:pPr>
        <w:pStyle w:val="ListParagraph"/>
        <w:numPr>
          <w:ilvl w:val="0"/>
          <w:numId w:val="30"/>
        </w:numPr>
        <w:jc w:val="both"/>
        <w:rPr>
          <w:rFonts w:ascii="StobiSerif Regular" w:hAnsi="StobiSerif Regular"/>
          <w:sz w:val="20"/>
          <w:szCs w:val="20"/>
        </w:rPr>
      </w:pPr>
      <w:r w:rsidRPr="00FF7398">
        <w:rPr>
          <w:rFonts w:ascii="StobiSerif Regular" w:eastAsiaTheme="minorHAnsi" w:hAnsi="StobiSerif Regular" w:cstheme="minorBidi"/>
          <w:i/>
          <w:sz w:val="20"/>
          <w:szCs w:val="20"/>
        </w:rPr>
        <w:t>Правилник за формата и содржината на занаетчиската дозвола</w:t>
      </w:r>
    </w:p>
    <w:p w:rsidR="0079469F" w:rsidRPr="0079469F" w:rsidRDefault="0079469F" w:rsidP="0079469F">
      <w:pPr>
        <w:ind w:left="360"/>
        <w:jc w:val="both"/>
        <w:rPr>
          <w:rFonts w:ascii="StobiSerif Regular" w:hAnsi="StobiSerif Regular"/>
          <w:sz w:val="20"/>
          <w:szCs w:val="20"/>
          <w:lang w:val="mk-MK"/>
        </w:rPr>
      </w:pPr>
      <w:r>
        <w:rPr>
          <w:rFonts w:ascii="StobiSerif Regular" w:hAnsi="StobiSerif Regular"/>
          <w:sz w:val="20"/>
          <w:szCs w:val="20"/>
          <w:lang w:val="mk-MK"/>
        </w:rPr>
        <w:t>Наведените правилници ќе се донесат во рок од 6 месеци од денот на донесување на Законот.</w:t>
      </w:r>
    </w:p>
    <w:p w:rsidR="00C237B3" w:rsidRPr="00FF7398" w:rsidRDefault="00C237B3" w:rsidP="00B27759">
      <w:pPr>
        <w:ind w:left="720"/>
        <w:jc w:val="both"/>
        <w:rPr>
          <w:rFonts w:ascii="StobiSerif Regular" w:hAnsi="StobiSerif Regular"/>
          <w:i/>
          <w:sz w:val="20"/>
          <w:szCs w:val="20"/>
          <w:lang w:val="en-US"/>
        </w:rPr>
      </w:pP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7.3</w:t>
      </w:r>
      <w:r w:rsidRPr="00FF7398">
        <w:rPr>
          <w:rFonts w:ascii="StobiSerif Regular" w:hAnsi="StobiSerif Regular"/>
          <w:i/>
          <w:sz w:val="20"/>
          <w:szCs w:val="20"/>
          <w:lang w:val="mk-MK"/>
        </w:rPr>
        <w:tab/>
        <w:t>Органи на државната управа, државни органи и други органи надлежни за спроведување</w:t>
      </w:r>
    </w:p>
    <w:p w:rsidR="00E153E8" w:rsidRPr="00FF7398" w:rsidRDefault="000F730D" w:rsidP="00B27759">
      <w:pPr>
        <w:numPr>
          <w:ilvl w:val="0"/>
          <w:numId w:val="11"/>
        </w:numPr>
        <w:ind w:left="1170"/>
        <w:jc w:val="both"/>
        <w:rPr>
          <w:rFonts w:ascii="StobiSerif Regular" w:hAnsi="StobiSerif Regular"/>
          <w:sz w:val="20"/>
          <w:szCs w:val="20"/>
        </w:rPr>
      </w:pPr>
      <w:r w:rsidRPr="00FF7398">
        <w:rPr>
          <w:rFonts w:ascii="StobiSerif Regular" w:hAnsi="StobiSerif Regular"/>
          <w:sz w:val="20"/>
          <w:szCs w:val="20"/>
        </w:rPr>
        <w:t>Министерство за економија</w:t>
      </w:r>
    </w:p>
    <w:p w:rsidR="000F730D" w:rsidRPr="00FF7398" w:rsidRDefault="000F730D" w:rsidP="00B27759">
      <w:pPr>
        <w:ind w:left="810"/>
        <w:jc w:val="both"/>
        <w:rPr>
          <w:rFonts w:ascii="StobiSerif Regular" w:hAnsi="StobiSerif Regular"/>
          <w:sz w:val="20"/>
          <w:szCs w:val="20"/>
          <w:lang w:val="mk-MK"/>
        </w:rPr>
      </w:pPr>
    </w:p>
    <w:p w:rsidR="005B1815" w:rsidRPr="00FF7398" w:rsidRDefault="005B1815" w:rsidP="00B27759">
      <w:pPr>
        <w:ind w:left="810"/>
        <w:jc w:val="both"/>
        <w:rPr>
          <w:rFonts w:ascii="StobiSerif Regular" w:hAnsi="StobiSerif Regular"/>
          <w:sz w:val="20"/>
          <w:szCs w:val="20"/>
          <w:lang w:val="mk-MK"/>
        </w:rPr>
      </w:pPr>
    </w:p>
    <w:p w:rsidR="00E62DC4" w:rsidRPr="00FF7398" w:rsidRDefault="00E62DC4" w:rsidP="00FF7398">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7.4</w:t>
      </w:r>
      <w:r w:rsidRPr="00FF7398">
        <w:rPr>
          <w:rFonts w:ascii="StobiSerif Regular" w:hAnsi="StobiSerif Regular"/>
          <w:i/>
          <w:sz w:val="20"/>
          <w:szCs w:val="20"/>
          <w:lang w:val="mk-MK"/>
        </w:rPr>
        <w:tab/>
        <w:t>Активности за обезбедување на ефикасно спроведување на предлог</w:t>
      </w:r>
      <w:r w:rsidR="00F66307" w:rsidRPr="00FF7398">
        <w:rPr>
          <w:rFonts w:ascii="StobiSerif Regular" w:hAnsi="StobiSerif Regular"/>
          <w:i/>
          <w:sz w:val="20"/>
          <w:szCs w:val="20"/>
          <w:lang w:val="mk-MK"/>
        </w:rPr>
        <w:t>от</w:t>
      </w:r>
      <w:r w:rsidR="00B413F0" w:rsidRPr="00FF7398">
        <w:rPr>
          <w:rFonts w:ascii="StobiSerif Regular" w:hAnsi="StobiSerif Regular"/>
          <w:i/>
          <w:sz w:val="20"/>
          <w:szCs w:val="20"/>
          <w:lang w:val="mk-MK"/>
        </w:rPr>
        <w:t xml:space="preserve"> на</w:t>
      </w:r>
      <w:r w:rsidRPr="00FF7398">
        <w:rPr>
          <w:rFonts w:ascii="StobiSerif Regular" w:hAnsi="StobiSerif Regular"/>
          <w:i/>
          <w:sz w:val="20"/>
          <w:szCs w:val="20"/>
          <w:lang w:val="mk-MK"/>
        </w:rPr>
        <w:t xml:space="preserve"> закон</w:t>
      </w: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Во насока на ефикасно спроведување на предложената регулатива, ќе биде организирана информативна кампања за запознавање на засегнатите страни, занаетчиите и коморите, за придобивките од новиот концепт на Централно здружување, односно воспоставување на Централна комора.</w:t>
      </w:r>
      <w:proofErr w:type="gramEnd"/>
      <w:r w:rsidRPr="00FF7398">
        <w:rPr>
          <w:rFonts w:ascii="StobiSerif Regular" w:eastAsiaTheme="minorHAnsi" w:hAnsi="StobiSerif Regular" w:cstheme="minorBidi"/>
          <w:sz w:val="20"/>
          <w:szCs w:val="20"/>
        </w:rPr>
        <w:t xml:space="preserve"> Кампањата ќе вклучи претставување на новиот концепт на постојните </w:t>
      </w:r>
      <w:proofErr w:type="gramStart"/>
      <w:r w:rsidRPr="00FF7398">
        <w:rPr>
          <w:rFonts w:ascii="StobiSerif Regular" w:eastAsiaTheme="minorHAnsi" w:hAnsi="StobiSerif Regular" w:cstheme="minorBidi"/>
          <w:sz w:val="20"/>
          <w:szCs w:val="20"/>
        </w:rPr>
        <w:t>комори  и</w:t>
      </w:r>
      <w:proofErr w:type="gramEnd"/>
      <w:r w:rsidRPr="00FF7398">
        <w:rPr>
          <w:rFonts w:ascii="StobiSerif Regular" w:eastAsiaTheme="minorHAnsi" w:hAnsi="StobiSerif Regular" w:cstheme="minorBidi"/>
          <w:sz w:val="20"/>
          <w:szCs w:val="20"/>
        </w:rPr>
        <w:t xml:space="preserve"> објаснување на нивната улога во новиот систем на здружување, презентирање на придобивките од централизирање на коморското здружување и плановите за развој и поддршка на занаетчиството.    </w:t>
      </w:r>
    </w:p>
    <w:p w:rsidR="00FF7398" w:rsidRPr="00FF7398" w:rsidRDefault="00FF7398" w:rsidP="00FF7398">
      <w:pPr>
        <w:jc w:val="both"/>
        <w:rPr>
          <w:rFonts w:ascii="StobiSerif Regular" w:hAnsi="StobiSerif Regular"/>
          <w:i/>
          <w:sz w:val="20"/>
          <w:szCs w:val="20"/>
          <w:lang w:val="mk-MK"/>
        </w:rPr>
      </w:pPr>
    </w:p>
    <w:p w:rsidR="00E62DC4" w:rsidRPr="00FF7398" w:rsidRDefault="00E62DC4" w:rsidP="00B27759">
      <w:pPr>
        <w:tabs>
          <w:tab w:val="left" w:pos="675"/>
        </w:tabs>
        <w:rPr>
          <w:rFonts w:ascii="StobiSerif Regular" w:hAnsi="StobiSerif Regular"/>
          <w:b/>
          <w:sz w:val="20"/>
          <w:szCs w:val="20"/>
          <w:lang w:val="en-US"/>
        </w:rPr>
      </w:pPr>
      <w:r w:rsidRPr="00FF7398">
        <w:rPr>
          <w:rFonts w:ascii="StobiSerif Regular" w:hAnsi="StobiSerif Regular"/>
          <w:b/>
          <w:sz w:val="20"/>
          <w:szCs w:val="20"/>
          <w:lang w:val="mk-MK"/>
        </w:rPr>
        <w:t>8.</w:t>
      </w:r>
      <w:r w:rsidRPr="00FF7398">
        <w:rPr>
          <w:rFonts w:ascii="StobiSerif Regular" w:hAnsi="StobiSerif Regular"/>
          <w:b/>
          <w:sz w:val="20"/>
          <w:szCs w:val="20"/>
          <w:lang w:val="mk-MK"/>
        </w:rPr>
        <w:tab/>
        <w:t>Следење и евалуација</w:t>
      </w:r>
    </w:p>
    <w:p w:rsidR="00E62DC4"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 xml:space="preserve">8.1 </w:t>
      </w:r>
      <w:r w:rsidRPr="00FF7398">
        <w:rPr>
          <w:rFonts w:ascii="StobiSerif Regular" w:hAnsi="StobiSerif Regular"/>
          <w:i/>
          <w:sz w:val="20"/>
          <w:szCs w:val="20"/>
          <w:lang w:val="mk-MK"/>
        </w:rPr>
        <w:tab/>
        <w:t xml:space="preserve">Начин на следење на спроведувањето </w:t>
      </w:r>
    </w:p>
    <w:p w:rsidR="00FF7398" w:rsidRPr="00FF7398" w:rsidRDefault="00FF7398" w:rsidP="00FF7398">
      <w:pPr>
        <w:jc w:val="both"/>
        <w:rPr>
          <w:rFonts w:ascii="StobiSerif Regular" w:hAnsi="StobiSerif Regular"/>
          <w:i/>
          <w:sz w:val="20"/>
          <w:szCs w:val="20"/>
          <w:lang w:val="mk-MK"/>
        </w:rPr>
      </w:pPr>
    </w:p>
    <w:p w:rsidR="00FF7398" w:rsidRPr="00FF7398" w:rsidRDefault="00FF7398" w:rsidP="00FF7398">
      <w:pPr>
        <w:jc w:val="both"/>
        <w:rPr>
          <w:rFonts w:ascii="StobiSerif Regular" w:eastAsiaTheme="minorHAnsi" w:hAnsi="StobiSerif Regular" w:cstheme="minorBidi"/>
          <w:sz w:val="20"/>
          <w:szCs w:val="20"/>
        </w:rPr>
      </w:pPr>
      <w:proofErr w:type="gramStart"/>
      <w:r w:rsidRPr="00FF7398">
        <w:rPr>
          <w:rFonts w:ascii="StobiSerif Regular" w:eastAsiaTheme="minorHAnsi" w:hAnsi="StobiSerif Regular" w:cstheme="minorBidi"/>
          <w:sz w:val="20"/>
          <w:szCs w:val="20"/>
        </w:rPr>
        <w:t>Ефектите од спроведувањето на решението ќе се следат од страна на надлежните инстит</w:t>
      </w:r>
      <w:r w:rsidR="00A76DCE">
        <w:rPr>
          <w:rFonts w:ascii="StobiSerif Regular" w:eastAsiaTheme="minorHAnsi" w:hAnsi="StobiSerif Regular" w:cstheme="minorBidi"/>
          <w:sz w:val="20"/>
          <w:szCs w:val="20"/>
        </w:rPr>
        <w:t>уции, Министерство за економија</w:t>
      </w:r>
      <w:r w:rsidRPr="00FF7398">
        <w:rPr>
          <w:rFonts w:ascii="StobiSerif Regular" w:eastAsiaTheme="minorHAnsi" w:hAnsi="StobiSerif Regular" w:cstheme="minorBidi"/>
          <w:sz w:val="20"/>
          <w:szCs w:val="20"/>
        </w:rPr>
        <w:t xml:space="preserve"> и Централниот регистар врз основа на предвидените индикатори.</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Министерството за економија по завршувањето на првата година ќе направи анализа за степенот на исполнување на предвидените индикатори, ќе следи дали ќе се воспостават предвидените општински комори и начинот на функционирање Централната комора.</w:t>
      </w:r>
      <w:proofErr w:type="gramEnd"/>
      <w:r w:rsidRPr="00FF7398">
        <w:rPr>
          <w:rFonts w:ascii="StobiSerif Regular" w:eastAsiaTheme="minorHAnsi" w:hAnsi="StobiSerif Regular" w:cstheme="minorBidi"/>
          <w:sz w:val="20"/>
          <w:szCs w:val="20"/>
        </w:rPr>
        <w:t xml:space="preserve"> </w:t>
      </w:r>
      <w:proofErr w:type="gramStart"/>
      <w:r w:rsidRPr="00FF7398">
        <w:rPr>
          <w:rFonts w:ascii="StobiSerif Regular" w:eastAsiaTheme="minorHAnsi" w:hAnsi="StobiSerif Regular" w:cstheme="minorBidi"/>
          <w:sz w:val="20"/>
          <w:szCs w:val="20"/>
        </w:rPr>
        <w:t>Исто така Министерството за економија ќе следи дали законот за занаетчиство доследно и целосно ќе се спроведува.</w:t>
      </w:r>
      <w:proofErr w:type="gramEnd"/>
      <w:r w:rsidRPr="00FF7398">
        <w:rPr>
          <w:rFonts w:ascii="StobiSerif Regular" w:eastAsiaTheme="minorHAnsi" w:hAnsi="StobiSerif Regular" w:cstheme="minorBidi"/>
          <w:sz w:val="20"/>
          <w:szCs w:val="20"/>
        </w:rPr>
        <w:t xml:space="preserve"> Со цел добивање на информации за имплементацијата и ефектите од регулативата ќе се одржат состаноци и интервјуа со занаетчиите за да се утврдат дали посакуваните резултати и цели се постигнати</w:t>
      </w:r>
      <w:proofErr w:type="gramStart"/>
      <w:r w:rsidRPr="00FF7398">
        <w:rPr>
          <w:rFonts w:ascii="StobiSerif Regular" w:eastAsiaTheme="minorHAnsi" w:hAnsi="StobiSerif Regular" w:cstheme="minorBidi"/>
          <w:sz w:val="20"/>
          <w:szCs w:val="20"/>
        </w:rPr>
        <w:t>,  дали</w:t>
      </w:r>
      <w:proofErr w:type="gramEnd"/>
      <w:r w:rsidRPr="00FF7398">
        <w:rPr>
          <w:rFonts w:ascii="StobiSerif Regular" w:eastAsiaTheme="minorHAnsi" w:hAnsi="StobiSerif Regular" w:cstheme="minorBidi"/>
          <w:sz w:val="20"/>
          <w:szCs w:val="20"/>
        </w:rPr>
        <w:t xml:space="preserve"> занаетчиите се позадоволни од новиот систем и дали тој ги задоволува нивните потреби. Дополнително Министерството за економија ќе биде во континуирана соработка со ЗКРМ и ќе го следи бројот на поднесените и добиени проекти за искористување на достапните фондови за развој и поддршка на занаетчиството, како и промотивните активности кои ги организираат коморите, во смисол на број на направени публикации, подготвен промотивен материјал, организирани меѓународни средби со сродни институции и степенот на соработка, како и учество на саеми за промоција на занаетчиството.   </w:t>
      </w:r>
    </w:p>
    <w:p w:rsidR="00FF7398" w:rsidRDefault="00FF7398" w:rsidP="00FF7398">
      <w:pPr>
        <w:jc w:val="both"/>
        <w:rPr>
          <w:rFonts w:ascii="StobiSerif Regular" w:hAnsi="StobiSerif Regular"/>
          <w:i/>
          <w:sz w:val="20"/>
          <w:szCs w:val="20"/>
          <w:lang w:val="en-US"/>
        </w:rPr>
      </w:pPr>
    </w:p>
    <w:p w:rsidR="004B210E" w:rsidRPr="004B210E" w:rsidRDefault="004B210E" w:rsidP="00FF7398">
      <w:pPr>
        <w:jc w:val="both"/>
        <w:rPr>
          <w:rFonts w:ascii="StobiSerif Regular" w:hAnsi="StobiSerif Regular"/>
          <w:i/>
          <w:sz w:val="20"/>
          <w:szCs w:val="20"/>
          <w:lang w:val="en-US"/>
        </w:rPr>
      </w:pPr>
    </w:p>
    <w:p w:rsidR="00E62DC4" w:rsidRPr="00FF7398" w:rsidRDefault="00E62DC4" w:rsidP="00B27759">
      <w:pPr>
        <w:tabs>
          <w:tab w:val="left" w:pos="675"/>
        </w:tabs>
        <w:ind w:left="720"/>
        <w:rPr>
          <w:rFonts w:ascii="StobiSerif Regular" w:hAnsi="StobiSerif Regular"/>
          <w:i/>
          <w:sz w:val="20"/>
          <w:szCs w:val="20"/>
          <w:lang w:val="mk-MK"/>
        </w:rPr>
      </w:pPr>
    </w:p>
    <w:p w:rsidR="00205FA0" w:rsidRPr="00FF7398" w:rsidRDefault="00E62DC4"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8.2</w:t>
      </w:r>
      <w:r w:rsidRPr="00FF7398">
        <w:rPr>
          <w:rFonts w:ascii="StobiSerif Regular" w:hAnsi="StobiSerif Regular"/>
          <w:i/>
          <w:sz w:val="20"/>
          <w:szCs w:val="20"/>
          <w:lang w:val="mk-MK"/>
        </w:rPr>
        <w:tab/>
        <w:t>Евалуација на ефектите од предлог</w:t>
      </w:r>
      <w:r w:rsidR="00F66307" w:rsidRPr="00FF7398">
        <w:rPr>
          <w:rFonts w:ascii="StobiSerif Regular" w:hAnsi="StobiSerif Regular"/>
          <w:i/>
          <w:sz w:val="20"/>
          <w:szCs w:val="20"/>
          <w:lang w:val="mk-MK"/>
        </w:rPr>
        <w:t>от</w:t>
      </w:r>
      <w:r w:rsidRPr="00FF7398">
        <w:rPr>
          <w:rFonts w:ascii="StobiSerif Regular" w:hAnsi="StobiSerif Regular"/>
          <w:i/>
          <w:sz w:val="20"/>
          <w:szCs w:val="20"/>
          <w:lang w:val="mk-MK"/>
        </w:rPr>
        <w:t xml:space="preserve"> </w:t>
      </w:r>
      <w:r w:rsidR="00B413F0" w:rsidRPr="00FF7398">
        <w:rPr>
          <w:rFonts w:ascii="StobiSerif Regular" w:hAnsi="StobiSerif Regular"/>
          <w:i/>
          <w:sz w:val="20"/>
          <w:szCs w:val="20"/>
          <w:lang w:val="mk-MK"/>
        </w:rPr>
        <w:t xml:space="preserve">на </w:t>
      </w:r>
      <w:r w:rsidRPr="00FF7398">
        <w:rPr>
          <w:rFonts w:ascii="StobiSerif Regular" w:hAnsi="StobiSerif Regular"/>
          <w:i/>
          <w:sz w:val="20"/>
          <w:szCs w:val="20"/>
          <w:lang w:val="mk-MK"/>
        </w:rPr>
        <w:t>закон и рокови</w:t>
      </w:r>
      <w:r w:rsidR="00205FA0" w:rsidRPr="00FF7398">
        <w:rPr>
          <w:rFonts w:ascii="StobiSerif Regular" w:hAnsi="StobiSerif Regular"/>
          <w:i/>
          <w:sz w:val="20"/>
          <w:szCs w:val="20"/>
          <w:lang w:val="mk-MK"/>
        </w:rPr>
        <w:t>.</w:t>
      </w:r>
    </w:p>
    <w:p w:rsidR="00E62DC4" w:rsidRPr="00FF7398" w:rsidRDefault="00205FA0" w:rsidP="00B27759">
      <w:pPr>
        <w:ind w:left="720"/>
        <w:jc w:val="both"/>
        <w:rPr>
          <w:rFonts w:ascii="StobiSerif Regular" w:hAnsi="StobiSerif Regular"/>
          <w:i/>
          <w:sz w:val="20"/>
          <w:szCs w:val="20"/>
          <w:lang w:val="mk-MK"/>
        </w:rPr>
      </w:pPr>
      <w:r w:rsidRPr="00FF7398">
        <w:rPr>
          <w:rFonts w:ascii="StobiSerif Regular" w:hAnsi="StobiSerif Regular"/>
          <w:i/>
          <w:sz w:val="20"/>
          <w:szCs w:val="20"/>
          <w:lang w:val="mk-MK"/>
        </w:rPr>
        <w:t>На одреден временски период.</w:t>
      </w:r>
    </w:p>
    <w:p w:rsidR="00FF7398" w:rsidRPr="00FF7398" w:rsidRDefault="00FF7398" w:rsidP="00FF7398">
      <w:pPr>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Еваулацијата на ефектите од имплементација на регулативата ќе се следат врз основа на поставени индикатори за следење односно: </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Воспоставување на општински комори</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Вработување на 5 нови лица во Занаетчиската комора на РМ</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Регистрација на 550 нерегистрирани занаетчии во првата година</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Пораст на бројот на занаетчии за 200 на годишно ниво</w:t>
      </w:r>
    </w:p>
    <w:p w:rsidR="00DC6A5B" w:rsidRPr="00DC6A5B"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DC6A5B">
        <w:rPr>
          <w:rFonts w:ascii="StobiSerif Regular" w:eastAsiaTheme="minorHAnsi" w:hAnsi="StobiSerif Regular" w:cstheme="minorBidi"/>
          <w:sz w:val="20"/>
          <w:szCs w:val="20"/>
        </w:rPr>
        <w:t xml:space="preserve">Воспоставување на унифицирана регистрација во коморите </w:t>
      </w:r>
    </w:p>
    <w:p w:rsidR="00FF7398" w:rsidRPr="00DC6A5B"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DC6A5B">
        <w:rPr>
          <w:rFonts w:ascii="StobiSerif Regular" w:eastAsiaTheme="minorHAnsi" w:hAnsi="StobiSerif Regular" w:cstheme="minorBidi"/>
          <w:sz w:val="20"/>
          <w:szCs w:val="20"/>
        </w:rPr>
        <w:t>Функционални податоци од Централниот регистар</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Зголемување на приход кај занаетчиите за 5% на годишно ниво</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 xml:space="preserve">Зголемување на добиените средства од достапните фондовите за секоја година </w:t>
      </w:r>
    </w:p>
    <w:p w:rsidR="00FF7398" w:rsidRPr="00FF7398" w:rsidRDefault="00FF7398" w:rsidP="00FF7398">
      <w:pPr>
        <w:pStyle w:val="ListParagraph"/>
        <w:numPr>
          <w:ilvl w:val="0"/>
          <w:numId w:val="31"/>
        </w:numPr>
        <w:spacing w:after="0" w:line="240" w:lineRule="auto"/>
        <w:jc w:val="both"/>
        <w:rPr>
          <w:rFonts w:ascii="StobiSerif Regular" w:eastAsiaTheme="minorHAnsi" w:hAnsi="StobiSerif Regular" w:cstheme="minorBidi"/>
          <w:sz w:val="20"/>
          <w:szCs w:val="20"/>
        </w:rPr>
      </w:pPr>
      <w:r w:rsidRPr="00FF7398">
        <w:rPr>
          <w:rFonts w:ascii="StobiSerif Regular" w:eastAsiaTheme="minorHAnsi" w:hAnsi="StobiSerif Regular" w:cstheme="minorBidi"/>
          <w:sz w:val="20"/>
          <w:szCs w:val="20"/>
        </w:rPr>
        <w:t>Зголемување на приходи од персонален данок и данок на додадена вредност за државата</w:t>
      </w:r>
      <w:r w:rsidR="0079469F">
        <w:rPr>
          <w:rFonts w:ascii="StobiSerif Regular" w:eastAsiaTheme="minorHAnsi" w:hAnsi="StobiSerif Regular" w:cstheme="minorBidi"/>
          <w:sz w:val="20"/>
          <w:szCs w:val="20"/>
        </w:rPr>
        <w:t>.</w:t>
      </w:r>
    </w:p>
    <w:p w:rsidR="003B3CC1" w:rsidRPr="0079469F" w:rsidRDefault="003B3CC1"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Default="00DB797F" w:rsidP="00B27759">
      <w:pPr>
        <w:jc w:val="both"/>
        <w:rPr>
          <w:rFonts w:ascii="StobiSerif Regular" w:hAnsi="StobiSerif Regular"/>
          <w:sz w:val="20"/>
          <w:szCs w:val="20"/>
          <w:lang w:val="mk-MK"/>
        </w:rPr>
      </w:pPr>
    </w:p>
    <w:p w:rsidR="00DB797F" w:rsidRPr="00FF7398" w:rsidRDefault="00DB797F" w:rsidP="00B27759">
      <w:pPr>
        <w:jc w:val="both"/>
        <w:rPr>
          <w:rFonts w:ascii="StobiSerif Regular" w:hAnsi="StobiSerif Regular"/>
          <w:sz w:val="20"/>
          <w:szCs w:val="20"/>
          <w:lang w:val="mk-MK"/>
        </w:rPr>
      </w:pPr>
    </w:p>
    <w:p w:rsidR="00AF6305" w:rsidRPr="00FF7398" w:rsidRDefault="00AF6305" w:rsidP="00B27759">
      <w:pPr>
        <w:rPr>
          <w:rFonts w:ascii="StobiSerif Regular" w:hAnsi="StobiSerif Regular"/>
          <w:sz w:val="20"/>
          <w:szCs w:val="20"/>
          <w:lang w:val="en-US"/>
        </w:rPr>
      </w:pPr>
    </w:p>
    <w:p w:rsidR="00173C4D" w:rsidRPr="00FF7398" w:rsidRDefault="00173C4D" w:rsidP="00B27759">
      <w:pPr>
        <w:rPr>
          <w:rFonts w:ascii="StobiSerif Regular" w:hAnsi="StobiSerif Regular"/>
          <w:sz w:val="20"/>
          <w:szCs w:val="20"/>
          <w:lang w:val="en-US"/>
        </w:rPr>
      </w:pPr>
    </w:p>
    <w:p w:rsidR="00173C4D" w:rsidRPr="00FF7398" w:rsidRDefault="00173C4D" w:rsidP="00B27759">
      <w:pPr>
        <w:rPr>
          <w:rFonts w:ascii="StobiSerif Regular" w:hAnsi="StobiSerif Regular"/>
          <w:sz w:val="20"/>
          <w:szCs w:val="20"/>
          <w:lang w:val="en-US"/>
        </w:rPr>
      </w:pPr>
    </w:p>
    <w:p w:rsidR="00170F32" w:rsidRPr="00FF7398" w:rsidRDefault="00170F32" w:rsidP="00B27759">
      <w:pPr>
        <w:spacing w:line="276" w:lineRule="auto"/>
        <w:jc w:val="center"/>
        <w:rPr>
          <w:rFonts w:ascii="StobiSerif Regular" w:hAnsi="StobiSerif Regular"/>
          <w:sz w:val="20"/>
          <w:szCs w:val="20"/>
          <w:lang w:val="ru-RU"/>
        </w:rPr>
      </w:pPr>
      <w:r w:rsidRPr="00FF7398">
        <w:rPr>
          <w:rFonts w:ascii="StobiSerif Regular" w:hAnsi="StobiSerif Regular"/>
          <w:b/>
          <w:sz w:val="20"/>
          <w:szCs w:val="20"/>
          <w:lang w:val="mk-MK"/>
        </w:rPr>
        <w:t>Изјава од државниот секретар</w:t>
      </w:r>
    </w:p>
    <w:p w:rsidR="00170F32" w:rsidRPr="00FF7398" w:rsidRDefault="00170F32" w:rsidP="00B27759">
      <w:pPr>
        <w:spacing w:line="276" w:lineRule="auto"/>
        <w:jc w:val="both"/>
        <w:rPr>
          <w:rFonts w:ascii="StobiSerif Regular" w:hAnsi="StobiSerif Regular"/>
          <w:b/>
          <w:sz w:val="20"/>
          <w:szCs w:val="20"/>
          <w:lang w:val="mk-MK"/>
        </w:rPr>
      </w:pPr>
      <w:r w:rsidRPr="00FF7398">
        <w:rPr>
          <w:rFonts w:ascii="StobiSerif Regular" w:hAnsi="StobiSerif Regular"/>
          <w:b/>
          <w:sz w:val="20"/>
          <w:szCs w:val="20"/>
          <w:lang w:val="ru-RU"/>
        </w:rPr>
        <w:t xml:space="preserve">Нацрт </w:t>
      </w:r>
      <w:r w:rsidRPr="00FF7398">
        <w:rPr>
          <w:rFonts w:ascii="StobiSerif Regular" w:hAnsi="StobiSerif Regular"/>
          <w:b/>
          <w:sz w:val="20"/>
          <w:szCs w:val="20"/>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FF7398">
        <w:rPr>
          <w:rFonts w:ascii="StobiSerif Regular" w:hAnsi="StobiSerif Regular"/>
          <w:b/>
          <w:sz w:val="20"/>
          <w:szCs w:val="20"/>
          <w:lang w:val="ru-RU"/>
        </w:rPr>
        <w:t>.</w:t>
      </w:r>
    </w:p>
    <w:p w:rsidR="00455DB3" w:rsidRPr="00FF7398" w:rsidRDefault="00455DB3" w:rsidP="00B27759">
      <w:pPr>
        <w:spacing w:line="276" w:lineRule="auto"/>
        <w:jc w:val="both"/>
        <w:rPr>
          <w:rFonts w:ascii="StobiSerif Regular" w:hAnsi="StobiSerif Regular"/>
          <w:sz w:val="20"/>
          <w:szCs w:val="20"/>
          <w:lang w:val="mk-MK"/>
        </w:rPr>
      </w:pPr>
    </w:p>
    <w:p w:rsidR="00170F32" w:rsidRPr="00FF7398" w:rsidRDefault="00170F32" w:rsidP="00B27759">
      <w:pPr>
        <w:spacing w:line="276" w:lineRule="auto"/>
        <w:jc w:val="both"/>
        <w:rPr>
          <w:rFonts w:ascii="StobiSerif Regular" w:hAnsi="StobiSerif Regular"/>
          <w:b/>
          <w:sz w:val="20"/>
          <w:szCs w:val="20"/>
          <w:lang w:val="mk-MK"/>
        </w:rPr>
      </w:pPr>
      <w:r w:rsidRPr="00FF7398">
        <w:rPr>
          <w:rFonts w:ascii="StobiSerif Regular" w:hAnsi="StobiSerif Regular"/>
          <w:b/>
          <w:sz w:val="20"/>
          <w:szCs w:val="20"/>
          <w:lang w:val="mk-MK"/>
        </w:rPr>
        <w:t>Датум</w:t>
      </w:r>
      <w:r w:rsidRPr="00FF7398">
        <w:rPr>
          <w:rFonts w:ascii="StobiSerif Regular" w:hAnsi="StobiSerif Regular"/>
          <w:b/>
          <w:sz w:val="20"/>
          <w:szCs w:val="20"/>
          <w:lang w:val="ru-RU"/>
        </w:rPr>
        <w:t xml:space="preserve">: </w:t>
      </w:r>
      <w:r w:rsidRPr="00FF7398">
        <w:rPr>
          <w:rFonts w:ascii="StobiSerif Regular" w:hAnsi="StobiSerif Regular"/>
          <w:b/>
          <w:sz w:val="20"/>
          <w:szCs w:val="20"/>
          <w:lang w:val="mk-MK"/>
        </w:rPr>
        <w:t xml:space="preserve">_____________                                                                       </w:t>
      </w:r>
      <w:r w:rsidRPr="00FF7398">
        <w:rPr>
          <w:rFonts w:ascii="StobiSerif Regular" w:hAnsi="StobiSerif Regular"/>
          <w:b/>
          <w:sz w:val="20"/>
          <w:szCs w:val="20"/>
          <w:lang w:val="ru-RU"/>
        </w:rPr>
        <w:t xml:space="preserve">                      ..................................................</w:t>
      </w:r>
    </w:p>
    <w:p w:rsidR="00170F32" w:rsidRPr="00FF7398" w:rsidRDefault="00170F32" w:rsidP="00B27759">
      <w:pPr>
        <w:spacing w:line="276" w:lineRule="auto"/>
        <w:jc w:val="both"/>
        <w:rPr>
          <w:rFonts w:ascii="StobiSerif Regular" w:hAnsi="StobiSerif Regular"/>
          <w:sz w:val="20"/>
          <w:szCs w:val="20"/>
          <w:lang w:val="mk-MK"/>
        </w:rPr>
      </w:pPr>
      <w:r w:rsidRPr="00FF7398">
        <w:rPr>
          <w:rFonts w:ascii="StobiSerif Regular" w:hAnsi="StobiSerif Regular"/>
          <w:b/>
          <w:sz w:val="20"/>
          <w:szCs w:val="20"/>
          <w:lang w:val="ru-RU"/>
        </w:rPr>
        <w:tab/>
      </w:r>
      <w:r w:rsidRPr="00FF7398">
        <w:rPr>
          <w:rFonts w:ascii="StobiSerif Regular" w:hAnsi="StobiSerif Regular"/>
          <w:b/>
          <w:sz w:val="20"/>
          <w:szCs w:val="20"/>
          <w:lang w:val="ru-RU"/>
        </w:rPr>
        <w:tab/>
      </w:r>
      <w:r w:rsidRPr="00FF7398">
        <w:rPr>
          <w:rFonts w:ascii="StobiSerif Regular" w:hAnsi="StobiSerif Regular"/>
          <w:b/>
          <w:sz w:val="20"/>
          <w:szCs w:val="20"/>
          <w:lang w:val="ru-RU"/>
        </w:rPr>
        <w:tab/>
      </w:r>
      <w:r w:rsidRPr="00FF7398">
        <w:rPr>
          <w:rFonts w:ascii="StobiSerif Regular" w:hAnsi="StobiSerif Regular"/>
          <w:b/>
          <w:sz w:val="20"/>
          <w:szCs w:val="20"/>
          <w:lang w:val="ru-RU"/>
        </w:rPr>
        <w:tab/>
      </w:r>
      <w:r w:rsidRPr="00FF7398">
        <w:rPr>
          <w:rFonts w:ascii="StobiSerif Regular" w:hAnsi="StobiSerif Regular"/>
          <w:b/>
          <w:sz w:val="20"/>
          <w:szCs w:val="20"/>
          <w:lang w:val="ru-RU"/>
        </w:rPr>
        <w:tab/>
      </w:r>
      <w:r w:rsidRPr="00FF7398">
        <w:rPr>
          <w:rFonts w:ascii="StobiSerif Regular" w:hAnsi="StobiSerif Regular"/>
          <w:b/>
          <w:sz w:val="20"/>
          <w:szCs w:val="20"/>
          <w:lang w:val="ru-RU"/>
        </w:rPr>
        <w:tab/>
        <w:t xml:space="preserve">                                потпис на </w:t>
      </w:r>
      <w:r w:rsidRPr="00FF7398">
        <w:rPr>
          <w:rFonts w:ascii="StobiSerif Regular" w:hAnsi="StobiSerif Regular"/>
          <w:b/>
          <w:sz w:val="20"/>
          <w:szCs w:val="20"/>
          <w:lang w:val="mk-MK"/>
        </w:rPr>
        <w:t>државен секретар</w:t>
      </w:r>
      <w:r w:rsidRPr="00FF7398">
        <w:rPr>
          <w:rFonts w:ascii="StobiSerif Regular" w:hAnsi="StobiSerif Regular"/>
          <w:b/>
          <w:sz w:val="20"/>
          <w:szCs w:val="20"/>
          <w:lang w:val="ru-RU"/>
        </w:rPr>
        <w:t xml:space="preserve"> </w:t>
      </w:r>
    </w:p>
    <w:p w:rsidR="003B3CC1" w:rsidRPr="00FF7398" w:rsidRDefault="003B3CC1" w:rsidP="00B27759">
      <w:pPr>
        <w:rPr>
          <w:rFonts w:ascii="StobiSerif Regular" w:hAnsi="StobiSerif Regular"/>
          <w:sz w:val="20"/>
          <w:szCs w:val="20"/>
          <w:lang w:val="mk-MK"/>
        </w:rPr>
      </w:pPr>
    </w:p>
    <w:p w:rsidR="00B92A67" w:rsidRPr="00FF7398" w:rsidRDefault="00B92A67" w:rsidP="00B27759">
      <w:pPr>
        <w:rPr>
          <w:rFonts w:ascii="StobiSerif Regular" w:hAnsi="StobiSerif Regular"/>
          <w:sz w:val="20"/>
          <w:szCs w:val="20"/>
          <w:lang w:val="mk-MK"/>
        </w:rPr>
      </w:pPr>
    </w:p>
    <w:p w:rsidR="00170F32" w:rsidRPr="00FF7398" w:rsidRDefault="00170F32" w:rsidP="00B27759">
      <w:pPr>
        <w:rPr>
          <w:rFonts w:ascii="StobiSerif Regular" w:hAnsi="StobiSerif Regular"/>
          <w:sz w:val="20"/>
          <w:szCs w:val="20"/>
          <w:lang w:val="mk-MK"/>
        </w:rPr>
      </w:pPr>
    </w:p>
    <w:p w:rsidR="001E7452" w:rsidRPr="00FF7398" w:rsidRDefault="001E7452" w:rsidP="00B27759">
      <w:pPr>
        <w:pBdr>
          <w:top w:val="single" w:sz="4" w:space="1" w:color="auto"/>
          <w:left w:val="single" w:sz="4" w:space="4" w:color="auto"/>
          <w:bottom w:val="single" w:sz="4" w:space="1" w:color="auto"/>
          <w:right w:val="single" w:sz="4" w:space="4" w:color="auto"/>
        </w:pBdr>
        <w:spacing w:line="276" w:lineRule="auto"/>
        <w:jc w:val="center"/>
        <w:rPr>
          <w:rFonts w:ascii="StobiSerif Regular" w:hAnsi="StobiSerif Regular"/>
          <w:sz w:val="20"/>
          <w:szCs w:val="20"/>
          <w:lang w:val="mk-MK"/>
        </w:rPr>
      </w:pPr>
      <w:r w:rsidRPr="00FF7398">
        <w:rPr>
          <w:rFonts w:ascii="StobiSerif Regular" w:hAnsi="StobiSerif Regular"/>
          <w:b/>
          <w:sz w:val="20"/>
          <w:szCs w:val="20"/>
          <w:lang w:val="mk-MK"/>
        </w:rPr>
        <w:t>Изјава од министерот</w:t>
      </w:r>
    </w:p>
    <w:p w:rsidR="001E7452" w:rsidRPr="00FF7398" w:rsidRDefault="001E7452" w:rsidP="00B27759">
      <w:pPr>
        <w:pBdr>
          <w:top w:val="single" w:sz="4" w:space="1" w:color="auto"/>
          <w:left w:val="single" w:sz="4" w:space="4" w:color="auto"/>
          <w:bottom w:val="single" w:sz="4" w:space="1" w:color="auto"/>
          <w:right w:val="single" w:sz="4" w:space="4" w:color="auto"/>
        </w:pBdr>
        <w:spacing w:line="276" w:lineRule="auto"/>
        <w:jc w:val="both"/>
        <w:rPr>
          <w:rFonts w:ascii="StobiSerif Regular" w:hAnsi="StobiSerif Regular"/>
          <w:b/>
          <w:sz w:val="20"/>
          <w:szCs w:val="20"/>
          <w:lang w:val="ru-RU"/>
        </w:rPr>
      </w:pPr>
    </w:p>
    <w:p w:rsidR="00455DB3" w:rsidRPr="00FF7398" w:rsidRDefault="00D22484" w:rsidP="00B27759">
      <w:pPr>
        <w:pBdr>
          <w:top w:val="single" w:sz="4" w:space="1" w:color="auto"/>
          <w:left w:val="single" w:sz="4" w:space="4" w:color="auto"/>
          <w:bottom w:val="single" w:sz="4" w:space="1" w:color="auto"/>
          <w:right w:val="single" w:sz="4" w:space="4" w:color="auto"/>
        </w:pBdr>
        <w:spacing w:line="276" w:lineRule="auto"/>
        <w:jc w:val="both"/>
        <w:rPr>
          <w:rFonts w:ascii="StobiSerif Regular" w:hAnsi="StobiSerif Regular"/>
          <w:b/>
          <w:sz w:val="20"/>
          <w:szCs w:val="20"/>
          <w:lang w:val="ru-RU"/>
        </w:rPr>
      </w:pPr>
      <w:r w:rsidRPr="00FF7398">
        <w:rPr>
          <w:rFonts w:ascii="StobiSerif Regular" w:hAnsi="StobiSerif Regular"/>
          <w:b/>
          <w:sz w:val="20"/>
          <w:szCs w:val="20"/>
          <w:lang w:val="mk-MK"/>
        </w:rPr>
        <w:t>Врз основа на резултатите од анализите прикажани во И</w:t>
      </w:r>
      <w:r w:rsidR="001E7452" w:rsidRPr="00FF7398">
        <w:rPr>
          <w:rFonts w:ascii="StobiSerif Regular" w:hAnsi="StobiSerif Regular"/>
          <w:b/>
          <w:sz w:val="20"/>
          <w:szCs w:val="20"/>
          <w:lang w:val="mk-MK"/>
        </w:rPr>
        <w:t>звештајот за проценка на влијанието на регулативата</w:t>
      </w:r>
      <w:r w:rsidRPr="00FF7398">
        <w:rPr>
          <w:rFonts w:ascii="StobiSerif Regular" w:hAnsi="StobiSerif Regular"/>
          <w:b/>
          <w:sz w:val="20"/>
          <w:szCs w:val="20"/>
          <w:lang w:val="mk-MK"/>
        </w:rPr>
        <w:t xml:space="preserve">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D36F0F" w:rsidRPr="00FF7398" w:rsidRDefault="00D36F0F" w:rsidP="00B27759">
      <w:pPr>
        <w:pBdr>
          <w:top w:val="single" w:sz="4" w:space="1" w:color="auto"/>
          <w:left w:val="single" w:sz="4" w:space="4" w:color="auto"/>
          <w:bottom w:val="single" w:sz="4" w:space="1" w:color="auto"/>
          <w:right w:val="single" w:sz="4" w:space="4" w:color="auto"/>
        </w:pBdr>
        <w:spacing w:line="276" w:lineRule="auto"/>
        <w:jc w:val="both"/>
        <w:rPr>
          <w:rFonts w:ascii="StobiSerif Regular" w:hAnsi="StobiSerif Regular"/>
          <w:b/>
          <w:sz w:val="20"/>
          <w:szCs w:val="20"/>
          <w:lang w:val="mk-MK"/>
        </w:rPr>
      </w:pPr>
    </w:p>
    <w:p w:rsidR="0087764B" w:rsidRPr="00FF7398" w:rsidRDefault="0087764B" w:rsidP="00B27759">
      <w:pPr>
        <w:pBdr>
          <w:top w:val="single" w:sz="4" w:space="1" w:color="auto"/>
          <w:left w:val="single" w:sz="4" w:space="4" w:color="auto"/>
          <w:bottom w:val="single" w:sz="4" w:space="1" w:color="auto"/>
          <w:right w:val="single" w:sz="4" w:space="4" w:color="auto"/>
        </w:pBdr>
        <w:spacing w:line="276" w:lineRule="auto"/>
        <w:jc w:val="both"/>
        <w:rPr>
          <w:rFonts w:ascii="StobiSerif Regular" w:hAnsi="StobiSerif Regular"/>
          <w:b/>
          <w:sz w:val="20"/>
          <w:szCs w:val="20"/>
          <w:lang w:val="ru-RU"/>
        </w:rPr>
      </w:pPr>
      <w:r w:rsidRPr="00FF7398">
        <w:rPr>
          <w:rFonts w:ascii="StobiSerif Regular" w:hAnsi="StobiSerif Regular"/>
          <w:b/>
          <w:sz w:val="20"/>
          <w:szCs w:val="20"/>
          <w:lang w:val="mk-MK"/>
        </w:rPr>
        <w:t xml:space="preserve">Датум:____________                                                                                                   </w:t>
      </w:r>
      <w:r w:rsidR="00455DB3" w:rsidRPr="00FF7398">
        <w:rPr>
          <w:rFonts w:ascii="StobiSerif Regular" w:hAnsi="StobiSerif Regular"/>
          <w:b/>
          <w:sz w:val="20"/>
          <w:szCs w:val="20"/>
          <w:lang w:val="mk-MK"/>
        </w:rPr>
        <w:t>.</w:t>
      </w:r>
      <w:r w:rsidRPr="00FF7398">
        <w:rPr>
          <w:rFonts w:ascii="StobiSerif Regular" w:hAnsi="StobiSerif Regular"/>
          <w:b/>
          <w:sz w:val="20"/>
          <w:szCs w:val="20"/>
          <w:lang w:val="mk-MK"/>
        </w:rPr>
        <w:t>..........................</w:t>
      </w:r>
      <w:r w:rsidR="006A5FBC" w:rsidRPr="00FF7398">
        <w:rPr>
          <w:rFonts w:ascii="StobiSerif Regular" w:hAnsi="StobiSerif Regular"/>
          <w:b/>
          <w:sz w:val="20"/>
          <w:szCs w:val="20"/>
          <w:lang w:val="ru-RU"/>
        </w:rPr>
        <w:t>................</w:t>
      </w:r>
    </w:p>
    <w:p w:rsidR="006A5FBC" w:rsidRPr="00FF7398" w:rsidRDefault="006A5FBC" w:rsidP="00B27759">
      <w:pPr>
        <w:pBdr>
          <w:top w:val="single" w:sz="4" w:space="1" w:color="auto"/>
          <w:left w:val="single" w:sz="4" w:space="4" w:color="auto"/>
          <w:bottom w:val="single" w:sz="4" w:space="1" w:color="auto"/>
          <w:right w:val="single" w:sz="4" w:space="4" w:color="auto"/>
        </w:pBdr>
        <w:spacing w:line="276" w:lineRule="auto"/>
        <w:jc w:val="both"/>
        <w:rPr>
          <w:rFonts w:ascii="StobiSerif Regular" w:hAnsi="StobiSerif Regular"/>
          <w:b/>
          <w:sz w:val="20"/>
          <w:szCs w:val="20"/>
          <w:lang w:val="ru-RU"/>
        </w:rPr>
      </w:pPr>
    </w:p>
    <w:p w:rsidR="001E7452" w:rsidRPr="00FF7398" w:rsidRDefault="00AF6305" w:rsidP="00B27759">
      <w:pPr>
        <w:pBdr>
          <w:top w:val="single" w:sz="4" w:space="1" w:color="auto"/>
          <w:left w:val="single" w:sz="4" w:space="4" w:color="auto"/>
          <w:bottom w:val="single" w:sz="4" w:space="1" w:color="auto"/>
          <w:right w:val="single" w:sz="4" w:space="4" w:color="auto"/>
        </w:pBdr>
        <w:spacing w:line="276" w:lineRule="auto"/>
        <w:jc w:val="right"/>
        <w:rPr>
          <w:rFonts w:ascii="StobiSerif Regular" w:hAnsi="StobiSerif Regular"/>
          <w:sz w:val="20"/>
          <w:szCs w:val="20"/>
          <w:lang w:val="ru-RU"/>
        </w:rPr>
      </w:pPr>
      <w:r w:rsidRPr="00FF7398">
        <w:rPr>
          <w:rFonts w:ascii="StobiSerif Regular" w:hAnsi="StobiSerif Regular"/>
          <w:b/>
          <w:sz w:val="20"/>
          <w:szCs w:val="20"/>
          <w:lang w:val="mk-MK"/>
        </w:rPr>
        <w:t>п</w:t>
      </w:r>
      <w:r w:rsidR="001E7452" w:rsidRPr="00FF7398">
        <w:rPr>
          <w:rFonts w:ascii="StobiSerif Regular" w:hAnsi="StobiSerif Regular"/>
          <w:b/>
          <w:sz w:val="20"/>
          <w:szCs w:val="20"/>
          <w:lang w:val="mk-MK"/>
        </w:rPr>
        <w:t>отпис на министерот</w:t>
      </w:r>
      <w:r w:rsidR="001E7452" w:rsidRPr="00FF7398">
        <w:rPr>
          <w:rFonts w:ascii="StobiSerif Regular" w:hAnsi="StobiSerif Regular"/>
          <w:b/>
          <w:sz w:val="20"/>
          <w:szCs w:val="20"/>
          <w:lang w:val="ru-RU"/>
        </w:rPr>
        <w:t xml:space="preserve"> </w:t>
      </w:r>
    </w:p>
    <w:sectPr w:rsidR="001E7452" w:rsidRPr="00FF7398" w:rsidSect="006528B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F5" w:rsidRDefault="007542F5" w:rsidP="005D078B">
      <w:r>
        <w:separator/>
      </w:r>
    </w:p>
  </w:endnote>
  <w:endnote w:type="continuationSeparator" w:id="0">
    <w:p w:rsidR="007542F5" w:rsidRDefault="007542F5" w:rsidP="005D0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F4" w:rsidRDefault="00344D00">
    <w:pPr>
      <w:pStyle w:val="Footer"/>
      <w:jc w:val="right"/>
    </w:pPr>
    <w:fldSimple w:instr=" PAGE   \* MERGEFORMAT ">
      <w:r w:rsidR="00EC45C2">
        <w:rPr>
          <w:noProof/>
        </w:rPr>
        <w:t>1</w:t>
      </w:r>
    </w:fldSimple>
  </w:p>
  <w:p w:rsidR="00D661F4" w:rsidRDefault="00D66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F5" w:rsidRDefault="007542F5" w:rsidP="005D078B">
      <w:r>
        <w:separator/>
      </w:r>
    </w:p>
  </w:footnote>
  <w:footnote w:type="continuationSeparator" w:id="0">
    <w:p w:rsidR="007542F5" w:rsidRDefault="007542F5" w:rsidP="005D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098"/>
    <w:multiLevelType w:val="multilevel"/>
    <w:tmpl w:val="DBA4AD86"/>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5FE1A68"/>
    <w:multiLevelType w:val="hybridMultilevel"/>
    <w:tmpl w:val="7330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FC1C63"/>
    <w:multiLevelType w:val="hybridMultilevel"/>
    <w:tmpl w:val="57E4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E684A"/>
    <w:multiLevelType w:val="hybridMultilevel"/>
    <w:tmpl w:val="5F18745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nsid w:val="0D507AE4"/>
    <w:multiLevelType w:val="hybridMultilevel"/>
    <w:tmpl w:val="E67CA59E"/>
    <w:lvl w:ilvl="0" w:tplc="45C02F02">
      <w:numFmt w:val="bullet"/>
      <w:lvlText w:val="-"/>
      <w:lvlJc w:val="left"/>
      <w:pPr>
        <w:ind w:left="720" w:hanging="360"/>
      </w:pPr>
      <w:rPr>
        <w:rFonts w:ascii="StobiSerif Regular" w:eastAsia="Times New Roman" w:hAnsi="StobiSerif Regular"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5">
    <w:nsid w:val="117D111D"/>
    <w:multiLevelType w:val="hybridMultilevel"/>
    <w:tmpl w:val="6D70DBF0"/>
    <w:lvl w:ilvl="0" w:tplc="3DBA9490">
      <w:numFmt w:val="bullet"/>
      <w:lvlText w:val="-"/>
      <w:lvlJc w:val="left"/>
      <w:pPr>
        <w:ind w:left="1440" w:hanging="360"/>
      </w:pPr>
      <w:rPr>
        <w:rFonts w:ascii="Myriad Pro" w:eastAsia="Times New Roman" w:hAnsi="Myriad Pro"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29584F"/>
    <w:multiLevelType w:val="hybridMultilevel"/>
    <w:tmpl w:val="3050DFC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7">
    <w:nsid w:val="169509B7"/>
    <w:multiLevelType w:val="hybridMultilevel"/>
    <w:tmpl w:val="24122D08"/>
    <w:lvl w:ilvl="0" w:tplc="E28E0772">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35439"/>
    <w:multiLevelType w:val="multilevel"/>
    <w:tmpl w:val="F4D05F8E"/>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9">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29281F97"/>
    <w:multiLevelType w:val="hybridMultilevel"/>
    <w:tmpl w:val="2F74E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2E7D06"/>
    <w:multiLevelType w:val="multilevel"/>
    <w:tmpl w:val="36302C78"/>
    <w:lvl w:ilvl="0">
      <w:start w:val="5"/>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34695D4C"/>
    <w:multiLevelType w:val="hybridMultilevel"/>
    <w:tmpl w:val="C9508090"/>
    <w:lvl w:ilvl="0" w:tplc="DAFED390">
      <w:start w:val="1"/>
      <w:numFmt w:val="bullet"/>
      <w:lvlText w:val="-"/>
      <w:lvlJc w:val="left"/>
      <w:pPr>
        <w:ind w:left="1080" w:hanging="360"/>
      </w:pPr>
      <w:rPr>
        <w:rFonts w:ascii="StobiSerif Regular" w:eastAsia="Times New Roman" w:hAnsi="StobiSerif Regular"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36EE0114"/>
    <w:multiLevelType w:val="hybridMultilevel"/>
    <w:tmpl w:val="CC9A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A250D"/>
    <w:multiLevelType w:val="hybridMultilevel"/>
    <w:tmpl w:val="3744A9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40529C"/>
    <w:multiLevelType w:val="hybridMultilevel"/>
    <w:tmpl w:val="02A0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A44EC"/>
    <w:multiLevelType w:val="hybridMultilevel"/>
    <w:tmpl w:val="DDA0D87E"/>
    <w:lvl w:ilvl="0" w:tplc="C106B010">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5034723"/>
    <w:multiLevelType w:val="hybridMultilevel"/>
    <w:tmpl w:val="A2727D7A"/>
    <w:lvl w:ilvl="0" w:tplc="3DBA9490">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56A21"/>
    <w:multiLevelType w:val="hybridMultilevel"/>
    <w:tmpl w:val="9AF6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1746F"/>
    <w:multiLevelType w:val="multilevel"/>
    <w:tmpl w:val="7B781AA8"/>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22">
    <w:nsid w:val="4A167E87"/>
    <w:multiLevelType w:val="hybridMultilevel"/>
    <w:tmpl w:val="C48CE1CE"/>
    <w:lvl w:ilvl="0" w:tplc="4D4CB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F455D"/>
    <w:multiLevelType w:val="hybridMultilevel"/>
    <w:tmpl w:val="D17050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5BBD26EB"/>
    <w:multiLevelType w:val="multilevel"/>
    <w:tmpl w:val="8258D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8E40A4"/>
    <w:multiLevelType w:val="hybridMultilevel"/>
    <w:tmpl w:val="2388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5B3DB8"/>
    <w:multiLevelType w:val="hybridMultilevel"/>
    <w:tmpl w:val="E3FE2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9F1C70"/>
    <w:multiLevelType w:val="multilevel"/>
    <w:tmpl w:val="4D26144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83D0F5C"/>
    <w:multiLevelType w:val="multilevel"/>
    <w:tmpl w:val="C1708F78"/>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3"/>
  </w:num>
  <w:num w:numId="2">
    <w:abstractNumId w:val="30"/>
  </w:num>
  <w:num w:numId="3">
    <w:abstractNumId w:val="9"/>
  </w:num>
  <w:num w:numId="4">
    <w:abstractNumId w:val="10"/>
  </w:num>
  <w:num w:numId="5">
    <w:abstractNumId w:val="25"/>
  </w:num>
  <w:num w:numId="6">
    <w:abstractNumId w:val="29"/>
  </w:num>
  <w:num w:numId="7">
    <w:abstractNumId w:val="21"/>
  </w:num>
  <w:num w:numId="8">
    <w:abstractNumId w:val="4"/>
  </w:num>
  <w:num w:numId="9">
    <w:abstractNumId w:val="7"/>
  </w:num>
  <w:num w:numId="10">
    <w:abstractNumId w:val="26"/>
  </w:num>
  <w:num w:numId="11">
    <w:abstractNumId w:val="20"/>
  </w:num>
  <w:num w:numId="12">
    <w:abstractNumId w:val="17"/>
  </w:num>
  <w:num w:numId="13">
    <w:abstractNumId w:val="1"/>
  </w:num>
  <w:num w:numId="14">
    <w:abstractNumId w:val="16"/>
  </w:num>
  <w:num w:numId="15">
    <w:abstractNumId w:val="22"/>
  </w:num>
  <w:num w:numId="16">
    <w:abstractNumId w:val="2"/>
  </w:num>
  <w:num w:numId="17">
    <w:abstractNumId w:val="19"/>
  </w:num>
  <w:num w:numId="18">
    <w:abstractNumId w:val="5"/>
  </w:num>
  <w:num w:numId="19">
    <w:abstractNumId w:val="6"/>
  </w:num>
  <w:num w:numId="20">
    <w:abstractNumId w:val="3"/>
  </w:num>
  <w:num w:numId="21">
    <w:abstractNumId w:val="8"/>
  </w:num>
  <w:num w:numId="22">
    <w:abstractNumId w:val="24"/>
  </w:num>
  <w:num w:numId="23">
    <w:abstractNumId w:val="14"/>
  </w:num>
  <w:num w:numId="24">
    <w:abstractNumId w:val="0"/>
  </w:num>
  <w:num w:numId="25">
    <w:abstractNumId w:val="12"/>
  </w:num>
  <w:num w:numId="26">
    <w:abstractNumId w:val="28"/>
  </w:num>
  <w:num w:numId="27">
    <w:abstractNumId w:val="27"/>
  </w:num>
  <w:num w:numId="28">
    <w:abstractNumId w:val="11"/>
  </w:num>
  <w:num w:numId="29">
    <w:abstractNumId w:val="15"/>
  </w:num>
  <w:num w:numId="30">
    <w:abstractNumId w:val="1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9C3116"/>
    <w:rsid w:val="00012211"/>
    <w:rsid w:val="00015512"/>
    <w:rsid w:val="0002507F"/>
    <w:rsid w:val="00026CA6"/>
    <w:rsid w:val="000352F4"/>
    <w:rsid w:val="000439E4"/>
    <w:rsid w:val="0005368C"/>
    <w:rsid w:val="00061B9B"/>
    <w:rsid w:val="000633D7"/>
    <w:rsid w:val="00067008"/>
    <w:rsid w:val="00072558"/>
    <w:rsid w:val="0007343E"/>
    <w:rsid w:val="00085B49"/>
    <w:rsid w:val="000961EC"/>
    <w:rsid w:val="000A1629"/>
    <w:rsid w:val="000A3578"/>
    <w:rsid w:val="000B198F"/>
    <w:rsid w:val="000B6237"/>
    <w:rsid w:val="000D0C68"/>
    <w:rsid w:val="000D58B0"/>
    <w:rsid w:val="000E0336"/>
    <w:rsid w:val="000F2251"/>
    <w:rsid w:val="000F320A"/>
    <w:rsid w:val="000F730D"/>
    <w:rsid w:val="00107852"/>
    <w:rsid w:val="00112212"/>
    <w:rsid w:val="00120DC5"/>
    <w:rsid w:val="00130A68"/>
    <w:rsid w:val="00134EF6"/>
    <w:rsid w:val="001476F9"/>
    <w:rsid w:val="00150778"/>
    <w:rsid w:val="00156B47"/>
    <w:rsid w:val="00161DCF"/>
    <w:rsid w:val="00162DAA"/>
    <w:rsid w:val="0016466A"/>
    <w:rsid w:val="001646A0"/>
    <w:rsid w:val="001659C1"/>
    <w:rsid w:val="00170F32"/>
    <w:rsid w:val="00173C4D"/>
    <w:rsid w:val="00174450"/>
    <w:rsid w:val="00175B40"/>
    <w:rsid w:val="00175F64"/>
    <w:rsid w:val="001836AA"/>
    <w:rsid w:val="001852B4"/>
    <w:rsid w:val="00187194"/>
    <w:rsid w:val="001A2D55"/>
    <w:rsid w:val="001A4C39"/>
    <w:rsid w:val="001A5399"/>
    <w:rsid w:val="001A66F7"/>
    <w:rsid w:val="001B0E2D"/>
    <w:rsid w:val="001B10A3"/>
    <w:rsid w:val="001B51EC"/>
    <w:rsid w:val="001D269C"/>
    <w:rsid w:val="001D3748"/>
    <w:rsid w:val="001D3EC3"/>
    <w:rsid w:val="001D67B8"/>
    <w:rsid w:val="001E3D77"/>
    <w:rsid w:val="001E7452"/>
    <w:rsid w:val="001F1C01"/>
    <w:rsid w:val="001F6A4D"/>
    <w:rsid w:val="00201952"/>
    <w:rsid w:val="002027AA"/>
    <w:rsid w:val="00205FA0"/>
    <w:rsid w:val="0020716F"/>
    <w:rsid w:val="00207476"/>
    <w:rsid w:val="00212EDD"/>
    <w:rsid w:val="00213C43"/>
    <w:rsid w:val="00215DA9"/>
    <w:rsid w:val="00221332"/>
    <w:rsid w:val="00224F8B"/>
    <w:rsid w:val="002254F0"/>
    <w:rsid w:val="00234712"/>
    <w:rsid w:val="00234966"/>
    <w:rsid w:val="00235145"/>
    <w:rsid w:val="00235978"/>
    <w:rsid w:val="00237832"/>
    <w:rsid w:val="00237A30"/>
    <w:rsid w:val="002414DB"/>
    <w:rsid w:val="002419C8"/>
    <w:rsid w:val="00246B56"/>
    <w:rsid w:val="00250D5D"/>
    <w:rsid w:val="00253EE8"/>
    <w:rsid w:val="00255148"/>
    <w:rsid w:val="00256462"/>
    <w:rsid w:val="00261D42"/>
    <w:rsid w:val="00265FE8"/>
    <w:rsid w:val="002661AB"/>
    <w:rsid w:val="00270806"/>
    <w:rsid w:val="00274658"/>
    <w:rsid w:val="002807D9"/>
    <w:rsid w:val="00280DA2"/>
    <w:rsid w:val="00282A3A"/>
    <w:rsid w:val="0029341E"/>
    <w:rsid w:val="00297CE3"/>
    <w:rsid w:val="002A0FD7"/>
    <w:rsid w:val="002A7CB6"/>
    <w:rsid w:val="002A7ED0"/>
    <w:rsid w:val="002B1701"/>
    <w:rsid w:val="002C7632"/>
    <w:rsid w:val="002E4193"/>
    <w:rsid w:val="002E46F6"/>
    <w:rsid w:val="002E483F"/>
    <w:rsid w:val="002F32BE"/>
    <w:rsid w:val="0030474C"/>
    <w:rsid w:val="00320CED"/>
    <w:rsid w:val="0032408F"/>
    <w:rsid w:val="00331E38"/>
    <w:rsid w:val="00334F8B"/>
    <w:rsid w:val="00335BC9"/>
    <w:rsid w:val="003361B3"/>
    <w:rsid w:val="00344D00"/>
    <w:rsid w:val="003473DE"/>
    <w:rsid w:val="00352E2B"/>
    <w:rsid w:val="00360BAA"/>
    <w:rsid w:val="00367E5B"/>
    <w:rsid w:val="003702F3"/>
    <w:rsid w:val="00380DF7"/>
    <w:rsid w:val="003B3CC1"/>
    <w:rsid w:val="003B53E6"/>
    <w:rsid w:val="003C0C5D"/>
    <w:rsid w:val="003C4A86"/>
    <w:rsid w:val="003D5A8E"/>
    <w:rsid w:val="003E0EF9"/>
    <w:rsid w:val="003E1B7F"/>
    <w:rsid w:val="003F0BDE"/>
    <w:rsid w:val="003F78B8"/>
    <w:rsid w:val="0041002F"/>
    <w:rsid w:val="00417E88"/>
    <w:rsid w:val="0042602D"/>
    <w:rsid w:val="00442886"/>
    <w:rsid w:val="004461D8"/>
    <w:rsid w:val="00446535"/>
    <w:rsid w:val="0044780F"/>
    <w:rsid w:val="004550B7"/>
    <w:rsid w:val="00455DB3"/>
    <w:rsid w:val="004628D6"/>
    <w:rsid w:val="0046334E"/>
    <w:rsid w:val="00465D8D"/>
    <w:rsid w:val="00482CD6"/>
    <w:rsid w:val="00484181"/>
    <w:rsid w:val="0049117A"/>
    <w:rsid w:val="0049749E"/>
    <w:rsid w:val="004A2C21"/>
    <w:rsid w:val="004A4C8B"/>
    <w:rsid w:val="004B09FF"/>
    <w:rsid w:val="004B210E"/>
    <w:rsid w:val="004B7121"/>
    <w:rsid w:val="004B79FB"/>
    <w:rsid w:val="004C2602"/>
    <w:rsid w:val="004C6A9D"/>
    <w:rsid w:val="004D0ACF"/>
    <w:rsid w:val="004D2666"/>
    <w:rsid w:val="004D2B8B"/>
    <w:rsid w:val="004E063F"/>
    <w:rsid w:val="004E25C6"/>
    <w:rsid w:val="004E57EE"/>
    <w:rsid w:val="004E6D7B"/>
    <w:rsid w:val="004F384F"/>
    <w:rsid w:val="00501DD6"/>
    <w:rsid w:val="005049E9"/>
    <w:rsid w:val="00507ADB"/>
    <w:rsid w:val="005111E4"/>
    <w:rsid w:val="00512FB8"/>
    <w:rsid w:val="005223FB"/>
    <w:rsid w:val="00531474"/>
    <w:rsid w:val="0053212E"/>
    <w:rsid w:val="00533082"/>
    <w:rsid w:val="00533977"/>
    <w:rsid w:val="005359CD"/>
    <w:rsid w:val="00537FA8"/>
    <w:rsid w:val="00553A01"/>
    <w:rsid w:val="00566B4B"/>
    <w:rsid w:val="00585133"/>
    <w:rsid w:val="005918AE"/>
    <w:rsid w:val="00591C8C"/>
    <w:rsid w:val="00597411"/>
    <w:rsid w:val="005A2F24"/>
    <w:rsid w:val="005A7F54"/>
    <w:rsid w:val="005B1815"/>
    <w:rsid w:val="005B33F0"/>
    <w:rsid w:val="005B610F"/>
    <w:rsid w:val="005C0380"/>
    <w:rsid w:val="005C35A3"/>
    <w:rsid w:val="005C7CDC"/>
    <w:rsid w:val="005D078B"/>
    <w:rsid w:val="005D0CB8"/>
    <w:rsid w:val="005F3CC5"/>
    <w:rsid w:val="005F40B5"/>
    <w:rsid w:val="00602363"/>
    <w:rsid w:val="00605AC4"/>
    <w:rsid w:val="00611D2F"/>
    <w:rsid w:val="0062524F"/>
    <w:rsid w:val="00631C96"/>
    <w:rsid w:val="00634471"/>
    <w:rsid w:val="0063477A"/>
    <w:rsid w:val="00635D1F"/>
    <w:rsid w:val="00645F3E"/>
    <w:rsid w:val="00647608"/>
    <w:rsid w:val="00650D81"/>
    <w:rsid w:val="00652804"/>
    <w:rsid w:val="006528BA"/>
    <w:rsid w:val="0066032B"/>
    <w:rsid w:val="00662AB3"/>
    <w:rsid w:val="00663FDD"/>
    <w:rsid w:val="00670EE1"/>
    <w:rsid w:val="00673A99"/>
    <w:rsid w:val="00673AD1"/>
    <w:rsid w:val="0067554A"/>
    <w:rsid w:val="00680F62"/>
    <w:rsid w:val="00682965"/>
    <w:rsid w:val="00692E09"/>
    <w:rsid w:val="00693814"/>
    <w:rsid w:val="006A1297"/>
    <w:rsid w:val="006A2250"/>
    <w:rsid w:val="006A5FBC"/>
    <w:rsid w:val="006B0233"/>
    <w:rsid w:val="006B3D76"/>
    <w:rsid w:val="006C3F95"/>
    <w:rsid w:val="006D0535"/>
    <w:rsid w:val="006D4309"/>
    <w:rsid w:val="006D76B4"/>
    <w:rsid w:val="006E7399"/>
    <w:rsid w:val="006F1327"/>
    <w:rsid w:val="006F3A1E"/>
    <w:rsid w:val="006F3F28"/>
    <w:rsid w:val="006F6A5D"/>
    <w:rsid w:val="00715920"/>
    <w:rsid w:val="0074745B"/>
    <w:rsid w:val="00753914"/>
    <w:rsid w:val="007542F5"/>
    <w:rsid w:val="00756395"/>
    <w:rsid w:val="00767BDE"/>
    <w:rsid w:val="00767E60"/>
    <w:rsid w:val="00771C31"/>
    <w:rsid w:val="00772D45"/>
    <w:rsid w:val="00774F3C"/>
    <w:rsid w:val="00781C95"/>
    <w:rsid w:val="00785E19"/>
    <w:rsid w:val="007913C3"/>
    <w:rsid w:val="0079469F"/>
    <w:rsid w:val="007A1380"/>
    <w:rsid w:val="007B2B34"/>
    <w:rsid w:val="007B47AF"/>
    <w:rsid w:val="007D072F"/>
    <w:rsid w:val="007E1A92"/>
    <w:rsid w:val="007E6A7A"/>
    <w:rsid w:val="007F10EB"/>
    <w:rsid w:val="007F181B"/>
    <w:rsid w:val="007F6CEE"/>
    <w:rsid w:val="007F7A8D"/>
    <w:rsid w:val="008063DE"/>
    <w:rsid w:val="0081643D"/>
    <w:rsid w:val="00821ADF"/>
    <w:rsid w:val="008272F6"/>
    <w:rsid w:val="008274AE"/>
    <w:rsid w:val="00833AE1"/>
    <w:rsid w:val="00836C90"/>
    <w:rsid w:val="00850A22"/>
    <w:rsid w:val="00855CE5"/>
    <w:rsid w:val="00856982"/>
    <w:rsid w:val="00857EA3"/>
    <w:rsid w:val="00860DD5"/>
    <w:rsid w:val="0087764B"/>
    <w:rsid w:val="008808D7"/>
    <w:rsid w:val="00881E72"/>
    <w:rsid w:val="00893725"/>
    <w:rsid w:val="00895372"/>
    <w:rsid w:val="008B0EC9"/>
    <w:rsid w:val="008B1FD5"/>
    <w:rsid w:val="008B4EF4"/>
    <w:rsid w:val="008C3EB0"/>
    <w:rsid w:val="008D4415"/>
    <w:rsid w:val="008E0654"/>
    <w:rsid w:val="008E1840"/>
    <w:rsid w:val="008E2F00"/>
    <w:rsid w:val="008E3FF7"/>
    <w:rsid w:val="008E6B3B"/>
    <w:rsid w:val="008F14F7"/>
    <w:rsid w:val="00902B99"/>
    <w:rsid w:val="0091199E"/>
    <w:rsid w:val="009234AE"/>
    <w:rsid w:val="009318F9"/>
    <w:rsid w:val="009340C9"/>
    <w:rsid w:val="009369BE"/>
    <w:rsid w:val="00937975"/>
    <w:rsid w:val="00944B1E"/>
    <w:rsid w:val="00946798"/>
    <w:rsid w:val="00967A2A"/>
    <w:rsid w:val="0097159F"/>
    <w:rsid w:val="00973CBD"/>
    <w:rsid w:val="009828BF"/>
    <w:rsid w:val="00983FD7"/>
    <w:rsid w:val="00986234"/>
    <w:rsid w:val="00991E21"/>
    <w:rsid w:val="009C2EE5"/>
    <w:rsid w:val="009C3116"/>
    <w:rsid w:val="009C5DF0"/>
    <w:rsid w:val="009E0C3F"/>
    <w:rsid w:val="009E1518"/>
    <w:rsid w:val="009E6967"/>
    <w:rsid w:val="009F16B1"/>
    <w:rsid w:val="009F562C"/>
    <w:rsid w:val="009F5772"/>
    <w:rsid w:val="00A07197"/>
    <w:rsid w:val="00A106B3"/>
    <w:rsid w:val="00A22142"/>
    <w:rsid w:val="00A32B81"/>
    <w:rsid w:val="00A4639C"/>
    <w:rsid w:val="00A47B31"/>
    <w:rsid w:val="00A5132C"/>
    <w:rsid w:val="00A53DFF"/>
    <w:rsid w:val="00A636D0"/>
    <w:rsid w:val="00A76DCE"/>
    <w:rsid w:val="00A870AF"/>
    <w:rsid w:val="00A91513"/>
    <w:rsid w:val="00AD3D6A"/>
    <w:rsid w:val="00AE40AB"/>
    <w:rsid w:val="00AF02DD"/>
    <w:rsid w:val="00AF6305"/>
    <w:rsid w:val="00B020B6"/>
    <w:rsid w:val="00B03634"/>
    <w:rsid w:val="00B03D61"/>
    <w:rsid w:val="00B0470C"/>
    <w:rsid w:val="00B06C79"/>
    <w:rsid w:val="00B13FD6"/>
    <w:rsid w:val="00B22971"/>
    <w:rsid w:val="00B2386A"/>
    <w:rsid w:val="00B25DD1"/>
    <w:rsid w:val="00B25FB1"/>
    <w:rsid w:val="00B262AC"/>
    <w:rsid w:val="00B27759"/>
    <w:rsid w:val="00B3337C"/>
    <w:rsid w:val="00B413F0"/>
    <w:rsid w:val="00B43A57"/>
    <w:rsid w:val="00B53720"/>
    <w:rsid w:val="00B62F42"/>
    <w:rsid w:val="00B64098"/>
    <w:rsid w:val="00B66A60"/>
    <w:rsid w:val="00B73551"/>
    <w:rsid w:val="00B763E7"/>
    <w:rsid w:val="00B810F8"/>
    <w:rsid w:val="00B86F35"/>
    <w:rsid w:val="00B92A67"/>
    <w:rsid w:val="00BA0DB9"/>
    <w:rsid w:val="00BA6848"/>
    <w:rsid w:val="00BA7FAF"/>
    <w:rsid w:val="00BB13A3"/>
    <w:rsid w:val="00BB4C59"/>
    <w:rsid w:val="00BB5C9D"/>
    <w:rsid w:val="00BB78A8"/>
    <w:rsid w:val="00BC7477"/>
    <w:rsid w:val="00BD4FF0"/>
    <w:rsid w:val="00BE0046"/>
    <w:rsid w:val="00BE1943"/>
    <w:rsid w:val="00BE22D3"/>
    <w:rsid w:val="00BE38D9"/>
    <w:rsid w:val="00BE674F"/>
    <w:rsid w:val="00BF15BB"/>
    <w:rsid w:val="00BF3FC1"/>
    <w:rsid w:val="00C03B70"/>
    <w:rsid w:val="00C1070B"/>
    <w:rsid w:val="00C11672"/>
    <w:rsid w:val="00C12EB9"/>
    <w:rsid w:val="00C16413"/>
    <w:rsid w:val="00C218F9"/>
    <w:rsid w:val="00C237B3"/>
    <w:rsid w:val="00C25931"/>
    <w:rsid w:val="00C25F50"/>
    <w:rsid w:val="00C26785"/>
    <w:rsid w:val="00C53BBF"/>
    <w:rsid w:val="00C53E27"/>
    <w:rsid w:val="00C54C8F"/>
    <w:rsid w:val="00C60F2E"/>
    <w:rsid w:val="00C63B05"/>
    <w:rsid w:val="00C73591"/>
    <w:rsid w:val="00C748FF"/>
    <w:rsid w:val="00C76AFA"/>
    <w:rsid w:val="00C771C6"/>
    <w:rsid w:val="00C81A9A"/>
    <w:rsid w:val="00C84354"/>
    <w:rsid w:val="00C87B44"/>
    <w:rsid w:val="00C95479"/>
    <w:rsid w:val="00C966BD"/>
    <w:rsid w:val="00CA0DB7"/>
    <w:rsid w:val="00CA28CA"/>
    <w:rsid w:val="00CA2FB0"/>
    <w:rsid w:val="00CA5403"/>
    <w:rsid w:val="00CB1448"/>
    <w:rsid w:val="00CB16F6"/>
    <w:rsid w:val="00CC2D48"/>
    <w:rsid w:val="00CC42E3"/>
    <w:rsid w:val="00CC710A"/>
    <w:rsid w:val="00CD0F95"/>
    <w:rsid w:val="00CD6C1B"/>
    <w:rsid w:val="00CE1373"/>
    <w:rsid w:val="00CE341E"/>
    <w:rsid w:val="00CF785A"/>
    <w:rsid w:val="00D03074"/>
    <w:rsid w:val="00D100CE"/>
    <w:rsid w:val="00D104A7"/>
    <w:rsid w:val="00D22484"/>
    <w:rsid w:val="00D2338A"/>
    <w:rsid w:val="00D337C7"/>
    <w:rsid w:val="00D36F0F"/>
    <w:rsid w:val="00D43A74"/>
    <w:rsid w:val="00D445B8"/>
    <w:rsid w:val="00D50A39"/>
    <w:rsid w:val="00D533EA"/>
    <w:rsid w:val="00D56D75"/>
    <w:rsid w:val="00D60E5E"/>
    <w:rsid w:val="00D661F4"/>
    <w:rsid w:val="00D742F3"/>
    <w:rsid w:val="00D86472"/>
    <w:rsid w:val="00D8668E"/>
    <w:rsid w:val="00D94BB8"/>
    <w:rsid w:val="00D95987"/>
    <w:rsid w:val="00D960D8"/>
    <w:rsid w:val="00DA3EEB"/>
    <w:rsid w:val="00DA6A84"/>
    <w:rsid w:val="00DB50A6"/>
    <w:rsid w:val="00DB797F"/>
    <w:rsid w:val="00DC1A79"/>
    <w:rsid w:val="00DC2CEF"/>
    <w:rsid w:val="00DC4158"/>
    <w:rsid w:val="00DC6077"/>
    <w:rsid w:val="00DC6A5B"/>
    <w:rsid w:val="00DD4F1B"/>
    <w:rsid w:val="00DE49F3"/>
    <w:rsid w:val="00DF0B26"/>
    <w:rsid w:val="00DF4780"/>
    <w:rsid w:val="00DF57FE"/>
    <w:rsid w:val="00E03A3E"/>
    <w:rsid w:val="00E04154"/>
    <w:rsid w:val="00E057E1"/>
    <w:rsid w:val="00E07CC7"/>
    <w:rsid w:val="00E07D6E"/>
    <w:rsid w:val="00E10CCB"/>
    <w:rsid w:val="00E153E8"/>
    <w:rsid w:val="00E15938"/>
    <w:rsid w:val="00E17C31"/>
    <w:rsid w:val="00E21810"/>
    <w:rsid w:val="00E24AC6"/>
    <w:rsid w:val="00E45EAB"/>
    <w:rsid w:val="00E515F2"/>
    <w:rsid w:val="00E57F21"/>
    <w:rsid w:val="00E62DC4"/>
    <w:rsid w:val="00E66626"/>
    <w:rsid w:val="00E67825"/>
    <w:rsid w:val="00E75594"/>
    <w:rsid w:val="00E82D9E"/>
    <w:rsid w:val="00E95A89"/>
    <w:rsid w:val="00EA20BA"/>
    <w:rsid w:val="00EA3462"/>
    <w:rsid w:val="00EA347C"/>
    <w:rsid w:val="00EB2768"/>
    <w:rsid w:val="00EB7E86"/>
    <w:rsid w:val="00EC45C2"/>
    <w:rsid w:val="00ED177F"/>
    <w:rsid w:val="00ED6BE3"/>
    <w:rsid w:val="00EE12C3"/>
    <w:rsid w:val="00EE3097"/>
    <w:rsid w:val="00EF0488"/>
    <w:rsid w:val="00EF0734"/>
    <w:rsid w:val="00EF36F9"/>
    <w:rsid w:val="00F008E3"/>
    <w:rsid w:val="00F06AA8"/>
    <w:rsid w:val="00F17080"/>
    <w:rsid w:val="00F17A07"/>
    <w:rsid w:val="00F2008B"/>
    <w:rsid w:val="00F216D2"/>
    <w:rsid w:val="00F265AD"/>
    <w:rsid w:val="00F26D0B"/>
    <w:rsid w:val="00F36119"/>
    <w:rsid w:val="00F57166"/>
    <w:rsid w:val="00F6150B"/>
    <w:rsid w:val="00F66307"/>
    <w:rsid w:val="00F71094"/>
    <w:rsid w:val="00F71F41"/>
    <w:rsid w:val="00F72070"/>
    <w:rsid w:val="00F72439"/>
    <w:rsid w:val="00F8280F"/>
    <w:rsid w:val="00F84DD2"/>
    <w:rsid w:val="00F901F3"/>
    <w:rsid w:val="00F90253"/>
    <w:rsid w:val="00FA1B76"/>
    <w:rsid w:val="00FA2F9F"/>
    <w:rsid w:val="00FA368B"/>
    <w:rsid w:val="00FB156D"/>
    <w:rsid w:val="00FB7911"/>
    <w:rsid w:val="00FC1B7E"/>
    <w:rsid w:val="00FE6594"/>
    <w:rsid w:val="00FF030B"/>
    <w:rsid w:val="00FF5B4C"/>
    <w:rsid w:val="00FF6630"/>
    <w:rsid w:val="00FF739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nhideWhenUsed/>
    <w:rsid w:val="005D078B"/>
    <w:pPr>
      <w:tabs>
        <w:tab w:val="center" w:pos="4513"/>
        <w:tab w:val="right" w:pos="9026"/>
      </w:tabs>
    </w:pPr>
  </w:style>
  <w:style w:type="character" w:customStyle="1" w:styleId="HeaderChar">
    <w:name w:val="Header Char"/>
    <w:basedOn w:val="DefaultParagraphFont"/>
    <w:link w:val="Header"/>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basedOn w:val="DefaultParagraphFont"/>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b/>
      <w:bCs/>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 w:type="paragraph" w:styleId="BodyText">
    <w:name w:val="Body Text"/>
    <w:basedOn w:val="Normal"/>
    <w:link w:val="BodyTextChar"/>
    <w:uiPriority w:val="99"/>
    <w:unhideWhenUsed/>
    <w:rsid w:val="00EF36F9"/>
    <w:pPr>
      <w:spacing w:after="120"/>
    </w:pPr>
  </w:style>
  <w:style w:type="character" w:customStyle="1" w:styleId="BodyTextChar">
    <w:name w:val="Body Text Char"/>
    <w:basedOn w:val="DefaultParagraphFont"/>
    <w:link w:val="BodyText"/>
    <w:uiPriority w:val="99"/>
    <w:rsid w:val="00EF36F9"/>
    <w:rPr>
      <w:rFonts w:ascii="Times New Roman" w:eastAsia="Times New Roman" w:hAnsi="Times New Roman"/>
      <w:sz w:val="24"/>
      <w:szCs w:val="24"/>
      <w:lang w:val="en-GB" w:eastAsia="en-US"/>
    </w:rPr>
  </w:style>
  <w:style w:type="paragraph" w:customStyle="1" w:styleId="Standard-TekstFirstline127cm">
    <w:name w:val="Standard-Tekst First line:  127 cm"/>
    <w:basedOn w:val="Normal"/>
    <w:uiPriority w:val="99"/>
    <w:rsid w:val="00611D2F"/>
    <w:pPr>
      <w:ind w:firstLine="720"/>
      <w:jc w:val="both"/>
    </w:pPr>
    <w:rPr>
      <w:rFonts w:ascii="MAC C Swiss" w:hAnsi="MAC C Swiss" w:cs="MAC C Swiss"/>
      <w:lang w:val="en-US"/>
    </w:rPr>
  </w:style>
  <w:style w:type="paragraph" w:customStyle="1" w:styleId="Style5">
    <w:name w:val="Style5"/>
    <w:basedOn w:val="Normal"/>
    <w:rsid w:val="001E3D77"/>
    <w:pPr>
      <w:widowControl w:val="0"/>
      <w:autoSpaceDE w:val="0"/>
      <w:autoSpaceDN w:val="0"/>
      <w:adjustRightInd w:val="0"/>
    </w:pPr>
    <w:rPr>
      <w:lang w:val="mk-MK" w:eastAsia="mk-MK"/>
    </w:rPr>
  </w:style>
  <w:style w:type="paragraph" w:customStyle="1" w:styleId="normal0">
    <w:name w:val="normal"/>
    <w:basedOn w:val="Normal"/>
    <w:rsid w:val="00335BC9"/>
    <w:pPr>
      <w:spacing w:before="100" w:beforeAutospacing="1" w:after="100" w:afterAutospacing="1"/>
    </w:pPr>
    <w:rPr>
      <w:lang w:val="en-US"/>
    </w:rPr>
  </w:style>
  <w:style w:type="character" w:customStyle="1" w:styleId="normalchar">
    <w:name w:val="normal__char"/>
    <w:basedOn w:val="DefaultParagraphFont"/>
    <w:rsid w:val="00335BC9"/>
  </w:style>
</w:styles>
</file>

<file path=word/webSettings.xml><?xml version="1.0" encoding="utf-8"?>
<w:webSettings xmlns:r="http://schemas.openxmlformats.org/officeDocument/2006/relationships" xmlns:w="http://schemas.openxmlformats.org/wordprocessingml/2006/main">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 w:id="954945797">
      <w:bodyDiv w:val="1"/>
      <w:marLeft w:val="0"/>
      <w:marRight w:val="0"/>
      <w:marTop w:val="0"/>
      <w:marBottom w:val="0"/>
      <w:divBdr>
        <w:top w:val="none" w:sz="0" w:space="0" w:color="auto"/>
        <w:left w:val="none" w:sz="0" w:space="0" w:color="auto"/>
        <w:bottom w:val="none" w:sz="0" w:space="0" w:color="auto"/>
        <w:right w:val="none" w:sz="0" w:space="0" w:color="auto"/>
      </w:divBdr>
    </w:div>
    <w:div w:id="10884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РАБОТНА ВЕРЗИЈА</vt:lpstr>
    </vt:vector>
  </TitlesOfParts>
  <Company>Microsoft</Company>
  <LinksUpToDate>false</LinksUpToDate>
  <CharactersWithSpaces>40569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РАБОТНА ВЕРЗИЈА</dc:title>
  <dc:creator>Jumni Ademi</dc:creator>
  <cp:lastModifiedBy>jumni.ademi</cp:lastModifiedBy>
  <cp:revision>3</cp:revision>
  <cp:lastPrinted>2015-04-14T09:04:00Z</cp:lastPrinted>
  <dcterms:created xsi:type="dcterms:W3CDTF">2015-04-27T06:41:00Z</dcterms:created>
  <dcterms:modified xsi:type="dcterms:W3CDTF">2015-04-27T07:45:00Z</dcterms:modified>
</cp:coreProperties>
</file>