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95" w:rsidRDefault="004C4C95" w:rsidP="004C4C95">
      <w:pPr>
        <w:jc w:val="center"/>
        <w:rPr>
          <w:rFonts w:ascii="StobiSerifPro" w:hAnsi="StobiSerifPro"/>
          <w:b/>
          <w:sz w:val="20"/>
          <w:szCs w:val="20"/>
          <w:lang w:val="mk-MK"/>
        </w:rPr>
      </w:pPr>
    </w:p>
    <w:p w:rsidR="004C4C95" w:rsidRDefault="004C4C95" w:rsidP="004C4C95">
      <w:pPr>
        <w:jc w:val="center"/>
        <w:rPr>
          <w:rFonts w:ascii="StobiSerifPro" w:hAnsi="StobiSerifPro"/>
          <w:b/>
          <w:sz w:val="20"/>
          <w:szCs w:val="20"/>
          <w:lang w:val="mk-MK"/>
        </w:rPr>
      </w:pPr>
      <w:r w:rsidRPr="003E0EF9">
        <w:rPr>
          <w:rFonts w:ascii="StobiSerifPro" w:hAnsi="StobiSerifPro"/>
          <w:b/>
          <w:sz w:val="20"/>
          <w:szCs w:val="20"/>
          <w:lang w:val="mk-MK"/>
        </w:rPr>
        <w:t>ИЗВЕШТАЈ ЗА ПРОЦЕНКА НА ВЛИЈАНИЕТО НА РЕГУЛАТИВАТА</w:t>
      </w:r>
    </w:p>
    <w:p w:rsidR="004C4C95" w:rsidRDefault="004C4C95" w:rsidP="004C4C95">
      <w:pPr>
        <w:jc w:val="center"/>
        <w:rPr>
          <w:rFonts w:ascii="StobiSerifPro" w:hAnsi="StobiSerifPro"/>
          <w:b/>
          <w:sz w:val="20"/>
          <w:szCs w:val="20"/>
          <w:lang w:val="mk-MK"/>
        </w:rPr>
      </w:pPr>
    </w:p>
    <w:p w:rsidR="004C4C95" w:rsidRDefault="004C4C95" w:rsidP="004C4C95">
      <w:pPr>
        <w:ind w:left="284"/>
        <w:jc w:val="center"/>
        <w:rPr>
          <w:rFonts w:ascii="StobiSerifPro" w:hAnsi="StobiSerifPro"/>
          <w:b/>
          <w:sz w:val="20"/>
          <w:szCs w:val="20"/>
          <w:lang w:val="mk-MK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6926"/>
      </w:tblGrid>
      <w:tr w:rsidR="004C4C95" w:rsidRPr="008F27E2" w:rsidTr="006C6CF3">
        <w:trPr>
          <w:trHeight w:val="287"/>
        </w:trPr>
        <w:tc>
          <w:tcPr>
            <w:tcW w:w="3105" w:type="dxa"/>
            <w:shd w:val="clear" w:color="auto" w:fill="FBD4B4"/>
          </w:tcPr>
          <w:p w:rsidR="004C4C95" w:rsidRPr="00EF65EE" w:rsidRDefault="004C4C95" w:rsidP="006C6CF3">
            <w:pPr>
              <w:jc w:val="center"/>
              <w:rPr>
                <w:rFonts w:ascii="StobiSerifPro" w:hAnsi="StobiSerifPro"/>
                <w:sz w:val="20"/>
                <w:szCs w:val="20"/>
                <w:lang w:val="mk-MK"/>
              </w:rPr>
            </w:pPr>
            <w:r w:rsidRPr="00EF65EE">
              <w:rPr>
                <w:rFonts w:ascii="StobiSerifPro" w:hAnsi="StobiSerifPro"/>
                <w:sz w:val="20"/>
                <w:szCs w:val="20"/>
                <w:lang w:val="mk-MK"/>
              </w:rPr>
              <w:t>Назив на министерство:</w:t>
            </w:r>
          </w:p>
        </w:tc>
        <w:tc>
          <w:tcPr>
            <w:tcW w:w="6926" w:type="dxa"/>
          </w:tcPr>
          <w:p w:rsidR="004C4C95" w:rsidRPr="00CA5E39" w:rsidRDefault="004C4C95" w:rsidP="006C6CF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CA5E39">
              <w:rPr>
                <w:rFonts w:ascii="StobiSerif Regular" w:hAnsi="StobiSerif Regular"/>
                <w:sz w:val="20"/>
                <w:szCs w:val="20"/>
                <w:lang w:val="mk-MK"/>
              </w:rPr>
              <w:t>Министерство за транспорт и врски</w:t>
            </w:r>
          </w:p>
        </w:tc>
      </w:tr>
      <w:tr w:rsidR="004C4C95" w:rsidRPr="00EF65EE" w:rsidTr="006C6CF3">
        <w:trPr>
          <w:trHeight w:val="622"/>
        </w:trPr>
        <w:tc>
          <w:tcPr>
            <w:tcW w:w="3105" w:type="dxa"/>
            <w:shd w:val="clear" w:color="auto" w:fill="FBD4B4"/>
          </w:tcPr>
          <w:p w:rsidR="004C4C95" w:rsidRPr="00EF65EE" w:rsidRDefault="004C4C95" w:rsidP="006C6CF3">
            <w:pPr>
              <w:jc w:val="center"/>
              <w:rPr>
                <w:rFonts w:ascii="StobiSerifPro" w:hAnsi="StobiSerifPro"/>
                <w:sz w:val="20"/>
                <w:szCs w:val="20"/>
                <w:lang w:val="mk-MK"/>
              </w:rPr>
            </w:pPr>
            <w:r w:rsidRPr="00EF65EE">
              <w:rPr>
                <w:rFonts w:ascii="StobiSerifPro" w:hAnsi="StobiSerifPro"/>
                <w:sz w:val="20"/>
                <w:szCs w:val="20"/>
                <w:lang w:val="mk-MK"/>
              </w:rPr>
              <w:t>Назив на предлогот на закон:</w:t>
            </w:r>
          </w:p>
        </w:tc>
        <w:tc>
          <w:tcPr>
            <w:tcW w:w="6926" w:type="dxa"/>
          </w:tcPr>
          <w:p w:rsidR="004C4C95" w:rsidRPr="008F27E2" w:rsidRDefault="004C4C95" w:rsidP="006C6CF3">
            <w:pPr>
              <w:rPr>
                <w:rFonts w:ascii="StobiSerif Regular" w:hAnsi="StobiSerif Regular"/>
                <w:b/>
                <w:sz w:val="20"/>
                <w:szCs w:val="20"/>
                <w:lang w:val="mk-MK"/>
              </w:rPr>
            </w:pPr>
            <w:r w:rsidRPr="00CA5E3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Предлог на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Закон за превоз во патниот сообраќај</w:t>
            </w:r>
          </w:p>
          <w:p w:rsidR="004C4C95" w:rsidRPr="00CA5E39" w:rsidRDefault="004C4C95" w:rsidP="006C6CF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4C4C95" w:rsidRPr="00EF65EE" w:rsidTr="006C6CF3">
        <w:trPr>
          <w:trHeight w:val="435"/>
        </w:trPr>
        <w:tc>
          <w:tcPr>
            <w:tcW w:w="3105" w:type="dxa"/>
            <w:shd w:val="clear" w:color="auto" w:fill="FBD4B4"/>
          </w:tcPr>
          <w:p w:rsidR="004C4C95" w:rsidRPr="00EF65EE" w:rsidRDefault="004C4C95" w:rsidP="006C6CF3">
            <w:pPr>
              <w:jc w:val="center"/>
              <w:rPr>
                <w:rFonts w:ascii="StobiSerifPro" w:hAnsi="StobiSerifPro"/>
                <w:sz w:val="20"/>
                <w:szCs w:val="20"/>
                <w:lang w:val="mk-MK"/>
              </w:rPr>
            </w:pPr>
            <w:r w:rsidRPr="00EF65EE">
              <w:rPr>
                <w:rFonts w:ascii="StobiSerifPro" w:hAnsi="StobiSerifPro"/>
                <w:sz w:val="20"/>
                <w:szCs w:val="20"/>
                <w:lang w:val="mk-MK"/>
              </w:rPr>
              <w:t>Одговорно лице и контакт информации:</w:t>
            </w:r>
          </w:p>
        </w:tc>
        <w:tc>
          <w:tcPr>
            <w:tcW w:w="6926" w:type="dxa"/>
          </w:tcPr>
          <w:p w:rsidR="004C4C95" w:rsidRPr="00EF65EE" w:rsidRDefault="004C4C95" w:rsidP="006C6CF3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Владимир Шутев, Раководител на Сектор за патен сообраќај и инфраструктура</w:t>
            </w:r>
          </w:p>
        </w:tc>
      </w:tr>
      <w:tr w:rsidR="004C4C95" w:rsidRPr="00EF65EE" w:rsidTr="006C6CF3">
        <w:trPr>
          <w:trHeight w:val="458"/>
        </w:trPr>
        <w:tc>
          <w:tcPr>
            <w:tcW w:w="3105" w:type="dxa"/>
            <w:shd w:val="clear" w:color="auto" w:fill="FBD4B4"/>
          </w:tcPr>
          <w:p w:rsidR="004C4C95" w:rsidRDefault="004C4C95" w:rsidP="006C6CF3">
            <w:pPr>
              <w:jc w:val="center"/>
              <w:rPr>
                <w:rFonts w:ascii="StobiSerifPro" w:hAnsi="StobiSerifPro"/>
                <w:sz w:val="20"/>
                <w:szCs w:val="20"/>
                <w:lang w:val="mk-MK"/>
              </w:rPr>
            </w:pPr>
          </w:p>
          <w:p w:rsidR="004C4C95" w:rsidRPr="00EF65EE" w:rsidRDefault="004C4C95" w:rsidP="006C6CF3">
            <w:pPr>
              <w:jc w:val="center"/>
              <w:rPr>
                <w:rFonts w:ascii="StobiSerifPro" w:hAnsi="StobiSerifPro"/>
                <w:sz w:val="20"/>
                <w:szCs w:val="20"/>
                <w:highlight w:val="yellow"/>
                <w:lang w:val="mk-MK"/>
              </w:rPr>
            </w:pPr>
            <w:r w:rsidRPr="00EF65EE">
              <w:rPr>
                <w:rFonts w:ascii="StobiSerifPro" w:hAnsi="StobiSerifPro"/>
                <w:sz w:val="20"/>
                <w:szCs w:val="20"/>
                <w:lang w:val="mk-MK"/>
              </w:rPr>
              <w:t>Вид на Извештај</w:t>
            </w:r>
            <w:r>
              <w:rPr>
                <w:rFonts w:ascii="StobiSerifPro" w:hAnsi="StobiSerifPro"/>
                <w:sz w:val="20"/>
                <w:szCs w:val="20"/>
                <w:lang w:val="mk-MK"/>
              </w:rPr>
              <w:t>:</w:t>
            </w:r>
          </w:p>
        </w:tc>
        <w:tc>
          <w:tcPr>
            <w:tcW w:w="6926" w:type="dxa"/>
            <w:shd w:val="clear" w:color="auto" w:fill="auto"/>
          </w:tcPr>
          <w:p w:rsidR="004C4C95" w:rsidRPr="00EF65EE" w:rsidRDefault="00443CCF" w:rsidP="006C6CF3">
            <w:pPr>
              <w:pStyle w:val="ListParagraph"/>
              <w:spacing w:after="0" w:line="240" w:lineRule="auto"/>
              <w:ind w:left="23"/>
              <w:rPr>
                <w:rFonts w:ascii="StobiSerifPro" w:hAnsi="StobiSerifPro"/>
                <w:sz w:val="20"/>
                <w:szCs w:val="20"/>
              </w:rPr>
            </w:pPr>
            <w:r>
              <w:rPr>
                <w:rFonts w:ascii="StobiSerifPro" w:hAnsi="StobiSerifPro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1"/>
            <w:r>
              <w:rPr>
                <w:rFonts w:ascii="StobiSerifPro" w:hAnsi="StobiSerifPro"/>
                <w:sz w:val="20"/>
                <w:szCs w:val="20"/>
              </w:rPr>
              <w:instrText xml:space="preserve"> FORMCHECKBOX </w:instrText>
            </w:r>
            <w:r>
              <w:rPr>
                <w:rFonts w:ascii="StobiSerifPro" w:hAnsi="StobiSerifPro"/>
                <w:sz w:val="20"/>
                <w:szCs w:val="20"/>
              </w:rPr>
            </w:r>
            <w:r>
              <w:rPr>
                <w:rFonts w:ascii="StobiSerifPro" w:hAnsi="StobiSerifPro"/>
                <w:sz w:val="20"/>
                <w:szCs w:val="20"/>
              </w:rPr>
              <w:fldChar w:fldCharType="end"/>
            </w:r>
            <w:bookmarkEnd w:id="0"/>
            <w:r w:rsidR="004C4C95" w:rsidRPr="00EF65EE">
              <w:rPr>
                <w:rFonts w:ascii="StobiSerifPro" w:hAnsi="StobiSerifPro"/>
                <w:sz w:val="20"/>
                <w:szCs w:val="20"/>
              </w:rPr>
              <w:t>Нацрт</w:t>
            </w:r>
          </w:p>
          <w:p w:rsidR="004C4C95" w:rsidRPr="00EF65EE" w:rsidRDefault="004C4C95" w:rsidP="006C6CF3">
            <w:pPr>
              <w:pStyle w:val="ListParagraph"/>
              <w:spacing w:after="0" w:line="240" w:lineRule="auto"/>
              <w:ind w:left="23"/>
              <w:rPr>
                <w:rFonts w:ascii="StobiSerifPro" w:hAnsi="StobiSerifPro"/>
                <w:sz w:val="20"/>
                <w:szCs w:val="20"/>
              </w:rPr>
            </w:pPr>
          </w:p>
          <w:p w:rsidR="004C4C95" w:rsidRPr="00EF65EE" w:rsidRDefault="00443CCF" w:rsidP="006C6CF3">
            <w:pPr>
              <w:pStyle w:val="ListParagraph"/>
              <w:spacing w:after="0" w:line="240" w:lineRule="auto"/>
              <w:ind w:left="23"/>
              <w:rPr>
                <w:rFonts w:ascii="StobiSerifPro" w:hAnsi="StobiSerifPro"/>
                <w:sz w:val="20"/>
                <w:szCs w:val="20"/>
              </w:rPr>
            </w:pPr>
            <w:r>
              <w:rPr>
                <w:rFonts w:ascii="StobiSerifPro" w:hAnsi="StobiSerifPro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>
              <w:rPr>
                <w:rFonts w:ascii="StobiSerifPro" w:hAnsi="StobiSerifPro"/>
                <w:sz w:val="20"/>
                <w:szCs w:val="20"/>
              </w:rPr>
              <w:instrText xml:space="preserve"> FORMCHECKBOX </w:instrText>
            </w:r>
            <w:r>
              <w:rPr>
                <w:rFonts w:ascii="StobiSerifPro" w:hAnsi="StobiSerifPro"/>
                <w:sz w:val="20"/>
                <w:szCs w:val="20"/>
              </w:rPr>
            </w:r>
            <w:r>
              <w:rPr>
                <w:rFonts w:ascii="StobiSerifPro" w:hAnsi="StobiSerifPro"/>
                <w:sz w:val="20"/>
                <w:szCs w:val="20"/>
              </w:rPr>
              <w:fldChar w:fldCharType="end"/>
            </w:r>
            <w:bookmarkEnd w:id="1"/>
            <w:r w:rsidR="004C4C95" w:rsidRPr="00EF65EE">
              <w:rPr>
                <w:rFonts w:ascii="StobiSerifPro" w:hAnsi="StobiSerifPro"/>
                <w:sz w:val="20"/>
                <w:szCs w:val="20"/>
              </w:rPr>
              <w:t xml:space="preserve">Предлог </w:t>
            </w:r>
          </w:p>
          <w:p w:rsidR="004C4C95" w:rsidRPr="00EF65EE" w:rsidRDefault="004C4C95" w:rsidP="006C6CF3">
            <w:pPr>
              <w:pStyle w:val="ListParagraph"/>
              <w:spacing w:after="0" w:line="240" w:lineRule="auto"/>
              <w:ind w:left="23"/>
              <w:rPr>
                <w:rFonts w:ascii="StobiSerifPro" w:hAnsi="StobiSerifPro"/>
                <w:sz w:val="20"/>
                <w:szCs w:val="20"/>
              </w:rPr>
            </w:pPr>
          </w:p>
        </w:tc>
      </w:tr>
      <w:tr w:rsidR="004C4C95" w:rsidRPr="00EF65EE" w:rsidTr="006C6CF3">
        <w:trPr>
          <w:trHeight w:val="1243"/>
        </w:trPr>
        <w:tc>
          <w:tcPr>
            <w:tcW w:w="3105" w:type="dxa"/>
            <w:shd w:val="clear" w:color="auto" w:fill="FBD4B4"/>
          </w:tcPr>
          <w:p w:rsidR="004C4C95" w:rsidRDefault="004C4C95" w:rsidP="006C6CF3">
            <w:pPr>
              <w:jc w:val="center"/>
              <w:rPr>
                <w:rFonts w:ascii="StobiSerifPro" w:hAnsi="StobiSerifPro"/>
                <w:sz w:val="20"/>
                <w:szCs w:val="20"/>
                <w:lang w:val="mk-MK"/>
              </w:rPr>
            </w:pPr>
          </w:p>
          <w:p w:rsidR="004C4C95" w:rsidRDefault="004C4C95" w:rsidP="006C6CF3">
            <w:pPr>
              <w:jc w:val="center"/>
              <w:rPr>
                <w:rFonts w:ascii="StobiSerifPro" w:hAnsi="StobiSerifPro"/>
                <w:sz w:val="20"/>
                <w:szCs w:val="20"/>
                <w:lang w:val="mk-MK"/>
              </w:rPr>
            </w:pPr>
          </w:p>
          <w:p w:rsidR="004C4C95" w:rsidRPr="00EF65EE" w:rsidRDefault="004C4C95" w:rsidP="006C6CF3">
            <w:pPr>
              <w:jc w:val="center"/>
              <w:rPr>
                <w:rFonts w:ascii="StobiSerifPro" w:hAnsi="StobiSerifPro"/>
                <w:sz w:val="20"/>
                <w:szCs w:val="20"/>
                <w:lang w:val="mk-MK"/>
              </w:rPr>
            </w:pPr>
            <w:r w:rsidRPr="00EF65EE">
              <w:rPr>
                <w:rFonts w:ascii="StobiSerifPro" w:hAnsi="StobiSerifPro"/>
                <w:sz w:val="20"/>
                <w:szCs w:val="20"/>
                <w:lang w:val="mk-MK"/>
              </w:rPr>
              <w:t>Обврската за подготовка на предлогот на закон произлегува од:</w:t>
            </w:r>
          </w:p>
        </w:tc>
        <w:tc>
          <w:tcPr>
            <w:tcW w:w="6926" w:type="dxa"/>
          </w:tcPr>
          <w:p w:rsidR="004C4C95" w:rsidRDefault="00443CCF" w:rsidP="006C6CF3">
            <w:pPr>
              <w:pStyle w:val="ListParagraph"/>
              <w:spacing w:after="0" w:line="240" w:lineRule="auto"/>
              <w:ind w:left="23"/>
              <w:rPr>
                <w:rFonts w:ascii="StobiSerifPro" w:hAnsi="StobiSerifPro"/>
                <w:sz w:val="20"/>
                <w:szCs w:val="20"/>
              </w:rPr>
            </w:pPr>
            <w:r>
              <w:rPr>
                <w:rFonts w:ascii="StobiSerifPro" w:hAnsi="StobiSerifPro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>
              <w:rPr>
                <w:rFonts w:ascii="StobiSerifPro" w:hAnsi="StobiSerifPro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StobiSerifPro" w:hAnsi="StobiSerifPro"/>
                <w:sz w:val="20"/>
                <w:szCs w:val="20"/>
                <w:lang w:val="en-US"/>
              </w:rPr>
            </w:r>
            <w:r>
              <w:rPr>
                <w:rFonts w:ascii="StobiSerifPro" w:hAnsi="StobiSerifPro"/>
                <w:sz w:val="20"/>
                <w:szCs w:val="20"/>
                <w:lang w:val="en-US"/>
              </w:rPr>
              <w:fldChar w:fldCharType="end"/>
            </w:r>
            <w:bookmarkEnd w:id="2"/>
            <w:r w:rsidR="004C4C95">
              <w:rPr>
                <w:rFonts w:ascii="StobiSerifPro" w:hAnsi="StobiSerifPro"/>
                <w:sz w:val="20"/>
                <w:szCs w:val="20"/>
              </w:rPr>
              <w:t xml:space="preserve"> Годишна п</w:t>
            </w:r>
            <w:r w:rsidR="004C4C95" w:rsidRPr="00EF65EE">
              <w:rPr>
                <w:rFonts w:ascii="StobiSerifPro" w:hAnsi="StobiSerifPro"/>
                <w:sz w:val="20"/>
                <w:szCs w:val="20"/>
              </w:rPr>
              <w:t>рограма за работа на Владата на Република</w:t>
            </w:r>
            <w:r w:rsidR="004C4C95">
              <w:rPr>
                <w:rFonts w:ascii="StobiSerifPro" w:hAnsi="StobiSerifPro"/>
                <w:sz w:val="20"/>
                <w:szCs w:val="20"/>
              </w:rPr>
              <w:t xml:space="preserve"> </w:t>
            </w:r>
            <w:r w:rsidR="004C4C95" w:rsidRPr="00EF65EE">
              <w:rPr>
                <w:rFonts w:ascii="StobiSerifPro" w:hAnsi="StobiSerifPro"/>
                <w:sz w:val="20"/>
                <w:szCs w:val="20"/>
              </w:rPr>
              <w:t>Северна</w:t>
            </w:r>
            <w:r w:rsidR="004C4C95">
              <w:rPr>
                <w:rFonts w:ascii="StobiSerifPro" w:hAnsi="StobiSerifPro"/>
                <w:sz w:val="20"/>
                <w:szCs w:val="20"/>
              </w:rPr>
              <w:t xml:space="preserve"> </w:t>
            </w:r>
            <w:r w:rsidR="004C4C95" w:rsidRPr="00EF65EE">
              <w:rPr>
                <w:rFonts w:ascii="StobiSerifPro" w:hAnsi="StobiSerifPro"/>
                <w:sz w:val="20"/>
                <w:szCs w:val="20"/>
              </w:rPr>
              <w:t>Македонија</w:t>
            </w:r>
          </w:p>
          <w:p w:rsidR="004C4C95" w:rsidRPr="00EF65EE" w:rsidRDefault="004C4C95" w:rsidP="006C6CF3">
            <w:pPr>
              <w:pStyle w:val="ListParagraph"/>
              <w:spacing w:after="0" w:line="240" w:lineRule="auto"/>
              <w:ind w:left="23"/>
              <w:rPr>
                <w:rFonts w:ascii="StobiSerifPro" w:hAnsi="StobiSerifPro"/>
                <w:sz w:val="20"/>
                <w:szCs w:val="20"/>
              </w:rPr>
            </w:pPr>
          </w:p>
          <w:p w:rsidR="004C4C95" w:rsidRDefault="00AB3D5F" w:rsidP="006C6CF3">
            <w:pPr>
              <w:pStyle w:val="ListParagraph"/>
              <w:spacing w:after="0" w:line="240" w:lineRule="auto"/>
              <w:ind w:left="23"/>
              <w:rPr>
                <w:rFonts w:ascii="StobiSerifPro" w:hAnsi="StobiSerifPro"/>
                <w:sz w:val="20"/>
                <w:szCs w:val="20"/>
              </w:rPr>
            </w:pPr>
            <w:r>
              <w:rPr>
                <w:rFonts w:ascii="StobiSerifPro" w:hAnsi="StobiSerifPro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14"/>
            <w:r>
              <w:rPr>
                <w:rFonts w:ascii="StobiSerifPro" w:hAnsi="StobiSerifPro"/>
                <w:sz w:val="20"/>
                <w:szCs w:val="20"/>
                <w:lang w:val="en-US"/>
              </w:rPr>
              <w:instrText xml:space="preserve"> FORMCHECKBOX </w:instrText>
            </w:r>
            <w:r w:rsidR="00A1601F">
              <w:rPr>
                <w:rFonts w:ascii="StobiSerifPro" w:hAnsi="StobiSerifPro"/>
                <w:sz w:val="20"/>
                <w:szCs w:val="20"/>
                <w:lang w:val="en-US"/>
              </w:rPr>
            </w:r>
            <w:r w:rsidR="00A1601F">
              <w:rPr>
                <w:rFonts w:ascii="StobiSerifPro" w:hAnsi="StobiSerifPro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StobiSerifPro" w:hAnsi="StobiSerifPro"/>
                <w:sz w:val="20"/>
                <w:szCs w:val="20"/>
                <w:lang w:val="en-US"/>
              </w:rPr>
              <w:fldChar w:fldCharType="end"/>
            </w:r>
            <w:bookmarkEnd w:id="3"/>
            <w:r w:rsidR="004C4C95">
              <w:rPr>
                <w:rFonts w:ascii="StobiSerifPro" w:hAnsi="StobiSerifPro"/>
                <w:sz w:val="20"/>
                <w:szCs w:val="20"/>
              </w:rPr>
              <w:t xml:space="preserve"> </w:t>
            </w:r>
            <w:r w:rsidR="004C4C95" w:rsidRPr="00EF65EE">
              <w:rPr>
                <w:rFonts w:ascii="StobiSerifPro" w:hAnsi="StobiSerifPro"/>
                <w:sz w:val="20"/>
                <w:szCs w:val="20"/>
              </w:rPr>
              <w:t>НПАА</w:t>
            </w:r>
          </w:p>
          <w:p w:rsidR="004C4C95" w:rsidRPr="00EF65EE" w:rsidRDefault="004C4C95" w:rsidP="006C6CF3">
            <w:pPr>
              <w:pStyle w:val="ListParagraph"/>
              <w:spacing w:after="0" w:line="240" w:lineRule="auto"/>
              <w:ind w:left="23"/>
              <w:rPr>
                <w:rFonts w:ascii="StobiSerifPro" w:hAnsi="StobiSerifPro"/>
                <w:sz w:val="20"/>
                <w:szCs w:val="20"/>
              </w:rPr>
            </w:pPr>
          </w:p>
          <w:p w:rsidR="004C4C95" w:rsidRDefault="004C4C95" w:rsidP="006C6CF3">
            <w:pPr>
              <w:pStyle w:val="ListParagraph"/>
              <w:spacing w:after="0" w:line="240" w:lineRule="auto"/>
              <w:ind w:left="23"/>
              <w:rPr>
                <w:rFonts w:ascii="StobiSerifPro" w:hAnsi="StobiSerifPro"/>
                <w:sz w:val="20"/>
                <w:szCs w:val="20"/>
              </w:rPr>
            </w:pPr>
            <w:r>
              <w:rPr>
                <w:rFonts w:ascii="StobiSerifPro" w:hAnsi="StobiSerifPro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StobiSerifPro" w:hAnsi="StobiSerifPro"/>
                <w:sz w:val="20"/>
                <w:szCs w:val="20"/>
              </w:rPr>
              <w:instrText xml:space="preserve"> FORMCHECKBOX </w:instrText>
            </w:r>
            <w:r w:rsidR="00A1601F">
              <w:rPr>
                <w:rFonts w:ascii="StobiSerifPro" w:hAnsi="StobiSerifPro"/>
                <w:sz w:val="20"/>
                <w:szCs w:val="20"/>
              </w:rPr>
            </w:r>
            <w:r w:rsidR="00A1601F">
              <w:rPr>
                <w:rFonts w:ascii="StobiSerifPro" w:hAnsi="StobiSerifPro"/>
                <w:sz w:val="20"/>
                <w:szCs w:val="20"/>
              </w:rPr>
              <w:fldChar w:fldCharType="separate"/>
            </w:r>
            <w:r>
              <w:rPr>
                <w:rFonts w:ascii="StobiSerifPro" w:hAnsi="StobiSerifPro"/>
                <w:sz w:val="20"/>
                <w:szCs w:val="20"/>
              </w:rPr>
              <w:fldChar w:fldCharType="end"/>
            </w:r>
            <w:bookmarkEnd w:id="4"/>
            <w:r>
              <w:rPr>
                <w:rFonts w:ascii="StobiSerifPro" w:hAnsi="StobiSerifPro"/>
                <w:sz w:val="20"/>
                <w:szCs w:val="20"/>
              </w:rPr>
              <w:t xml:space="preserve"> </w:t>
            </w:r>
            <w:r w:rsidRPr="00EF65EE">
              <w:rPr>
                <w:rFonts w:ascii="StobiSerifPro" w:hAnsi="StobiSerifPro"/>
                <w:sz w:val="20"/>
                <w:szCs w:val="20"/>
              </w:rPr>
              <w:t>Заклучок на Владата на Република Северна Македонија</w:t>
            </w:r>
          </w:p>
          <w:p w:rsidR="004C4C95" w:rsidRPr="00EF65EE" w:rsidRDefault="004C4C95" w:rsidP="006C6CF3">
            <w:pPr>
              <w:pStyle w:val="ListParagraph"/>
              <w:spacing w:after="0" w:line="240" w:lineRule="auto"/>
              <w:ind w:left="23"/>
              <w:rPr>
                <w:rFonts w:ascii="StobiSerifPro" w:hAnsi="StobiSerifPro"/>
                <w:sz w:val="20"/>
                <w:szCs w:val="20"/>
              </w:rPr>
            </w:pPr>
          </w:p>
          <w:p w:rsidR="004C4C95" w:rsidRPr="00EF65EE" w:rsidRDefault="004C4C95" w:rsidP="006C6CF3">
            <w:pPr>
              <w:pStyle w:val="ListParagraph"/>
              <w:spacing w:after="0" w:line="240" w:lineRule="auto"/>
              <w:ind w:left="23"/>
              <w:rPr>
                <w:rFonts w:ascii="StobiSerifPro" w:hAnsi="StobiSerifPro"/>
                <w:sz w:val="20"/>
                <w:szCs w:val="20"/>
              </w:rPr>
            </w:pPr>
            <w:r>
              <w:rPr>
                <w:rFonts w:ascii="StobiSerifPro" w:hAnsi="StobiSerifPro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>
              <w:rPr>
                <w:rFonts w:ascii="StobiSerifPro" w:hAnsi="StobiSerifPro"/>
                <w:sz w:val="20"/>
                <w:szCs w:val="20"/>
                <w:lang w:val="en-US"/>
              </w:rPr>
              <w:instrText xml:space="preserve"> FORMCHECKBOX </w:instrText>
            </w:r>
            <w:r w:rsidR="00A1601F">
              <w:rPr>
                <w:rFonts w:ascii="StobiSerifPro" w:hAnsi="StobiSerifPro"/>
                <w:sz w:val="20"/>
                <w:szCs w:val="20"/>
                <w:lang w:val="en-US"/>
              </w:rPr>
            </w:r>
            <w:r w:rsidR="00A1601F">
              <w:rPr>
                <w:rFonts w:ascii="StobiSerifPro" w:hAnsi="StobiSerifPro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StobiSerifPro" w:hAnsi="StobiSerifPro"/>
                <w:sz w:val="20"/>
                <w:szCs w:val="20"/>
                <w:lang w:val="en-US"/>
              </w:rPr>
              <w:fldChar w:fldCharType="end"/>
            </w:r>
            <w:bookmarkEnd w:id="5"/>
            <w:r w:rsidRPr="00EF65EE">
              <w:rPr>
                <w:rFonts w:ascii="StobiSerifPro" w:hAnsi="StobiSerifPro"/>
                <w:sz w:val="20"/>
                <w:szCs w:val="20"/>
              </w:rPr>
              <w:t xml:space="preserve">Друго </w:t>
            </w:r>
            <w:r w:rsidRPr="00763C6C">
              <w:rPr>
                <w:rFonts w:ascii="StobiSerifPro" w:hAnsi="StobiSerifPro"/>
                <w:sz w:val="20"/>
                <w:szCs w:val="20"/>
              </w:rPr>
              <w:t>(консултации со научни институти)</w:t>
            </w:r>
          </w:p>
        </w:tc>
      </w:tr>
      <w:tr w:rsidR="004C4C95" w:rsidRPr="00EF65EE" w:rsidTr="006C6CF3">
        <w:trPr>
          <w:trHeight w:val="634"/>
        </w:trPr>
        <w:tc>
          <w:tcPr>
            <w:tcW w:w="3105" w:type="dxa"/>
            <w:shd w:val="clear" w:color="auto" w:fill="FBD4B4"/>
          </w:tcPr>
          <w:p w:rsidR="004C4C95" w:rsidRPr="00EF65EE" w:rsidRDefault="004C4C95" w:rsidP="006C6CF3">
            <w:pPr>
              <w:jc w:val="center"/>
              <w:rPr>
                <w:rFonts w:ascii="StobiSerifPro" w:hAnsi="StobiSerifPro"/>
                <w:sz w:val="20"/>
                <w:szCs w:val="20"/>
                <w:lang w:val="mk-MK"/>
              </w:rPr>
            </w:pPr>
            <w:r w:rsidRPr="00EF65EE">
              <w:rPr>
                <w:rFonts w:ascii="StobiSerifPro" w:hAnsi="StobiSerifPro"/>
                <w:sz w:val="20"/>
                <w:szCs w:val="20"/>
                <w:lang w:val="mk-MK"/>
              </w:rPr>
              <w:t>Поврзаност со Директивите на ЕУ</w:t>
            </w:r>
            <w:r>
              <w:rPr>
                <w:rFonts w:ascii="StobiSerifPro" w:hAnsi="StobiSerifPro"/>
                <w:sz w:val="20"/>
                <w:szCs w:val="20"/>
                <w:lang w:val="mk-MK"/>
              </w:rPr>
              <w:t>:</w:t>
            </w:r>
          </w:p>
        </w:tc>
        <w:tc>
          <w:tcPr>
            <w:tcW w:w="6926" w:type="dxa"/>
          </w:tcPr>
          <w:p w:rsidR="00AB3D5F" w:rsidRDefault="0098266C" w:rsidP="00AB3D5F">
            <w:pPr>
              <w:jc w:val="both"/>
              <w:rPr>
                <w:rFonts w:ascii="StobiSerifPro" w:hAnsi="StobiSerifPro"/>
                <w:u w:val="single"/>
              </w:rPr>
            </w:pPr>
            <w:r w:rsidRPr="004C1DD6">
              <w:rPr>
                <w:rFonts w:ascii="StobiSerifPro" w:hAnsi="StobiSerifPro"/>
                <w:u w:val="single"/>
                <w:lang w:val="mk-MK"/>
              </w:rPr>
              <w:t>да</w:t>
            </w:r>
            <w:r w:rsidR="004C4C95" w:rsidRPr="004C1DD6">
              <w:rPr>
                <w:rFonts w:ascii="StobiSerifPro" w:hAnsi="StobiSerifPro"/>
                <w:u w:val="single"/>
              </w:rPr>
              <w:t xml:space="preserve"> </w:t>
            </w:r>
          </w:p>
          <w:p w:rsidR="00AB3D5F" w:rsidRPr="00AB3D5F" w:rsidRDefault="00AB3D5F" w:rsidP="00AB3D5F">
            <w:pPr>
              <w:jc w:val="both"/>
              <w:rPr>
                <w:rFonts w:ascii="StobiSerif Regular" w:eastAsiaTheme="minorHAnsi" w:hAnsi="StobiSerif Regular" w:cstheme="minorBidi"/>
                <w:sz w:val="22"/>
                <w:szCs w:val="22"/>
                <w:lang w:val="ru-RU"/>
              </w:rPr>
            </w:pPr>
            <w:r w:rsidRPr="00AB3D5F">
              <w:rPr>
                <w:rFonts w:ascii="StobiSerif Regular" w:eastAsiaTheme="minorHAnsi" w:hAnsi="StobiSerif Regular" w:cstheme="minorBidi"/>
                <w:sz w:val="22"/>
                <w:szCs w:val="22"/>
                <w:lang w:val="ru-RU"/>
              </w:rPr>
              <w:t>Регулатива 1071/09, Регулатива 1072/09, Регулатива 1073/09 Директива 2014/45, Директива 2003/59 и Регулатива 2016/403.</w:t>
            </w:r>
          </w:p>
          <w:p w:rsidR="004C4C95" w:rsidRPr="004C1DD6" w:rsidRDefault="004C4C95" w:rsidP="0098266C">
            <w:pPr>
              <w:rPr>
                <w:rFonts w:ascii="StobiSerifPro" w:hAnsi="StobiSerifPro"/>
                <w:u w:val="single"/>
              </w:rPr>
            </w:pPr>
          </w:p>
        </w:tc>
      </w:tr>
      <w:tr w:rsidR="004C4C95" w:rsidRPr="00EF65EE" w:rsidTr="006C6CF3">
        <w:trPr>
          <w:trHeight w:val="1228"/>
        </w:trPr>
        <w:tc>
          <w:tcPr>
            <w:tcW w:w="3105" w:type="dxa"/>
            <w:shd w:val="clear" w:color="auto" w:fill="FBD4B4"/>
          </w:tcPr>
          <w:p w:rsidR="004C4C95" w:rsidRPr="00EF65EE" w:rsidRDefault="004C4C95" w:rsidP="006C6CF3">
            <w:pPr>
              <w:jc w:val="center"/>
              <w:rPr>
                <w:rFonts w:ascii="StobiSerifPro" w:hAnsi="StobiSerifPro"/>
                <w:sz w:val="20"/>
                <w:szCs w:val="20"/>
                <w:lang w:val="mk-MK"/>
              </w:rPr>
            </w:pPr>
            <w:r w:rsidRPr="00EF65EE">
              <w:rPr>
                <w:rFonts w:ascii="StobiSerifPro" w:hAnsi="StobiSerifPro"/>
                <w:sz w:val="20"/>
                <w:szCs w:val="20"/>
                <w:lang w:val="mk-MK"/>
              </w:rPr>
              <w:t>Дали нацрт извештајот содржи информации согласно прописите кои се однесуваат на класифицираните информации</w:t>
            </w:r>
            <w:r>
              <w:rPr>
                <w:rFonts w:ascii="StobiSerifPro" w:hAnsi="StobiSerifPro"/>
                <w:sz w:val="20"/>
                <w:szCs w:val="20"/>
                <w:lang w:val="mk-MK"/>
              </w:rPr>
              <w:t>:</w:t>
            </w:r>
          </w:p>
        </w:tc>
        <w:tc>
          <w:tcPr>
            <w:tcW w:w="6926" w:type="dxa"/>
          </w:tcPr>
          <w:p w:rsidR="004C4C95" w:rsidRDefault="004C4C95" w:rsidP="006C6CF3">
            <w:pPr>
              <w:pStyle w:val="ListParagraph"/>
              <w:spacing w:after="0" w:line="240" w:lineRule="auto"/>
              <w:ind w:left="23"/>
              <w:rPr>
                <w:rFonts w:ascii="StobiSerifPro" w:hAnsi="StobiSerifPro"/>
                <w:sz w:val="20"/>
                <w:szCs w:val="20"/>
              </w:rPr>
            </w:pPr>
            <w:r w:rsidRPr="00EF65EE">
              <w:rPr>
                <w:rFonts w:ascii="StobiSerifPro" w:hAnsi="StobiSerifPro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7"/>
            <w:r w:rsidRPr="00EF65EE">
              <w:rPr>
                <w:rFonts w:ascii="StobiSerifPro" w:hAnsi="StobiSerifPro"/>
                <w:sz w:val="20"/>
                <w:szCs w:val="20"/>
                <w:lang w:val="en-US"/>
              </w:rPr>
              <w:instrText xml:space="preserve"> FORMCHECKBOX </w:instrText>
            </w:r>
            <w:r w:rsidR="00A1601F">
              <w:rPr>
                <w:rFonts w:ascii="StobiSerifPro" w:hAnsi="StobiSerifPro"/>
                <w:sz w:val="20"/>
                <w:szCs w:val="20"/>
                <w:lang w:val="en-US"/>
              </w:rPr>
            </w:r>
            <w:r w:rsidR="00A1601F">
              <w:rPr>
                <w:rFonts w:ascii="StobiSerifPro" w:hAnsi="StobiSerifPro"/>
                <w:sz w:val="20"/>
                <w:szCs w:val="20"/>
                <w:lang w:val="en-US"/>
              </w:rPr>
              <w:fldChar w:fldCharType="separate"/>
            </w:r>
            <w:r w:rsidRPr="00EF65EE">
              <w:rPr>
                <w:rFonts w:ascii="StobiSerifPro" w:hAnsi="StobiSerifPro"/>
                <w:sz w:val="20"/>
                <w:szCs w:val="20"/>
                <w:lang w:val="en-US"/>
              </w:rPr>
              <w:fldChar w:fldCharType="end"/>
            </w:r>
            <w:bookmarkEnd w:id="6"/>
            <w:r w:rsidRPr="00EF65EE">
              <w:rPr>
                <w:rFonts w:ascii="StobiSerifPro" w:hAnsi="StobiSerifPro"/>
                <w:sz w:val="20"/>
                <w:szCs w:val="20"/>
              </w:rPr>
              <w:t>Да</w:t>
            </w:r>
          </w:p>
          <w:p w:rsidR="004C4C95" w:rsidRDefault="004C4C95" w:rsidP="006C6CF3">
            <w:pPr>
              <w:pStyle w:val="ListParagraph"/>
              <w:spacing w:after="0" w:line="240" w:lineRule="auto"/>
              <w:ind w:left="23"/>
              <w:rPr>
                <w:rFonts w:ascii="StobiSerifPro" w:hAnsi="StobiSerifPro"/>
                <w:sz w:val="20"/>
                <w:szCs w:val="20"/>
              </w:rPr>
            </w:pPr>
          </w:p>
          <w:p w:rsidR="004C4C95" w:rsidRPr="00EF65EE" w:rsidRDefault="004C4C95" w:rsidP="006C6CF3">
            <w:pPr>
              <w:pStyle w:val="ListParagraph"/>
              <w:spacing w:after="0" w:line="240" w:lineRule="auto"/>
              <w:ind w:left="23"/>
              <w:rPr>
                <w:rFonts w:ascii="StobiSerifPro" w:hAnsi="StobiSerifPro"/>
                <w:sz w:val="20"/>
                <w:szCs w:val="20"/>
              </w:rPr>
            </w:pPr>
          </w:p>
          <w:bookmarkStart w:id="7" w:name="Check18"/>
          <w:p w:rsidR="004C4C95" w:rsidRPr="00EF65EE" w:rsidRDefault="004C4C95" w:rsidP="006C6CF3">
            <w:pPr>
              <w:pStyle w:val="ListParagraph"/>
              <w:spacing w:after="0" w:line="240" w:lineRule="auto"/>
              <w:ind w:left="23"/>
              <w:rPr>
                <w:rFonts w:ascii="StobiSerifPro" w:hAnsi="StobiSerifPro"/>
                <w:sz w:val="20"/>
                <w:szCs w:val="20"/>
              </w:rPr>
            </w:pPr>
            <w:r>
              <w:rPr>
                <w:rFonts w:ascii="StobiSerifPro" w:hAnsi="StobiSerifPro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tobiSerifPro" w:hAnsi="StobiSerifPro"/>
                <w:sz w:val="20"/>
                <w:szCs w:val="20"/>
                <w:lang w:val="en-US"/>
              </w:rPr>
              <w:instrText xml:space="preserve"> FORMCHECKBOX </w:instrText>
            </w:r>
            <w:r w:rsidR="00A1601F">
              <w:rPr>
                <w:rFonts w:ascii="StobiSerifPro" w:hAnsi="StobiSerifPro"/>
                <w:sz w:val="20"/>
                <w:szCs w:val="20"/>
                <w:lang w:val="en-US"/>
              </w:rPr>
            </w:r>
            <w:r w:rsidR="00A1601F">
              <w:rPr>
                <w:rFonts w:ascii="StobiSerifPro" w:hAnsi="StobiSerifPro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StobiSerifPro" w:hAnsi="StobiSerifPro"/>
                <w:sz w:val="20"/>
                <w:szCs w:val="20"/>
                <w:lang w:val="en-US"/>
              </w:rPr>
              <w:fldChar w:fldCharType="end"/>
            </w:r>
            <w:bookmarkEnd w:id="7"/>
            <w:r w:rsidRPr="00EF65EE">
              <w:rPr>
                <w:rFonts w:ascii="StobiSerifPro" w:hAnsi="StobiSerifPro"/>
                <w:sz w:val="20"/>
                <w:szCs w:val="20"/>
              </w:rPr>
              <w:t>Не</w:t>
            </w:r>
          </w:p>
        </w:tc>
      </w:tr>
      <w:tr w:rsidR="004C4C95" w:rsidRPr="00EF65EE" w:rsidTr="006C6CF3">
        <w:trPr>
          <w:trHeight w:val="551"/>
        </w:trPr>
        <w:tc>
          <w:tcPr>
            <w:tcW w:w="3105" w:type="dxa"/>
            <w:shd w:val="clear" w:color="auto" w:fill="FBD4B4"/>
          </w:tcPr>
          <w:p w:rsidR="004C4C95" w:rsidRPr="00EF65EE" w:rsidRDefault="004C4C95" w:rsidP="006C6CF3">
            <w:pPr>
              <w:jc w:val="center"/>
              <w:rPr>
                <w:rFonts w:ascii="StobiSerifPro" w:hAnsi="StobiSerifPro"/>
                <w:sz w:val="20"/>
                <w:szCs w:val="20"/>
                <w:lang w:val="mk-MK"/>
              </w:rPr>
            </w:pPr>
            <w:r w:rsidRPr="00EF65EE">
              <w:rPr>
                <w:rFonts w:ascii="StobiSerifPro" w:hAnsi="StobiSerifPro"/>
                <w:sz w:val="20"/>
                <w:szCs w:val="20"/>
                <w:lang w:val="mk-MK"/>
              </w:rPr>
              <w:t>Датум на објавување на нацрт Извештајот на ЕНЕР:</w:t>
            </w:r>
          </w:p>
        </w:tc>
        <w:tc>
          <w:tcPr>
            <w:tcW w:w="6926" w:type="dxa"/>
          </w:tcPr>
          <w:p w:rsidR="004C4C95" w:rsidRPr="00CA5E39" w:rsidRDefault="004C1DD6" w:rsidP="006C6CF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17.10</w:t>
            </w:r>
            <w:r w:rsidR="0098266C">
              <w:rPr>
                <w:rFonts w:ascii="StobiSerif Regular" w:hAnsi="StobiSerif Regular"/>
                <w:sz w:val="20"/>
                <w:szCs w:val="20"/>
                <w:lang w:val="mk-MK"/>
              </w:rPr>
              <w:t>.2022</w:t>
            </w:r>
          </w:p>
          <w:p w:rsidR="004C4C95" w:rsidRPr="00CA5E39" w:rsidRDefault="004C4C95" w:rsidP="006C6CF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4C4C95" w:rsidRPr="00EF65EE" w:rsidTr="006C6CF3">
        <w:trPr>
          <w:trHeight w:val="691"/>
        </w:trPr>
        <w:tc>
          <w:tcPr>
            <w:tcW w:w="3105" w:type="dxa"/>
            <w:shd w:val="clear" w:color="auto" w:fill="FBD4B4"/>
          </w:tcPr>
          <w:p w:rsidR="004C4C95" w:rsidRPr="00EF65EE" w:rsidRDefault="004C4C95" w:rsidP="006C6CF3">
            <w:pPr>
              <w:jc w:val="center"/>
              <w:rPr>
                <w:rFonts w:ascii="StobiSerifPro" w:hAnsi="StobiSerifPro"/>
                <w:sz w:val="20"/>
                <w:szCs w:val="20"/>
                <w:lang w:val="mk-MK"/>
              </w:rPr>
            </w:pPr>
            <w:r w:rsidRPr="00EF65EE">
              <w:rPr>
                <w:rFonts w:ascii="StobiSerifPro" w:hAnsi="StobiSerifPro"/>
                <w:sz w:val="20"/>
                <w:szCs w:val="20"/>
                <w:lang w:val="mk-MK"/>
              </w:rPr>
              <w:t xml:space="preserve">Датум на доставување на нацрт Извештајот до </w:t>
            </w:r>
            <w:r w:rsidRPr="00EF65EE">
              <w:rPr>
                <w:rFonts w:ascii="StobiSerifPro" w:hAnsi="StobiSerifPro"/>
                <w:sz w:val="20"/>
                <w:szCs w:val="20"/>
                <w:lang w:val="ru-RU"/>
              </w:rPr>
              <w:t>Министерството за информатичко општество и администрација</w:t>
            </w:r>
            <w:r w:rsidRPr="00EF65EE">
              <w:rPr>
                <w:rFonts w:ascii="StobiSerifPro" w:hAnsi="StobiSerifPro"/>
                <w:sz w:val="20"/>
                <w:szCs w:val="20"/>
                <w:lang w:val="mk-MK"/>
              </w:rPr>
              <w:t>:</w:t>
            </w:r>
          </w:p>
        </w:tc>
        <w:tc>
          <w:tcPr>
            <w:tcW w:w="6926" w:type="dxa"/>
          </w:tcPr>
          <w:p w:rsidR="004C4C95" w:rsidRPr="006011BC" w:rsidRDefault="00AC6E80" w:rsidP="006C6CF3">
            <w:pPr>
              <w:rPr>
                <w:rFonts w:ascii="StobiSerif Regular" w:hAnsi="StobiSerif Regular"/>
                <w:color w:val="FF0000"/>
                <w:sz w:val="20"/>
                <w:szCs w:val="20"/>
                <w:lang w:val="mk-MK"/>
              </w:rPr>
            </w:pPr>
            <w:r w:rsidRPr="00AC6E80">
              <w:rPr>
                <w:rFonts w:ascii="StobiSerif Regular" w:hAnsi="StobiSerif Regular"/>
                <w:sz w:val="20"/>
                <w:szCs w:val="20"/>
                <w:lang w:val="mk-MK"/>
              </w:rPr>
              <w:t>07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.04.2023</w:t>
            </w:r>
          </w:p>
        </w:tc>
      </w:tr>
      <w:tr w:rsidR="004C4C95" w:rsidRPr="00EF65EE" w:rsidTr="006C6CF3">
        <w:trPr>
          <w:trHeight w:val="622"/>
        </w:trPr>
        <w:tc>
          <w:tcPr>
            <w:tcW w:w="3105" w:type="dxa"/>
            <w:shd w:val="clear" w:color="auto" w:fill="FBD4B4"/>
          </w:tcPr>
          <w:p w:rsidR="004C4C95" w:rsidRPr="00EF65EE" w:rsidRDefault="004C4C95" w:rsidP="006C6CF3">
            <w:pPr>
              <w:jc w:val="center"/>
              <w:rPr>
                <w:rFonts w:ascii="StobiSerifPro" w:hAnsi="StobiSerifPro"/>
                <w:sz w:val="20"/>
                <w:szCs w:val="20"/>
                <w:lang w:val="mk-MK"/>
              </w:rPr>
            </w:pPr>
            <w:r w:rsidRPr="00EF65EE">
              <w:rPr>
                <w:rFonts w:ascii="StobiSerifPro" w:hAnsi="StobiSerifPro"/>
                <w:sz w:val="20"/>
                <w:szCs w:val="20"/>
                <w:lang w:val="mk-MK"/>
              </w:rPr>
              <w:t xml:space="preserve">Датум на добивање на мислењето од </w:t>
            </w:r>
            <w:r w:rsidRPr="00EF65EE">
              <w:rPr>
                <w:rFonts w:ascii="StobiSerifPro" w:hAnsi="StobiSerifPro"/>
                <w:sz w:val="20"/>
                <w:szCs w:val="20"/>
                <w:lang w:val="ru-RU"/>
              </w:rPr>
              <w:t>Министерството за информатичко општество и администрација</w:t>
            </w:r>
            <w:r w:rsidRPr="00EF65EE">
              <w:rPr>
                <w:rFonts w:ascii="StobiSerifPro" w:hAnsi="StobiSerifPro"/>
                <w:sz w:val="20"/>
                <w:szCs w:val="20"/>
                <w:lang w:val="mk-MK"/>
              </w:rPr>
              <w:t>:</w:t>
            </w:r>
          </w:p>
        </w:tc>
        <w:tc>
          <w:tcPr>
            <w:tcW w:w="6926" w:type="dxa"/>
          </w:tcPr>
          <w:p w:rsidR="004C4C95" w:rsidRPr="00CA5E39" w:rsidRDefault="004C4C95" w:rsidP="006C6CF3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</w:p>
        </w:tc>
      </w:tr>
      <w:tr w:rsidR="004C4C95" w:rsidRPr="00EF65EE" w:rsidTr="006C6CF3">
        <w:trPr>
          <w:trHeight w:val="790"/>
        </w:trPr>
        <w:tc>
          <w:tcPr>
            <w:tcW w:w="3105" w:type="dxa"/>
            <w:shd w:val="clear" w:color="auto" w:fill="FBD4B4"/>
          </w:tcPr>
          <w:p w:rsidR="004C4C95" w:rsidRPr="00EF65EE" w:rsidRDefault="004C4C95" w:rsidP="006C6CF3">
            <w:pPr>
              <w:jc w:val="center"/>
              <w:rPr>
                <w:rFonts w:ascii="StobiSerifPro" w:hAnsi="StobiSerifPro"/>
                <w:sz w:val="20"/>
                <w:szCs w:val="20"/>
                <w:highlight w:val="yellow"/>
                <w:lang w:val="mk-MK"/>
              </w:rPr>
            </w:pPr>
            <w:r w:rsidRPr="00EF65EE">
              <w:rPr>
                <w:rFonts w:ascii="StobiSerifPro" w:hAnsi="StobiSerifPro"/>
                <w:sz w:val="20"/>
                <w:szCs w:val="20"/>
                <w:lang w:val="mk-MK"/>
              </w:rPr>
              <w:t>Рок за доставување на предлогот на закон до Генералниот секретаријат</w:t>
            </w:r>
          </w:p>
        </w:tc>
        <w:tc>
          <w:tcPr>
            <w:tcW w:w="6926" w:type="dxa"/>
          </w:tcPr>
          <w:p w:rsidR="004C4C95" w:rsidRPr="006011BC" w:rsidRDefault="004C4C95" w:rsidP="006C6CF3">
            <w:pPr>
              <w:rPr>
                <w:rFonts w:ascii="StobiSerifPro" w:hAnsi="StobiSerifPro"/>
                <w:color w:val="FF0000"/>
                <w:sz w:val="20"/>
                <w:szCs w:val="20"/>
                <w:lang w:val="mk-MK"/>
              </w:rPr>
            </w:pPr>
          </w:p>
        </w:tc>
      </w:tr>
    </w:tbl>
    <w:p w:rsidR="004C4C95" w:rsidRDefault="004C4C95" w:rsidP="004C4C95">
      <w:pPr>
        <w:spacing w:line="276" w:lineRule="auto"/>
        <w:jc w:val="both"/>
        <w:rPr>
          <w:rFonts w:ascii="StobiSerifPro" w:hAnsi="StobiSerifPro"/>
          <w:i/>
          <w:sz w:val="20"/>
          <w:szCs w:val="20"/>
          <w:lang w:val="ru-RU"/>
        </w:rPr>
      </w:pPr>
    </w:p>
    <w:p w:rsidR="004C4C95" w:rsidRDefault="004C4C95" w:rsidP="004C4C95">
      <w:pPr>
        <w:spacing w:line="276" w:lineRule="auto"/>
        <w:jc w:val="both"/>
        <w:rPr>
          <w:rFonts w:ascii="StobiSerifPro" w:hAnsi="StobiSerifPro"/>
          <w:i/>
          <w:sz w:val="20"/>
          <w:szCs w:val="20"/>
          <w:lang w:val="ru-RU"/>
        </w:rPr>
      </w:pPr>
    </w:p>
    <w:p w:rsidR="004C4C95" w:rsidRPr="00EF65EE" w:rsidRDefault="004C4C95" w:rsidP="004C4C95">
      <w:pPr>
        <w:spacing w:line="276" w:lineRule="auto"/>
        <w:jc w:val="both"/>
        <w:rPr>
          <w:rFonts w:ascii="StobiSerifPro" w:hAnsi="StobiSerifPro"/>
          <w:i/>
          <w:sz w:val="20"/>
          <w:szCs w:val="20"/>
          <w:lang w:val="en-US"/>
        </w:rPr>
      </w:pPr>
      <w:r>
        <w:rPr>
          <w:rFonts w:ascii="StobiSerifPro" w:hAnsi="StobiSerifPro"/>
          <w:i/>
          <w:sz w:val="20"/>
          <w:szCs w:val="20"/>
          <w:lang w:val="ru-RU"/>
        </w:rPr>
        <w:br w:type="page"/>
      </w:r>
    </w:p>
    <w:p w:rsidR="004C4C95" w:rsidRPr="00035998" w:rsidRDefault="004C4C95" w:rsidP="004C4C95">
      <w:pPr>
        <w:shd w:val="clear" w:color="auto" w:fill="FBD4B4"/>
        <w:tabs>
          <w:tab w:val="left" w:pos="675"/>
        </w:tabs>
        <w:rPr>
          <w:rFonts w:ascii="StobiSerifPro" w:hAnsi="StobiSerifPro" w:cs="Calibri"/>
          <w:b/>
          <w:sz w:val="20"/>
          <w:szCs w:val="20"/>
          <w:lang w:val="mk-MK"/>
        </w:rPr>
      </w:pPr>
      <w:r>
        <w:rPr>
          <w:rFonts w:ascii="StobiSerifPro" w:hAnsi="StobiSerifPro"/>
          <w:b/>
          <w:sz w:val="20"/>
          <w:szCs w:val="20"/>
          <w:lang w:val="en-US"/>
        </w:rPr>
        <w:lastRenderedPageBreak/>
        <w:t>1</w:t>
      </w:r>
      <w:r w:rsidRPr="003E0EF9">
        <w:rPr>
          <w:rFonts w:ascii="StobiSerifPro" w:hAnsi="StobiSerifPro"/>
          <w:b/>
          <w:sz w:val="20"/>
          <w:szCs w:val="20"/>
          <w:lang w:val="mk-MK"/>
        </w:rPr>
        <w:t xml:space="preserve">. </w:t>
      </w:r>
      <w:r w:rsidRPr="003E0EF9">
        <w:rPr>
          <w:rFonts w:ascii="StobiSerifPro" w:hAnsi="StobiSerifPro"/>
          <w:b/>
          <w:sz w:val="20"/>
          <w:szCs w:val="20"/>
          <w:lang w:val="mk-MK"/>
        </w:rPr>
        <w:tab/>
      </w:r>
      <w:r w:rsidRPr="00035998">
        <w:rPr>
          <w:rFonts w:ascii="StobiSerifPro" w:hAnsi="StobiSerifPro"/>
          <w:b/>
          <w:sz w:val="20"/>
          <w:szCs w:val="20"/>
          <w:lang w:val="mk-MK"/>
        </w:rPr>
        <w:t>Опис на состојбите во областа и дефинирање на проблемот</w:t>
      </w:r>
    </w:p>
    <w:p w:rsidR="004C4C95" w:rsidRPr="00035998" w:rsidRDefault="004C4C95" w:rsidP="004C4C95">
      <w:pPr>
        <w:jc w:val="both"/>
        <w:rPr>
          <w:rFonts w:ascii="StobiSerifPro" w:hAnsi="StobiSerifPro"/>
          <w:sz w:val="20"/>
          <w:szCs w:val="20"/>
          <w:lang w:val="en-US"/>
        </w:rPr>
      </w:pPr>
    </w:p>
    <w:p w:rsidR="004C4C95" w:rsidRPr="00035998" w:rsidRDefault="004C4C95" w:rsidP="004C4C95">
      <w:pPr>
        <w:spacing w:line="276" w:lineRule="auto"/>
        <w:ind w:firstLine="720"/>
        <w:jc w:val="both"/>
        <w:rPr>
          <w:rFonts w:ascii="StobiSerifPro" w:eastAsia="Calibri" w:hAnsi="StobiSerifPro" w:cs="Calibri"/>
          <w:iCs/>
          <w:sz w:val="20"/>
          <w:szCs w:val="20"/>
          <w:lang w:val="mk-MK"/>
        </w:rPr>
      </w:pPr>
      <w:r w:rsidRPr="00035998">
        <w:rPr>
          <w:rFonts w:ascii="StobiSerifPro" w:hAnsi="StobiSerifPro"/>
          <w:sz w:val="20"/>
          <w:szCs w:val="20"/>
          <w:lang w:val="mk-MK"/>
        </w:rPr>
        <w:t>1.1</w:t>
      </w:r>
      <w:r w:rsidRPr="00035998">
        <w:rPr>
          <w:rFonts w:ascii="StobiSerifPro" w:hAnsi="StobiSerifPro"/>
          <w:sz w:val="20"/>
          <w:szCs w:val="20"/>
          <w:lang w:val="mk-MK"/>
        </w:rPr>
        <w:tab/>
      </w:r>
      <w:r w:rsidRPr="00035998">
        <w:rPr>
          <w:rFonts w:ascii="StobiSerifPro" w:eastAsia="Calibri" w:hAnsi="StobiSerifPro" w:cs="Calibri"/>
          <w:sz w:val="20"/>
          <w:szCs w:val="20"/>
          <w:lang w:val="mk-MK"/>
        </w:rPr>
        <w:t xml:space="preserve">Опис на состојбите </w:t>
      </w:r>
    </w:p>
    <w:p w:rsidR="004C4C95" w:rsidRDefault="004C4C95" w:rsidP="00AF46B3">
      <w:pPr>
        <w:ind w:firstLine="720"/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635BC2">
        <w:rPr>
          <w:rFonts w:ascii="StobiSerif Regular" w:hAnsi="StobiSerif Regular" w:cs="Arial"/>
          <w:sz w:val="20"/>
          <w:szCs w:val="20"/>
          <w:lang w:val="mk-MK"/>
        </w:rPr>
        <w:t>Со Законот за превоз во патниот сообраќај се регулирани односите во областа на превозот на патници и стока во патниот сообраќај, како и начинот и условите за вршење на одделни видови на превоз во внатрешниот и меѓународниот патен сообраќај.</w:t>
      </w:r>
    </w:p>
    <w:p w:rsidR="004C1DD6" w:rsidRPr="00E249D3" w:rsidRDefault="004C1DD6" w:rsidP="004C1DD6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E249D3">
        <w:rPr>
          <w:rFonts w:ascii="StobiSerif Regular" w:hAnsi="StobiSerif Regular"/>
          <w:sz w:val="20"/>
          <w:szCs w:val="20"/>
          <w:lang w:val="mk-MK"/>
        </w:rPr>
        <w:t>Имено, Законот за превоз во патниот сообраќај донесен во 2004 година, беше изменет 26 пати во текот на годините до сега и од таа причина неговата примена и следење е значително отежната.</w:t>
      </w:r>
    </w:p>
    <w:p w:rsidR="004C1DD6" w:rsidRPr="00E249D3" w:rsidRDefault="004C1DD6" w:rsidP="004C1DD6">
      <w:pPr>
        <w:ind w:firstLine="720"/>
        <w:jc w:val="both"/>
        <w:rPr>
          <w:rFonts w:ascii="StobiSerif Regular" w:hAnsi="StobiSerif Regular"/>
          <w:sz w:val="20"/>
          <w:szCs w:val="20"/>
        </w:rPr>
      </w:pPr>
      <w:r w:rsidRPr="00E249D3">
        <w:rPr>
          <w:rFonts w:ascii="StobiSerif Regular" w:hAnsi="StobiSerif Regular"/>
          <w:sz w:val="20"/>
          <w:szCs w:val="20"/>
          <w:lang w:val="mk-MK"/>
        </w:rPr>
        <w:t xml:space="preserve">Потребата за донесување на нов закон произлезе и од заложбата за постигнување на повисок квалитет </w:t>
      </w:r>
      <w:proofErr w:type="spellStart"/>
      <w:r w:rsidRPr="00E249D3">
        <w:rPr>
          <w:rFonts w:ascii="StobiSerif Regular" w:hAnsi="StobiSerif Regular"/>
          <w:sz w:val="20"/>
          <w:szCs w:val="20"/>
        </w:rPr>
        <w:t>на</w:t>
      </w:r>
      <w:proofErr w:type="spellEnd"/>
      <w:r w:rsidRPr="00E249D3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E249D3">
        <w:rPr>
          <w:rFonts w:ascii="StobiSerif Regular" w:hAnsi="StobiSerif Regular"/>
          <w:sz w:val="20"/>
          <w:szCs w:val="20"/>
        </w:rPr>
        <w:t>патниот</w:t>
      </w:r>
      <w:proofErr w:type="spellEnd"/>
      <w:r w:rsidRPr="00E249D3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E249D3">
        <w:rPr>
          <w:rFonts w:ascii="StobiSerif Regular" w:hAnsi="StobiSerif Regular"/>
          <w:sz w:val="20"/>
          <w:szCs w:val="20"/>
        </w:rPr>
        <w:t>превоз</w:t>
      </w:r>
      <w:proofErr w:type="spellEnd"/>
      <w:r w:rsidRPr="00E249D3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E249D3">
        <w:rPr>
          <w:rFonts w:ascii="StobiSerif Regular" w:hAnsi="StobiSerif Regular"/>
          <w:sz w:val="20"/>
          <w:szCs w:val="20"/>
        </w:rPr>
        <w:t>на</w:t>
      </w:r>
      <w:proofErr w:type="spellEnd"/>
      <w:r w:rsidRPr="00E249D3">
        <w:rPr>
          <w:rFonts w:ascii="StobiSerif Regular" w:hAnsi="StobiSerif Regular"/>
          <w:sz w:val="20"/>
          <w:szCs w:val="20"/>
        </w:rPr>
        <w:t xml:space="preserve"> </w:t>
      </w:r>
      <w:r w:rsidRPr="00E249D3">
        <w:rPr>
          <w:rFonts w:ascii="StobiSerif Regular" w:hAnsi="StobiSerif Regular"/>
          <w:sz w:val="20"/>
          <w:szCs w:val="20"/>
          <w:lang w:val="mk-MK"/>
        </w:rPr>
        <w:t>патници и стоки во внатрешниот и меѓународниот патен сообраќај</w:t>
      </w:r>
      <w:r w:rsidRPr="00E249D3">
        <w:rPr>
          <w:rFonts w:ascii="StobiSerif Regular" w:hAnsi="StobiSerif Regular"/>
          <w:sz w:val="20"/>
          <w:szCs w:val="20"/>
        </w:rPr>
        <w:t>.</w:t>
      </w:r>
    </w:p>
    <w:p w:rsidR="00E249D3" w:rsidRPr="00E249D3" w:rsidRDefault="00E249D3" w:rsidP="00E249D3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E249D3">
        <w:rPr>
          <w:rFonts w:ascii="StobiSerif Regular" w:hAnsi="StobiSerif Regular"/>
          <w:sz w:val="20"/>
          <w:szCs w:val="20"/>
          <w:lang w:val="ru-RU"/>
        </w:rPr>
        <w:t>Приближувањето на националното законодавство со законодавството на Европската Унија во</w:t>
      </w:r>
      <w:r w:rsidRPr="00E249D3">
        <w:rPr>
          <w:rFonts w:ascii="StobiSerif Regular" w:hAnsi="StobiSerif Regular"/>
          <w:sz w:val="20"/>
          <w:szCs w:val="20"/>
          <w:lang w:val="mk-MK"/>
        </w:rPr>
        <w:t xml:space="preserve"> областа на патниот транспорт</w:t>
      </w:r>
      <w:r w:rsidRPr="00E249D3">
        <w:rPr>
          <w:rFonts w:ascii="StobiSerif Regular" w:hAnsi="StobiSerif Regular"/>
          <w:sz w:val="20"/>
          <w:szCs w:val="20"/>
          <w:lang w:val="ru-RU"/>
        </w:rPr>
        <w:t xml:space="preserve"> е </w:t>
      </w:r>
      <w:r w:rsidRPr="00E249D3">
        <w:rPr>
          <w:rFonts w:ascii="StobiSerif Regular" w:hAnsi="StobiSerif Regular"/>
          <w:sz w:val="20"/>
          <w:szCs w:val="20"/>
          <w:lang w:val="mk-MK"/>
        </w:rPr>
        <w:t>во голема мерка постигнато.</w:t>
      </w:r>
    </w:p>
    <w:p w:rsidR="00E249D3" w:rsidRPr="00E249D3" w:rsidRDefault="00E249D3" w:rsidP="00E249D3">
      <w:pPr>
        <w:jc w:val="both"/>
        <w:rPr>
          <w:rFonts w:ascii="StobiSerif Regular" w:hAnsi="StobiSerif Regular"/>
          <w:sz w:val="20"/>
          <w:szCs w:val="20"/>
          <w:lang w:val="ru-RU"/>
        </w:rPr>
      </w:pPr>
      <w:r w:rsidRPr="00E249D3">
        <w:rPr>
          <w:rFonts w:ascii="StobiSerif Regular" w:hAnsi="StobiSerif Regular"/>
          <w:sz w:val="20"/>
          <w:szCs w:val="20"/>
          <w:lang w:val="ru-RU"/>
        </w:rPr>
        <w:tab/>
        <w:t>Во Законот се имплементирани повеќе директиви и регулативи на Советот на Европската Унија и тоа: Регулатива 1071/09, Регулатива 1072/09, Регулатива 1073/09 Директива 2014/45, Директива 2003/59 и Регулатива 2016/403.</w:t>
      </w:r>
    </w:p>
    <w:p w:rsidR="004C1DD6" w:rsidRDefault="004C1DD6" w:rsidP="00E249D3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4C1DD6" w:rsidRPr="00635BC2" w:rsidRDefault="004C1DD6" w:rsidP="004C4C95">
      <w:pPr>
        <w:ind w:firstLine="360"/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4C4C95" w:rsidRPr="00035998" w:rsidRDefault="004C4C95" w:rsidP="004C4C95">
      <w:pPr>
        <w:spacing w:line="276" w:lineRule="auto"/>
        <w:ind w:firstLine="720"/>
        <w:jc w:val="both"/>
        <w:rPr>
          <w:rFonts w:ascii="StobiSerifPro" w:eastAsia="Calibri" w:hAnsi="StobiSerifPro" w:cs="Calibri"/>
          <w:sz w:val="20"/>
          <w:szCs w:val="20"/>
          <w:lang w:val="mk-MK"/>
        </w:rPr>
      </w:pPr>
      <w:r w:rsidRPr="00035998">
        <w:rPr>
          <w:rFonts w:ascii="StobiSerifPro" w:hAnsi="StobiSerifPro"/>
          <w:sz w:val="20"/>
          <w:szCs w:val="20"/>
          <w:lang w:val="mk-MK"/>
        </w:rPr>
        <w:t>1.2</w:t>
      </w:r>
      <w:r w:rsidRPr="00035998">
        <w:rPr>
          <w:rFonts w:ascii="StobiSerifPro" w:hAnsi="StobiSerifPro"/>
          <w:sz w:val="20"/>
          <w:szCs w:val="20"/>
          <w:lang w:val="mk-MK"/>
        </w:rPr>
        <w:tab/>
      </w:r>
      <w:r w:rsidRPr="00035998">
        <w:rPr>
          <w:rFonts w:ascii="StobiSerifPro" w:eastAsia="Calibri" w:hAnsi="StobiSerifPro" w:cs="Calibri"/>
          <w:sz w:val="20"/>
          <w:szCs w:val="20"/>
          <w:lang w:val="mk-MK"/>
        </w:rPr>
        <w:t xml:space="preserve">Причини за проблемите кои се предмет на разгледување </w:t>
      </w:r>
    </w:p>
    <w:p w:rsidR="004C4C95" w:rsidRDefault="004C4C95" w:rsidP="004C4C95">
      <w:pPr>
        <w:jc w:val="both"/>
        <w:rPr>
          <w:rFonts w:ascii="StobiSerifPro" w:hAnsi="StobiSerifPro"/>
          <w:sz w:val="20"/>
          <w:szCs w:val="20"/>
          <w:lang w:val="mk-MK"/>
        </w:rPr>
      </w:pPr>
      <w:r w:rsidRPr="00035998">
        <w:rPr>
          <w:rFonts w:ascii="StobiSerifPro" w:hAnsi="StobiSerifPro"/>
          <w:sz w:val="20"/>
          <w:szCs w:val="20"/>
          <w:lang w:val="mk-MK"/>
        </w:rPr>
        <w:tab/>
      </w:r>
    </w:p>
    <w:p w:rsidR="004C4C95" w:rsidRPr="00635BC2" w:rsidRDefault="004C4C95" w:rsidP="00E249D3">
      <w:pPr>
        <w:ind w:firstLine="720"/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>О</w:t>
      </w:r>
      <w:r w:rsidRPr="00635BC2">
        <w:rPr>
          <w:rFonts w:ascii="StobiSerif Regular" w:hAnsi="StobiSerif Regular" w:cs="Arial"/>
          <w:sz w:val="20"/>
          <w:szCs w:val="20"/>
          <w:lang w:val="mk-MK"/>
        </w:rPr>
        <w:t>дделни одредби од постојниот закон се недоволно усогласени едни со други,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 поради што</w:t>
      </w:r>
      <w:r w:rsidRPr="00635BC2">
        <w:rPr>
          <w:rFonts w:ascii="StobiSerif Regular" w:hAnsi="StobiSerif Regular" w:cs="Arial"/>
          <w:sz w:val="20"/>
          <w:szCs w:val="20"/>
          <w:lang w:val="mk-MK"/>
        </w:rPr>
        <w:t xml:space="preserve"> се создаваат одредени потешкотии во нивната примена, па се налага потреба од нивно дорегулирање како и допрецизирање, што ќе допринесе за полесна примена на истите.</w:t>
      </w:r>
    </w:p>
    <w:p w:rsidR="004C4C95" w:rsidRDefault="004C4C95" w:rsidP="004C4C95">
      <w:pPr>
        <w:spacing w:line="276" w:lineRule="auto"/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4C4C95" w:rsidRDefault="004C4C95" w:rsidP="004C4C95">
      <w:pPr>
        <w:jc w:val="both"/>
        <w:rPr>
          <w:rFonts w:ascii="StobiSerifPro" w:hAnsi="StobiSerifPro"/>
          <w:sz w:val="20"/>
          <w:szCs w:val="20"/>
          <w:lang w:val="ru-RU"/>
        </w:rPr>
      </w:pPr>
    </w:p>
    <w:p w:rsidR="004C4C95" w:rsidRPr="00035998" w:rsidRDefault="004C4C95" w:rsidP="004C4C95">
      <w:pPr>
        <w:shd w:val="clear" w:color="auto" w:fill="FBD4B4"/>
        <w:tabs>
          <w:tab w:val="left" w:pos="675"/>
        </w:tabs>
        <w:rPr>
          <w:rFonts w:ascii="StobiSerifPro" w:hAnsi="StobiSerifPro" w:cs="Calibri"/>
          <w:b/>
          <w:sz w:val="20"/>
          <w:szCs w:val="20"/>
          <w:lang w:val="mk-MK"/>
        </w:rPr>
      </w:pPr>
      <w:r w:rsidRPr="00035998">
        <w:rPr>
          <w:rFonts w:ascii="StobiSerifPro" w:hAnsi="StobiSerifPro"/>
          <w:b/>
          <w:sz w:val="20"/>
          <w:szCs w:val="20"/>
          <w:lang w:val="mk-MK"/>
        </w:rPr>
        <w:t xml:space="preserve">2. </w:t>
      </w:r>
      <w:r w:rsidRPr="00035998">
        <w:rPr>
          <w:rFonts w:ascii="StobiSerifPro" w:hAnsi="StobiSerifPro"/>
          <w:b/>
          <w:sz w:val="20"/>
          <w:szCs w:val="20"/>
          <w:lang w:val="mk-MK"/>
        </w:rPr>
        <w:tab/>
        <w:t>Цели на предлог регулативата</w:t>
      </w:r>
    </w:p>
    <w:p w:rsidR="004C4C95" w:rsidRDefault="004C4C95" w:rsidP="004C4C95">
      <w:pPr>
        <w:jc w:val="both"/>
        <w:rPr>
          <w:rFonts w:ascii="StobiSerifPro" w:hAnsi="StobiSerifPro"/>
          <w:sz w:val="20"/>
          <w:szCs w:val="20"/>
          <w:lang w:val="ru-RU"/>
        </w:rPr>
      </w:pPr>
    </w:p>
    <w:p w:rsidR="00E249D3" w:rsidRPr="00E249D3" w:rsidRDefault="00E249D3" w:rsidP="00E249D3">
      <w:pPr>
        <w:ind w:firstLine="720"/>
        <w:jc w:val="both"/>
        <w:rPr>
          <w:rFonts w:ascii="StobiSerif Regular" w:hAnsi="StobiSerif Regular"/>
          <w:sz w:val="20"/>
          <w:szCs w:val="20"/>
        </w:rPr>
      </w:pPr>
      <w:r w:rsidRPr="00E249D3">
        <w:rPr>
          <w:rFonts w:ascii="StobiSerif Regular" w:hAnsi="StobiSerif Regular"/>
          <w:sz w:val="20"/>
          <w:szCs w:val="20"/>
          <w:lang w:val="mk-MK"/>
        </w:rPr>
        <w:t xml:space="preserve">Потребата за донесување на нов закон произлезе од заложбата за постигнување на повисок квалитет </w:t>
      </w:r>
      <w:proofErr w:type="spellStart"/>
      <w:r w:rsidRPr="00E249D3">
        <w:rPr>
          <w:rFonts w:ascii="StobiSerif Regular" w:hAnsi="StobiSerif Regular"/>
          <w:sz w:val="20"/>
          <w:szCs w:val="20"/>
        </w:rPr>
        <w:t>на</w:t>
      </w:r>
      <w:proofErr w:type="spellEnd"/>
      <w:r w:rsidRPr="00E249D3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E249D3">
        <w:rPr>
          <w:rFonts w:ascii="StobiSerif Regular" w:hAnsi="StobiSerif Regular"/>
          <w:sz w:val="20"/>
          <w:szCs w:val="20"/>
        </w:rPr>
        <w:t>патниот</w:t>
      </w:r>
      <w:proofErr w:type="spellEnd"/>
      <w:r w:rsidRPr="00E249D3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E249D3">
        <w:rPr>
          <w:rFonts w:ascii="StobiSerif Regular" w:hAnsi="StobiSerif Regular"/>
          <w:sz w:val="20"/>
          <w:szCs w:val="20"/>
        </w:rPr>
        <w:t>превоз</w:t>
      </w:r>
      <w:proofErr w:type="spellEnd"/>
      <w:r w:rsidRPr="00E249D3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E249D3">
        <w:rPr>
          <w:rFonts w:ascii="StobiSerif Regular" w:hAnsi="StobiSerif Regular"/>
          <w:sz w:val="20"/>
          <w:szCs w:val="20"/>
        </w:rPr>
        <w:t>на</w:t>
      </w:r>
      <w:proofErr w:type="spellEnd"/>
      <w:r w:rsidRPr="00E249D3">
        <w:rPr>
          <w:rFonts w:ascii="StobiSerif Regular" w:hAnsi="StobiSerif Regular"/>
          <w:sz w:val="20"/>
          <w:szCs w:val="20"/>
        </w:rPr>
        <w:t xml:space="preserve"> </w:t>
      </w:r>
      <w:r w:rsidRPr="00E249D3">
        <w:rPr>
          <w:rFonts w:ascii="StobiSerif Regular" w:hAnsi="StobiSerif Regular"/>
          <w:sz w:val="20"/>
          <w:szCs w:val="20"/>
          <w:lang w:val="mk-MK"/>
        </w:rPr>
        <w:t>патници и стоки во внатрешниот и меѓународниот патен сообраќај</w:t>
      </w:r>
      <w:r w:rsidRPr="00E249D3">
        <w:rPr>
          <w:rFonts w:ascii="StobiSerif Regular" w:hAnsi="StobiSerif Regular"/>
          <w:sz w:val="20"/>
          <w:szCs w:val="20"/>
        </w:rPr>
        <w:t>.</w:t>
      </w:r>
    </w:p>
    <w:p w:rsidR="004C4C95" w:rsidRPr="00035998" w:rsidRDefault="004C4C95" w:rsidP="004C4C95">
      <w:pPr>
        <w:tabs>
          <w:tab w:val="left" w:pos="675"/>
        </w:tabs>
        <w:rPr>
          <w:rFonts w:ascii="StobiSerifPro" w:hAnsi="StobiSerifPro"/>
          <w:sz w:val="20"/>
          <w:szCs w:val="20"/>
          <w:lang w:val="mk-MK"/>
        </w:rPr>
      </w:pPr>
    </w:p>
    <w:p w:rsidR="004C4C95" w:rsidRPr="00035998" w:rsidRDefault="004C4C95" w:rsidP="004C4C95">
      <w:pPr>
        <w:shd w:val="clear" w:color="auto" w:fill="FBD4B4"/>
        <w:tabs>
          <w:tab w:val="left" w:pos="675"/>
        </w:tabs>
        <w:rPr>
          <w:rFonts w:ascii="StobiSerifPro" w:hAnsi="StobiSerifPro"/>
          <w:b/>
          <w:sz w:val="20"/>
          <w:szCs w:val="20"/>
          <w:lang w:val="mk-MK"/>
        </w:rPr>
      </w:pPr>
      <w:r w:rsidRPr="00035998">
        <w:rPr>
          <w:rFonts w:ascii="StobiSerifPro" w:hAnsi="StobiSerifPro"/>
          <w:b/>
          <w:sz w:val="20"/>
          <w:szCs w:val="20"/>
          <w:lang w:val="mk-MK"/>
        </w:rPr>
        <w:t>3.</w:t>
      </w:r>
      <w:r w:rsidRPr="00035998">
        <w:rPr>
          <w:rFonts w:ascii="StobiSerifPro" w:hAnsi="StobiSerifPro"/>
          <w:b/>
          <w:sz w:val="20"/>
          <w:szCs w:val="20"/>
          <w:lang w:val="mk-MK"/>
        </w:rPr>
        <w:tab/>
        <w:t>Можни решенија (опции)</w:t>
      </w:r>
    </w:p>
    <w:p w:rsidR="004C4C95" w:rsidRPr="00035998" w:rsidRDefault="004C4C95" w:rsidP="004C4C95">
      <w:pPr>
        <w:spacing w:line="276" w:lineRule="auto"/>
        <w:jc w:val="both"/>
        <w:rPr>
          <w:rFonts w:ascii="StobiSerifPro" w:hAnsi="StobiSerifPro"/>
          <w:sz w:val="20"/>
          <w:szCs w:val="20"/>
          <w:lang w:val="ru-RU"/>
        </w:rPr>
      </w:pPr>
    </w:p>
    <w:p w:rsidR="004C4C95" w:rsidRPr="00035998" w:rsidRDefault="004C4C95" w:rsidP="004C4C95">
      <w:pPr>
        <w:spacing w:line="276" w:lineRule="auto"/>
        <w:ind w:firstLine="720"/>
        <w:jc w:val="both"/>
        <w:rPr>
          <w:rFonts w:ascii="StobiSerifPro" w:hAnsi="StobiSerifPro" w:cs="Calibri"/>
          <w:sz w:val="20"/>
          <w:szCs w:val="20"/>
          <w:lang w:val="mk-MK"/>
        </w:rPr>
      </w:pPr>
      <w:r w:rsidRPr="00035998">
        <w:rPr>
          <w:rFonts w:ascii="StobiSerifPro" w:hAnsi="StobiSerifPro"/>
          <w:sz w:val="20"/>
          <w:szCs w:val="20"/>
          <w:lang w:val="mk-MK"/>
        </w:rPr>
        <w:t>3.1</w:t>
      </w:r>
      <w:r w:rsidRPr="00035998">
        <w:rPr>
          <w:rFonts w:ascii="StobiSerifPro" w:hAnsi="StobiSerifPro"/>
          <w:sz w:val="20"/>
          <w:szCs w:val="20"/>
          <w:lang w:val="mk-MK"/>
        </w:rPr>
        <w:tab/>
      </w:r>
      <w:r w:rsidRPr="00035998">
        <w:rPr>
          <w:rFonts w:ascii="StobiSerifPro" w:eastAsia="Calibri" w:hAnsi="StobiSerifPro" w:cs="Calibri"/>
          <w:sz w:val="20"/>
          <w:szCs w:val="20"/>
          <w:lang w:val="mk-MK"/>
        </w:rPr>
        <w:t xml:space="preserve">Опис на решението </w:t>
      </w:r>
      <w:r w:rsidRPr="00035998">
        <w:rPr>
          <w:rFonts w:ascii="StobiSerifPro" w:hAnsi="StobiSerifPro" w:cs="Calibri"/>
          <w:sz w:val="20"/>
          <w:szCs w:val="20"/>
          <w:lang w:val="mk-MK"/>
        </w:rPr>
        <w:t>„не прави ништо“</w:t>
      </w:r>
      <w:r w:rsidRPr="00035998">
        <w:rPr>
          <w:rFonts w:ascii="StobiSerifPro" w:eastAsia="Calibri" w:hAnsi="StobiSerifPro" w:cs="Calibri"/>
          <w:sz w:val="20"/>
          <w:szCs w:val="20"/>
          <w:lang w:val="mk-MK"/>
        </w:rPr>
        <w:t xml:space="preserve">  </w:t>
      </w:r>
    </w:p>
    <w:p w:rsidR="004C4C95" w:rsidRPr="002D247A" w:rsidRDefault="004C4C95" w:rsidP="004C4C95">
      <w:pPr>
        <w:spacing w:line="276" w:lineRule="auto"/>
        <w:ind w:firstLine="720"/>
        <w:jc w:val="both"/>
        <w:rPr>
          <w:rFonts w:ascii="StobiSerif Regular" w:hAnsi="StobiSerif Regular" w:cs="Calibri"/>
          <w:sz w:val="20"/>
          <w:szCs w:val="20"/>
          <w:lang w:val="mk-MK"/>
        </w:rPr>
      </w:pPr>
      <w:r w:rsidRPr="002D247A">
        <w:rPr>
          <w:rFonts w:ascii="StobiSerif Regular" w:hAnsi="StobiSerif Regular" w:cs="Calibri"/>
          <w:sz w:val="20"/>
          <w:szCs w:val="20"/>
          <w:lang w:val="mk-MK"/>
        </w:rPr>
        <w:t xml:space="preserve">Опцијата “не прави ништо” се користи како параметар за споредба на трошоците и користите од останатите опции (baseline). </w:t>
      </w:r>
    </w:p>
    <w:p w:rsidR="004C4C95" w:rsidRPr="002D247A" w:rsidRDefault="004C4C95" w:rsidP="004C4C95">
      <w:pPr>
        <w:tabs>
          <w:tab w:val="left" w:pos="675"/>
        </w:tabs>
        <w:spacing w:line="276" w:lineRule="auto"/>
        <w:rPr>
          <w:rFonts w:ascii="StobiSerifPro" w:hAnsi="StobiSerifPro" w:cs="Calibri"/>
          <w:sz w:val="20"/>
          <w:szCs w:val="20"/>
          <w:lang w:val="mk-MK"/>
        </w:rPr>
      </w:pPr>
    </w:p>
    <w:p w:rsidR="004C4C95" w:rsidRDefault="004C4C95" w:rsidP="004C4C95">
      <w:pPr>
        <w:ind w:firstLine="720"/>
        <w:jc w:val="both"/>
        <w:rPr>
          <w:rFonts w:ascii="StobiSerifPro" w:hAnsi="StobiSerifPro"/>
          <w:sz w:val="20"/>
          <w:szCs w:val="20"/>
          <w:lang w:val="mk-MK"/>
        </w:rPr>
      </w:pPr>
      <w:r w:rsidRPr="002D247A">
        <w:rPr>
          <w:rFonts w:ascii="StobiSerifPro" w:hAnsi="StobiSerifPro"/>
          <w:sz w:val="20"/>
          <w:szCs w:val="20"/>
          <w:lang w:val="mk-MK"/>
        </w:rPr>
        <w:t>3.2</w:t>
      </w:r>
      <w:r w:rsidRPr="002D247A">
        <w:rPr>
          <w:rFonts w:ascii="StobiSerifPro" w:hAnsi="StobiSerifPro"/>
          <w:sz w:val="20"/>
          <w:szCs w:val="20"/>
          <w:lang w:val="mk-MK"/>
        </w:rPr>
        <w:tab/>
        <w:t>Опис на можните решенија (опции) за решавање</w:t>
      </w:r>
      <w:r w:rsidRPr="00035998">
        <w:rPr>
          <w:rFonts w:ascii="StobiSerifPro" w:hAnsi="StobiSerifPro"/>
          <w:sz w:val="20"/>
          <w:szCs w:val="20"/>
          <w:lang w:val="mk-MK"/>
        </w:rPr>
        <w:t xml:space="preserve"> на проблемот</w:t>
      </w:r>
    </w:p>
    <w:p w:rsidR="00AF46B3" w:rsidRDefault="00AF46B3" w:rsidP="004C4C95">
      <w:pPr>
        <w:ind w:firstLine="720"/>
        <w:jc w:val="both"/>
        <w:rPr>
          <w:rFonts w:ascii="StobiSerifPro" w:hAnsi="StobiSerifPro"/>
          <w:sz w:val="20"/>
          <w:szCs w:val="20"/>
          <w:lang w:val="mk-MK"/>
        </w:rPr>
      </w:pPr>
    </w:p>
    <w:p w:rsidR="00AF46B3" w:rsidRPr="00035998" w:rsidRDefault="00EE6471" w:rsidP="004C4C95">
      <w:pPr>
        <w:ind w:firstLine="720"/>
        <w:jc w:val="both"/>
        <w:rPr>
          <w:rFonts w:ascii="StobiSerifPro" w:hAnsi="StobiSerifPro"/>
          <w:sz w:val="20"/>
          <w:szCs w:val="20"/>
          <w:lang w:val="mk-MK"/>
        </w:rPr>
      </w:pPr>
      <w:r>
        <w:rPr>
          <w:rFonts w:ascii="StobiSerifPro" w:hAnsi="StobiSerifPro"/>
          <w:sz w:val="20"/>
          <w:szCs w:val="20"/>
          <w:lang w:val="mk-MK"/>
        </w:rPr>
        <w:t>Опција 1: Донесување на Закон за иземнување и дополнување на Законот за превоз во патниот сообраќај</w:t>
      </w:r>
    </w:p>
    <w:p w:rsidR="004C4C95" w:rsidRDefault="004C4C95" w:rsidP="004C4C95">
      <w:pPr>
        <w:tabs>
          <w:tab w:val="left" w:pos="675"/>
        </w:tabs>
        <w:rPr>
          <w:rFonts w:ascii="StobiSerifPro" w:hAnsi="StobiSerifPro"/>
          <w:sz w:val="20"/>
          <w:szCs w:val="20"/>
          <w:lang w:val="mk-MK"/>
        </w:rPr>
      </w:pPr>
    </w:p>
    <w:p w:rsidR="004C4C95" w:rsidRPr="0047147D" w:rsidRDefault="00EE6471" w:rsidP="004C4C9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StobiSerif Regular" w:hAnsi="StobiSerif Regular" w:cs="Tahoma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Опција 2: </w:t>
      </w:r>
      <w:r w:rsidR="004C4C95">
        <w:rPr>
          <w:rFonts w:ascii="StobiSerif Regular" w:hAnsi="StobiSerif Regular"/>
          <w:sz w:val="20"/>
          <w:szCs w:val="20"/>
          <w:lang w:val="mk-MK"/>
        </w:rPr>
        <w:t>Донесување на</w:t>
      </w:r>
      <w:r w:rsidR="004C4C95" w:rsidRPr="002D247A">
        <w:rPr>
          <w:rFonts w:ascii="StobiSerif Regular" w:hAnsi="StobiSerif Regular"/>
          <w:sz w:val="20"/>
          <w:szCs w:val="20"/>
          <w:lang w:val="mk-MK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 xml:space="preserve">нов </w:t>
      </w:r>
      <w:r w:rsidR="004C4C95">
        <w:rPr>
          <w:rFonts w:ascii="StobiSerif Regular" w:hAnsi="StobiSerif Regular"/>
          <w:sz w:val="20"/>
          <w:szCs w:val="20"/>
          <w:lang w:val="mk-MK"/>
        </w:rPr>
        <w:t xml:space="preserve">Закон за превоз во патниот сообраќај </w:t>
      </w:r>
    </w:p>
    <w:p w:rsidR="004C4C95" w:rsidRPr="00035998" w:rsidRDefault="004C4C95" w:rsidP="004C4C95">
      <w:pPr>
        <w:tabs>
          <w:tab w:val="left" w:pos="675"/>
        </w:tabs>
        <w:rPr>
          <w:rFonts w:ascii="StobiSerifPro" w:hAnsi="StobiSerifPro"/>
          <w:sz w:val="20"/>
          <w:szCs w:val="20"/>
          <w:lang w:val="mk-MK"/>
        </w:rPr>
      </w:pPr>
    </w:p>
    <w:p w:rsidR="004C4C95" w:rsidRPr="00035998" w:rsidRDefault="004C4C95" w:rsidP="004C4C95">
      <w:pPr>
        <w:numPr>
          <w:ilvl w:val="0"/>
          <w:numId w:val="1"/>
        </w:numPr>
        <w:shd w:val="clear" w:color="auto" w:fill="FBD4B4"/>
        <w:tabs>
          <w:tab w:val="left" w:pos="675"/>
        </w:tabs>
        <w:rPr>
          <w:rFonts w:ascii="StobiSerifPro" w:hAnsi="StobiSerifPro"/>
          <w:b/>
          <w:sz w:val="20"/>
          <w:szCs w:val="20"/>
          <w:lang w:val="en-US"/>
        </w:rPr>
      </w:pPr>
      <w:r w:rsidRPr="00035998">
        <w:rPr>
          <w:rFonts w:ascii="StobiSerifPro" w:hAnsi="StobiSerifPro"/>
          <w:b/>
          <w:sz w:val="20"/>
          <w:szCs w:val="20"/>
          <w:lang w:val="mk-MK"/>
        </w:rPr>
        <w:t>Проценка на влијанијата на регулативата</w:t>
      </w:r>
    </w:p>
    <w:p w:rsidR="004C4C95" w:rsidRPr="00035998" w:rsidRDefault="004C4C95" w:rsidP="004C4C95">
      <w:pPr>
        <w:tabs>
          <w:tab w:val="left" w:pos="675"/>
        </w:tabs>
        <w:ind w:left="360"/>
        <w:rPr>
          <w:rFonts w:ascii="StobiSerifPro" w:hAnsi="StobiSerifPro"/>
          <w:b/>
          <w:sz w:val="20"/>
          <w:szCs w:val="20"/>
          <w:lang w:val="en-US"/>
        </w:rPr>
      </w:pPr>
    </w:p>
    <w:p w:rsidR="004C4C95" w:rsidRPr="00035998" w:rsidRDefault="004C4C95" w:rsidP="004C4C95">
      <w:pPr>
        <w:jc w:val="both"/>
        <w:rPr>
          <w:rFonts w:ascii="StobiSerifPro" w:hAnsi="StobiSerifPro"/>
          <w:sz w:val="20"/>
          <w:szCs w:val="20"/>
          <w:lang w:val="mk-MK"/>
        </w:rPr>
      </w:pPr>
      <w:r w:rsidRPr="00035998">
        <w:rPr>
          <w:rFonts w:ascii="StobiSerifPro" w:hAnsi="StobiSerifPro"/>
          <w:sz w:val="20"/>
          <w:szCs w:val="20"/>
          <w:lang w:val="mk-MK"/>
        </w:rPr>
        <w:tab/>
        <w:t>Можни позитивни и негативни влијанија од секоја од опциите:</w:t>
      </w:r>
    </w:p>
    <w:p w:rsidR="004C4C95" w:rsidRPr="00035998" w:rsidRDefault="004C4C95" w:rsidP="004C4C95">
      <w:pPr>
        <w:tabs>
          <w:tab w:val="left" w:pos="675"/>
        </w:tabs>
        <w:rPr>
          <w:rFonts w:ascii="StobiSerifPro" w:hAnsi="StobiSerifPro"/>
          <w:sz w:val="20"/>
          <w:szCs w:val="20"/>
          <w:lang w:val="mk-MK"/>
        </w:rPr>
      </w:pPr>
    </w:p>
    <w:p w:rsidR="004C4C95" w:rsidRDefault="004C4C95" w:rsidP="004C4C95">
      <w:pPr>
        <w:ind w:firstLine="720"/>
        <w:jc w:val="both"/>
        <w:rPr>
          <w:rFonts w:ascii="StobiSerifPro" w:hAnsi="StobiSerifPro"/>
          <w:sz w:val="20"/>
          <w:szCs w:val="20"/>
          <w:lang w:val="mk-MK"/>
        </w:rPr>
      </w:pPr>
      <w:r w:rsidRPr="00035998">
        <w:rPr>
          <w:rFonts w:ascii="StobiSerifPro" w:hAnsi="StobiSerifPro"/>
          <w:sz w:val="20"/>
          <w:szCs w:val="20"/>
          <w:lang w:val="mk-MK"/>
        </w:rPr>
        <w:t>4.1</w:t>
      </w:r>
      <w:r w:rsidRPr="00035998">
        <w:rPr>
          <w:rFonts w:ascii="StobiSerifPro" w:hAnsi="StobiSerifPro"/>
          <w:sz w:val="20"/>
          <w:szCs w:val="20"/>
          <w:lang w:val="mk-MK"/>
        </w:rPr>
        <w:tab/>
        <w:t xml:space="preserve">Економски влијанија </w:t>
      </w:r>
      <w:r>
        <w:rPr>
          <w:rFonts w:ascii="StobiSerifPro" w:hAnsi="StobiSerifPro"/>
          <w:sz w:val="20"/>
          <w:szCs w:val="20"/>
          <w:lang w:val="mk-MK"/>
        </w:rPr>
        <w:t>НЕМА</w:t>
      </w:r>
    </w:p>
    <w:p w:rsidR="004C4C95" w:rsidRPr="002D247A" w:rsidRDefault="004C4C95" w:rsidP="004C4C95">
      <w:pPr>
        <w:jc w:val="both"/>
        <w:rPr>
          <w:rFonts w:ascii="StobiSerifPro" w:hAnsi="StobiSerifPro"/>
          <w:sz w:val="20"/>
          <w:szCs w:val="20"/>
          <w:lang w:val="mk-MK"/>
        </w:rPr>
      </w:pPr>
    </w:p>
    <w:p w:rsidR="004C4C95" w:rsidRDefault="004C4C95" w:rsidP="004C4C95">
      <w:pPr>
        <w:ind w:firstLine="720"/>
        <w:jc w:val="both"/>
        <w:rPr>
          <w:rFonts w:ascii="StobiSerifPro" w:hAnsi="StobiSerifPro"/>
          <w:sz w:val="20"/>
          <w:szCs w:val="20"/>
          <w:lang w:val="mk-MK"/>
        </w:rPr>
      </w:pPr>
      <w:r w:rsidRPr="00035998">
        <w:rPr>
          <w:rFonts w:ascii="StobiSerifPro" w:hAnsi="StobiSerifPro"/>
          <w:sz w:val="20"/>
          <w:szCs w:val="20"/>
          <w:lang w:val="mk-MK"/>
        </w:rPr>
        <w:lastRenderedPageBreak/>
        <w:t>4.2</w:t>
      </w:r>
      <w:r w:rsidRPr="00035998">
        <w:rPr>
          <w:rFonts w:ascii="StobiSerifPro" w:hAnsi="StobiSerifPro"/>
          <w:sz w:val="20"/>
          <w:szCs w:val="20"/>
          <w:lang w:val="mk-MK"/>
        </w:rPr>
        <w:tab/>
        <w:t xml:space="preserve">Фискални влијанија </w:t>
      </w:r>
      <w:r>
        <w:rPr>
          <w:rFonts w:ascii="StobiSerifPro" w:hAnsi="StobiSerifPro"/>
          <w:sz w:val="20"/>
          <w:szCs w:val="20"/>
          <w:lang w:val="mk-MK"/>
        </w:rPr>
        <w:t>НЕМА</w:t>
      </w:r>
    </w:p>
    <w:p w:rsidR="004C4C95" w:rsidRPr="00035998" w:rsidRDefault="004C4C95" w:rsidP="004C4C95">
      <w:pPr>
        <w:ind w:firstLine="720"/>
        <w:jc w:val="both"/>
        <w:rPr>
          <w:rFonts w:ascii="StobiSerifPro" w:hAnsi="StobiSerifPro"/>
          <w:sz w:val="20"/>
          <w:szCs w:val="20"/>
          <w:lang w:val="mk-MK"/>
        </w:rPr>
      </w:pPr>
    </w:p>
    <w:p w:rsidR="004C4C95" w:rsidRPr="002D247A" w:rsidRDefault="004C4C95" w:rsidP="004C4C95">
      <w:pPr>
        <w:jc w:val="both"/>
        <w:rPr>
          <w:rFonts w:ascii="StobiSerif Regular" w:hAnsi="StobiSerif Regular"/>
          <w:sz w:val="20"/>
          <w:szCs w:val="20"/>
          <w:lang w:val="ru-RU"/>
        </w:rPr>
      </w:pPr>
      <w:r>
        <w:rPr>
          <w:rFonts w:ascii="StobiSerif Regular" w:hAnsi="StobiSerif Regular"/>
          <w:sz w:val="20"/>
          <w:szCs w:val="20"/>
          <w:lang w:val="ru-RU"/>
        </w:rPr>
        <w:tab/>
        <w:t>Не се потребни дополнителни фискални импликации за спроведување на одредбите од овој закон.</w:t>
      </w:r>
    </w:p>
    <w:p w:rsidR="004C4C95" w:rsidRPr="00035998" w:rsidRDefault="004C4C95" w:rsidP="004C4C95">
      <w:pPr>
        <w:jc w:val="both"/>
        <w:rPr>
          <w:rFonts w:ascii="StobiSerifPro" w:hAnsi="StobiSerifPro"/>
          <w:sz w:val="20"/>
          <w:szCs w:val="20"/>
          <w:lang w:val="mk-MK"/>
        </w:rPr>
      </w:pPr>
    </w:p>
    <w:p w:rsidR="004C4C95" w:rsidRDefault="004C4C95" w:rsidP="004C4C95">
      <w:pPr>
        <w:ind w:firstLine="720"/>
        <w:jc w:val="both"/>
        <w:rPr>
          <w:rFonts w:ascii="StobiSerifPro" w:hAnsi="StobiSerifPro"/>
          <w:sz w:val="20"/>
          <w:szCs w:val="20"/>
          <w:lang w:val="mk-MK"/>
        </w:rPr>
      </w:pPr>
      <w:r w:rsidRPr="00035998">
        <w:rPr>
          <w:rFonts w:ascii="StobiSerifPro" w:hAnsi="StobiSerifPro"/>
          <w:sz w:val="20"/>
          <w:szCs w:val="20"/>
          <w:lang w:val="mk-MK"/>
        </w:rPr>
        <w:t>4.3</w:t>
      </w:r>
      <w:r w:rsidRPr="00035998">
        <w:rPr>
          <w:rFonts w:ascii="StobiSerifPro" w:hAnsi="StobiSerifPro"/>
          <w:sz w:val="20"/>
          <w:szCs w:val="20"/>
          <w:lang w:val="mk-MK"/>
        </w:rPr>
        <w:tab/>
        <w:t xml:space="preserve">Социјални влијанија </w:t>
      </w:r>
      <w:r>
        <w:rPr>
          <w:rFonts w:ascii="StobiSerifPro" w:hAnsi="StobiSerifPro"/>
          <w:sz w:val="20"/>
          <w:szCs w:val="20"/>
          <w:lang w:val="mk-MK"/>
        </w:rPr>
        <w:t>- НЕМА</w:t>
      </w:r>
    </w:p>
    <w:p w:rsidR="004C4C95" w:rsidRDefault="004C4C95" w:rsidP="004C4C95">
      <w:pPr>
        <w:ind w:firstLine="720"/>
        <w:jc w:val="both"/>
        <w:rPr>
          <w:rFonts w:ascii="StobiSerifPro" w:hAnsi="StobiSerifPro"/>
          <w:sz w:val="20"/>
          <w:szCs w:val="20"/>
          <w:lang w:val="mk-MK"/>
        </w:rPr>
      </w:pPr>
    </w:p>
    <w:p w:rsidR="004C4C95" w:rsidRPr="00035998" w:rsidRDefault="004C4C95" w:rsidP="004C4C95">
      <w:pPr>
        <w:jc w:val="both"/>
        <w:rPr>
          <w:rFonts w:ascii="StobiSerifPro" w:hAnsi="StobiSerifPro"/>
          <w:sz w:val="20"/>
          <w:szCs w:val="20"/>
          <w:lang w:val="mk-MK"/>
        </w:rPr>
      </w:pPr>
    </w:p>
    <w:p w:rsidR="004C4C95" w:rsidRDefault="004C4C95" w:rsidP="004C4C95">
      <w:pPr>
        <w:ind w:firstLine="720"/>
        <w:jc w:val="both"/>
        <w:rPr>
          <w:rFonts w:ascii="StobiSerifPro" w:hAnsi="StobiSerifPro"/>
          <w:sz w:val="20"/>
          <w:szCs w:val="20"/>
          <w:lang w:val="mk-MK"/>
        </w:rPr>
      </w:pPr>
      <w:r w:rsidRPr="00035998">
        <w:rPr>
          <w:rFonts w:ascii="StobiSerifPro" w:hAnsi="StobiSerifPro"/>
          <w:sz w:val="20"/>
          <w:szCs w:val="20"/>
          <w:lang w:val="mk-MK"/>
        </w:rPr>
        <w:t>4.4</w:t>
      </w:r>
      <w:r w:rsidRPr="00035998">
        <w:rPr>
          <w:rFonts w:ascii="StobiSerifPro" w:hAnsi="StobiSerifPro"/>
          <w:sz w:val="20"/>
          <w:szCs w:val="20"/>
          <w:lang w:val="mk-MK"/>
        </w:rPr>
        <w:tab/>
        <w:t xml:space="preserve">Влијанија врз животната средина </w:t>
      </w:r>
      <w:r>
        <w:rPr>
          <w:rFonts w:ascii="StobiSerifPro" w:hAnsi="StobiSerifPro"/>
          <w:sz w:val="20"/>
          <w:szCs w:val="20"/>
          <w:lang w:val="mk-MK"/>
        </w:rPr>
        <w:t>- НЕМА</w:t>
      </w:r>
    </w:p>
    <w:p w:rsidR="004C4C95" w:rsidRDefault="004C4C95" w:rsidP="004C4C95">
      <w:pPr>
        <w:ind w:firstLine="720"/>
        <w:jc w:val="both"/>
        <w:rPr>
          <w:rFonts w:ascii="StobiSerifPro" w:hAnsi="StobiSerifPro"/>
          <w:sz w:val="20"/>
          <w:szCs w:val="20"/>
          <w:lang w:val="mk-MK"/>
        </w:rPr>
      </w:pPr>
    </w:p>
    <w:p w:rsidR="004C4C95" w:rsidRPr="00035998" w:rsidRDefault="004C4C95" w:rsidP="004C4C95">
      <w:pPr>
        <w:jc w:val="both"/>
        <w:rPr>
          <w:rFonts w:ascii="StobiSerifPro" w:hAnsi="StobiSerifPro"/>
          <w:sz w:val="20"/>
          <w:szCs w:val="20"/>
          <w:lang w:val="mk-MK"/>
        </w:rPr>
      </w:pPr>
    </w:p>
    <w:p w:rsidR="004C4C95" w:rsidRDefault="004C4C95" w:rsidP="004C4C95">
      <w:pPr>
        <w:ind w:firstLine="720"/>
        <w:jc w:val="both"/>
        <w:rPr>
          <w:rFonts w:ascii="StobiSerifPro" w:hAnsi="StobiSerifPro"/>
          <w:sz w:val="20"/>
          <w:szCs w:val="20"/>
          <w:lang w:val="mk-MK"/>
        </w:rPr>
      </w:pPr>
      <w:r w:rsidRPr="00035998">
        <w:rPr>
          <w:rFonts w:ascii="StobiSerifPro" w:hAnsi="StobiSerifPro"/>
          <w:sz w:val="20"/>
          <w:szCs w:val="20"/>
          <w:lang w:val="mk-MK"/>
        </w:rPr>
        <w:t>4.5</w:t>
      </w:r>
      <w:r w:rsidRPr="00035998">
        <w:rPr>
          <w:rFonts w:ascii="StobiSerifPro" w:hAnsi="StobiSerifPro"/>
          <w:sz w:val="20"/>
          <w:szCs w:val="20"/>
          <w:lang w:val="mk-MK"/>
        </w:rPr>
        <w:tab/>
        <w:t xml:space="preserve">Административни влијанија и трошоци – </w:t>
      </w:r>
      <w:r>
        <w:rPr>
          <w:rFonts w:ascii="StobiSerifPro" w:hAnsi="StobiSerifPro"/>
          <w:sz w:val="20"/>
          <w:szCs w:val="20"/>
          <w:lang w:val="mk-MK"/>
        </w:rPr>
        <w:t>НЕМА</w:t>
      </w:r>
    </w:p>
    <w:p w:rsidR="004C4C95" w:rsidRPr="00035998" w:rsidRDefault="004C4C95" w:rsidP="004C4C95">
      <w:pPr>
        <w:tabs>
          <w:tab w:val="left" w:pos="675"/>
        </w:tabs>
        <w:spacing w:line="276" w:lineRule="auto"/>
        <w:jc w:val="both"/>
        <w:rPr>
          <w:rFonts w:ascii="StobiSerifPro" w:hAnsi="StobiSerifPro"/>
          <w:sz w:val="20"/>
          <w:szCs w:val="20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ab/>
      </w:r>
    </w:p>
    <w:p w:rsidR="004C4C95" w:rsidRDefault="004C4C95" w:rsidP="004C4C95">
      <w:pPr>
        <w:ind w:left="720" w:firstLine="720"/>
        <w:jc w:val="both"/>
        <w:rPr>
          <w:rFonts w:ascii="StobiSerifPro" w:hAnsi="StobiSerifPro"/>
          <w:sz w:val="20"/>
          <w:szCs w:val="20"/>
          <w:lang w:val="mk-MK"/>
        </w:rPr>
      </w:pPr>
      <w:r w:rsidRPr="00035998">
        <w:rPr>
          <w:rFonts w:ascii="StobiSerifPro" w:hAnsi="StobiSerifPro"/>
          <w:sz w:val="20"/>
          <w:szCs w:val="20"/>
          <w:lang w:val="mk-MK"/>
        </w:rPr>
        <w:t xml:space="preserve">а) трошоци за спроведување </w:t>
      </w:r>
    </w:p>
    <w:p w:rsidR="004C4C95" w:rsidRPr="00035998" w:rsidRDefault="004C4C95" w:rsidP="004C4C95">
      <w:pPr>
        <w:ind w:left="720" w:firstLine="720"/>
        <w:jc w:val="both"/>
        <w:rPr>
          <w:rFonts w:ascii="StobiSerifPro" w:hAnsi="StobiSerifPro"/>
          <w:sz w:val="20"/>
          <w:szCs w:val="20"/>
          <w:lang w:val="mk-MK"/>
        </w:rPr>
      </w:pPr>
    </w:p>
    <w:p w:rsidR="004C4C95" w:rsidRPr="002D247A" w:rsidRDefault="004C4C95" w:rsidP="004C4C95">
      <w:pPr>
        <w:jc w:val="both"/>
        <w:rPr>
          <w:rFonts w:ascii="StobiSerifPro" w:hAnsi="StobiSerifPro"/>
          <w:sz w:val="18"/>
          <w:szCs w:val="18"/>
          <w:lang w:val="mk-MK"/>
        </w:rPr>
      </w:pPr>
    </w:p>
    <w:p w:rsidR="004C4C95" w:rsidRDefault="004C4C95" w:rsidP="004C4C95">
      <w:pPr>
        <w:ind w:left="720" w:firstLine="720"/>
        <w:jc w:val="both"/>
        <w:rPr>
          <w:rFonts w:ascii="StobiSerifPro" w:hAnsi="StobiSerifPro" w:cs="Calibri"/>
          <w:iCs/>
          <w:sz w:val="20"/>
          <w:szCs w:val="20"/>
          <w:lang w:val="mk-MK"/>
        </w:rPr>
      </w:pPr>
      <w:r w:rsidRPr="002D247A">
        <w:rPr>
          <w:rFonts w:ascii="StobiSerifPro" w:hAnsi="StobiSerifPro"/>
          <w:sz w:val="18"/>
          <w:szCs w:val="18"/>
          <w:lang w:val="mk-MK"/>
        </w:rPr>
        <w:t>б) трошоци за почитување на регулативата - НЕМА</w:t>
      </w:r>
    </w:p>
    <w:p w:rsidR="004C4C95" w:rsidRDefault="004C4C95" w:rsidP="004C4C95">
      <w:pPr>
        <w:tabs>
          <w:tab w:val="left" w:pos="675"/>
        </w:tabs>
        <w:rPr>
          <w:rFonts w:ascii="StobiSerifPro" w:hAnsi="StobiSerifPro" w:cs="Calibri"/>
          <w:iCs/>
          <w:sz w:val="20"/>
          <w:szCs w:val="20"/>
          <w:lang w:val="mk-MK"/>
        </w:rPr>
      </w:pPr>
    </w:p>
    <w:p w:rsidR="004C4C95" w:rsidRDefault="004C4C95" w:rsidP="004C4C95">
      <w:pPr>
        <w:tabs>
          <w:tab w:val="left" w:pos="675"/>
        </w:tabs>
        <w:rPr>
          <w:rFonts w:ascii="StobiSerifPro" w:hAnsi="StobiSerifPro" w:cs="Calibri"/>
          <w:iCs/>
          <w:sz w:val="20"/>
          <w:szCs w:val="20"/>
          <w:lang w:val="mk-MK"/>
        </w:rPr>
      </w:pPr>
    </w:p>
    <w:p w:rsidR="004C4C95" w:rsidRPr="00035998" w:rsidRDefault="004C4C95" w:rsidP="004C4C95">
      <w:pPr>
        <w:shd w:val="clear" w:color="auto" w:fill="FBD4B4"/>
        <w:tabs>
          <w:tab w:val="left" w:pos="675"/>
        </w:tabs>
        <w:rPr>
          <w:rFonts w:ascii="StobiSerifPro" w:hAnsi="StobiSerifPro"/>
          <w:b/>
          <w:sz w:val="20"/>
          <w:szCs w:val="20"/>
          <w:lang w:val="mk-MK"/>
        </w:rPr>
      </w:pPr>
      <w:r w:rsidRPr="00035998">
        <w:rPr>
          <w:rFonts w:ascii="StobiSerifPro" w:hAnsi="StobiSerifPro"/>
          <w:b/>
          <w:sz w:val="20"/>
          <w:szCs w:val="20"/>
          <w:lang w:val="mk-MK"/>
        </w:rPr>
        <w:t>5.</w:t>
      </w:r>
      <w:r w:rsidRPr="00035998">
        <w:rPr>
          <w:rFonts w:ascii="StobiSerifPro" w:hAnsi="StobiSerifPro"/>
          <w:b/>
          <w:sz w:val="20"/>
          <w:szCs w:val="20"/>
          <w:lang w:val="mk-MK"/>
        </w:rPr>
        <w:tab/>
        <w:t>Консултации</w:t>
      </w:r>
    </w:p>
    <w:p w:rsidR="004C4C95" w:rsidRDefault="004C4C95" w:rsidP="004C4C95">
      <w:pPr>
        <w:tabs>
          <w:tab w:val="left" w:pos="675"/>
        </w:tabs>
        <w:rPr>
          <w:rFonts w:ascii="StobiSerifPro" w:hAnsi="StobiSerifPro" w:cs="Calibri"/>
          <w:iCs/>
          <w:sz w:val="20"/>
          <w:szCs w:val="20"/>
          <w:lang w:val="mk-MK"/>
        </w:rPr>
      </w:pPr>
    </w:p>
    <w:p w:rsidR="004C4C95" w:rsidRPr="00522AE6" w:rsidRDefault="004C4C95" w:rsidP="004C4C95">
      <w:pPr>
        <w:numPr>
          <w:ilvl w:val="1"/>
          <w:numId w:val="2"/>
        </w:numPr>
        <w:jc w:val="both"/>
        <w:rPr>
          <w:rFonts w:ascii="StobiSerif Regular" w:hAnsi="StobiSerif Regular"/>
          <w:sz w:val="20"/>
          <w:szCs w:val="20"/>
          <w:lang w:val="mk-MK"/>
        </w:rPr>
      </w:pPr>
      <w:r w:rsidRPr="00522AE6">
        <w:rPr>
          <w:rFonts w:ascii="StobiSerif Regular" w:hAnsi="StobiSerif Regular"/>
          <w:sz w:val="20"/>
          <w:szCs w:val="20"/>
          <w:lang w:val="mk-MK"/>
        </w:rPr>
        <w:t>Засегнати страни и начин на вклучување</w:t>
      </w:r>
    </w:p>
    <w:p w:rsidR="004C4C95" w:rsidRPr="006011BC" w:rsidRDefault="004C4C95" w:rsidP="004C4C95">
      <w:pPr>
        <w:ind w:left="135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4C4C95" w:rsidRPr="006011BC" w:rsidRDefault="004C4C95" w:rsidP="004C4C95">
      <w:pPr>
        <w:pStyle w:val="ListParagraph"/>
        <w:widowControl w:val="0"/>
        <w:suppressAutoHyphens/>
        <w:ind w:left="0"/>
        <w:jc w:val="both"/>
        <w:rPr>
          <w:rFonts w:ascii="StobiSerif Regular" w:hAnsi="StobiSerif Regular"/>
          <w:sz w:val="20"/>
          <w:szCs w:val="20"/>
        </w:rPr>
      </w:pPr>
      <w:r w:rsidRPr="006011BC">
        <w:rPr>
          <w:rFonts w:ascii="StobiSerif Regular" w:hAnsi="StobiSerif Regular"/>
        </w:rPr>
        <w:tab/>
      </w:r>
      <w:r w:rsidRPr="006011BC">
        <w:rPr>
          <w:rFonts w:ascii="StobiSerif Regular" w:hAnsi="StobiSerif Regular" w:cs="Arial"/>
          <w:sz w:val="20"/>
          <w:szCs w:val="20"/>
        </w:rPr>
        <w:t xml:space="preserve">Во процесот на изработувањето на овој предлог преку писмени барање на мислење на законот се вклучени следните институции: </w:t>
      </w:r>
      <w:r w:rsidR="00E249D3">
        <w:rPr>
          <w:rFonts w:ascii="StobiSerif Regular" w:hAnsi="StobiSerif Regular" w:cs="Arial"/>
          <w:sz w:val="20"/>
          <w:szCs w:val="20"/>
        </w:rPr>
        <w:t xml:space="preserve">Министерсво за внатрешни работи, </w:t>
      </w:r>
      <w:r w:rsidR="00E249D3">
        <w:rPr>
          <w:rFonts w:ascii="StobiSerif Regular" w:hAnsi="StobiSerif Regular"/>
          <w:sz w:val="20"/>
          <w:szCs w:val="20"/>
        </w:rPr>
        <w:t>Државен инспекторат за транспорт, ЗЕЛС, Асоцијации и здруженија на превозници: Макамтранс, Легис, Асоцијација на легални такси превозници.</w:t>
      </w:r>
    </w:p>
    <w:p w:rsidR="004C4C95" w:rsidRPr="006011BC" w:rsidRDefault="004C4C95" w:rsidP="004C4C95">
      <w:pPr>
        <w:pStyle w:val="ListParagraph"/>
        <w:widowControl w:val="0"/>
        <w:suppressAutoHyphens/>
        <w:ind w:left="0"/>
        <w:jc w:val="both"/>
        <w:rPr>
          <w:rFonts w:ascii="StobiSerif Regular" w:hAnsi="StobiSerif Regular"/>
          <w:sz w:val="20"/>
          <w:szCs w:val="20"/>
        </w:rPr>
      </w:pPr>
    </w:p>
    <w:p w:rsidR="004C4C95" w:rsidRDefault="004C4C95" w:rsidP="0031210E">
      <w:pPr>
        <w:pStyle w:val="ListParagraph"/>
        <w:widowControl w:val="0"/>
        <w:numPr>
          <w:ilvl w:val="1"/>
          <w:numId w:val="2"/>
        </w:numPr>
        <w:suppressAutoHyphens/>
        <w:jc w:val="both"/>
        <w:rPr>
          <w:rFonts w:ascii="StobiSerif Regular" w:hAnsi="StobiSerif Regular"/>
          <w:sz w:val="20"/>
          <w:szCs w:val="20"/>
        </w:rPr>
      </w:pPr>
      <w:r w:rsidRPr="006011BC">
        <w:rPr>
          <w:rFonts w:ascii="StobiSerif Regular" w:hAnsi="StobiSerif Regular"/>
          <w:sz w:val="20"/>
          <w:szCs w:val="20"/>
        </w:rPr>
        <w:t xml:space="preserve">Преглед на добиените и вградените мислења </w:t>
      </w:r>
    </w:p>
    <w:p w:rsidR="0031210E" w:rsidRPr="006011BC" w:rsidRDefault="0031210E" w:rsidP="0031210E">
      <w:pPr>
        <w:pStyle w:val="ListParagraph"/>
        <w:widowControl w:val="0"/>
        <w:suppressAutoHyphens/>
        <w:ind w:left="1350"/>
        <w:jc w:val="both"/>
        <w:rPr>
          <w:rFonts w:ascii="StobiSerif Regular" w:hAnsi="StobiSerif Regular"/>
          <w:sz w:val="20"/>
          <w:szCs w:val="20"/>
        </w:rPr>
      </w:pPr>
    </w:p>
    <w:p w:rsidR="004C4C95" w:rsidRDefault="004C4C95" w:rsidP="004C4C95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6011BC">
        <w:rPr>
          <w:rFonts w:ascii="StobiSerif Regular" w:hAnsi="StobiSerif Regular"/>
          <w:sz w:val="20"/>
          <w:szCs w:val="20"/>
          <w:lang w:val="mk-MK"/>
        </w:rPr>
        <w:t>5.3</w:t>
      </w:r>
      <w:r w:rsidRPr="006011BC">
        <w:rPr>
          <w:rFonts w:ascii="StobiSerif Regular" w:hAnsi="StobiSerif Regular"/>
          <w:sz w:val="20"/>
          <w:szCs w:val="20"/>
          <w:lang w:val="mk-MK"/>
        </w:rPr>
        <w:tab/>
        <w:t>Мислењата кои не биле земени предвид и зошто</w:t>
      </w:r>
    </w:p>
    <w:p w:rsidR="0031210E" w:rsidRDefault="0031210E" w:rsidP="004C4C95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31210E" w:rsidRPr="006011BC" w:rsidRDefault="0031210E" w:rsidP="004C4C95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Многу од добиените мислења се неприменливи.</w:t>
      </w:r>
    </w:p>
    <w:p w:rsidR="004C4C95" w:rsidRPr="00831B79" w:rsidRDefault="004C4C95" w:rsidP="00E249D3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:rsidR="004C4C95" w:rsidRPr="00035998" w:rsidRDefault="004C4C95" w:rsidP="004C4C95">
      <w:pPr>
        <w:shd w:val="clear" w:color="auto" w:fill="FBD4B4"/>
        <w:tabs>
          <w:tab w:val="left" w:pos="675"/>
        </w:tabs>
        <w:rPr>
          <w:rFonts w:ascii="StobiSerifPro" w:hAnsi="StobiSerifPro"/>
          <w:b/>
          <w:sz w:val="20"/>
          <w:szCs w:val="20"/>
          <w:lang w:val="mk-MK"/>
        </w:rPr>
      </w:pPr>
      <w:r w:rsidRPr="00035998">
        <w:rPr>
          <w:rFonts w:ascii="StobiSerifPro" w:hAnsi="StobiSerifPro"/>
          <w:b/>
          <w:sz w:val="20"/>
          <w:szCs w:val="20"/>
          <w:lang w:val="mk-MK"/>
        </w:rPr>
        <w:t xml:space="preserve">6. </w:t>
      </w:r>
      <w:r w:rsidRPr="00035998">
        <w:rPr>
          <w:rFonts w:ascii="StobiSerifPro" w:hAnsi="StobiSerifPro"/>
          <w:b/>
          <w:sz w:val="20"/>
          <w:szCs w:val="20"/>
          <w:lang w:val="mk-MK"/>
        </w:rPr>
        <w:tab/>
        <w:t>Заклучоци и препорачано решение</w:t>
      </w:r>
    </w:p>
    <w:p w:rsidR="004C4C95" w:rsidRPr="00C76BA6" w:rsidRDefault="004C4C95" w:rsidP="004C4C95">
      <w:pPr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4C4C95" w:rsidRDefault="004C4C95" w:rsidP="004C4C95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C76BA6">
        <w:rPr>
          <w:rFonts w:ascii="StobiSerif Regular" w:hAnsi="StobiSerif Regular"/>
          <w:sz w:val="20"/>
          <w:szCs w:val="20"/>
          <w:lang w:val="mk-MK"/>
        </w:rPr>
        <w:t>6.1</w:t>
      </w:r>
      <w:r w:rsidRPr="00C76BA6">
        <w:rPr>
          <w:rFonts w:ascii="StobiSerif Regular" w:hAnsi="StobiSerif Regular"/>
          <w:sz w:val="20"/>
          <w:szCs w:val="20"/>
          <w:lang w:val="mk-MK"/>
        </w:rPr>
        <w:tab/>
        <w:t>Споредбен преглед на позитивните и негативните влијанија на можните решенија (опции)</w:t>
      </w:r>
    </w:p>
    <w:p w:rsidR="00EE6471" w:rsidRDefault="00EE6471" w:rsidP="004C4C95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Опција 1: </w:t>
      </w:r>
    </w:p>
    <w:p w:rsidR="00AF46B3" w:rsidRPr="00C76BA6" w:rsidRDefault="00EE6471" w:rsidP="00C0035C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Позитивно влијание доколку се одбере оваа опција и се изготви Закон за изменување и дополнување на Законот за превоз во патниот сообраќај, процедурата за донесување би била со пократок рок.</w:t>
      </w:r>
    </w:p>
    <w:p w:rsidR="004C4C95" w:rsidRDefault="00EE6471" w:rsidP="004C4C95">
      <w:p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0"/>
          <w:szCs w:val="20"/>
          <w:lang w:val="mk-MK"/>
        </w:rPr>
        <w:t>Негативно влијание доколку се одбере оваа опција е тоа што оваа измена би била 27ма по ред и примената на Законот би била уште повеќе отежната, а воедно поради тоа што се предвидени голем број на измени истиот би содржел многу нови членови.</w:t>
      </w:r>
    </w:p>
    <w:p w:rsidR="00EE6471" w:rsidRDefault="00EE6471" w:rsidP="004C4C95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EE6471" w:rsidRDefault="00EE6471" w:rsidP="004C4C95">
      <w:p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lastRenderedPageBreak/>
        <w:tab/>
        <w:t>Опција 2:</w:t>
      </w:r>
    </w:p>
    <w:p w:rsidR="00EE6471" w:rsidRDefault="00EE6471" w:rsidP="004C4C95">
      <w:p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ab/>
        <w:t xml:space="preserve">Позитивно влијание при изборот на опцијата донесување на нов Закон за превоз во патниот сообраќај, е тоа што </w:t>
      </w:r>
      <w:r w:rsidR="0031210E">
        <w:rPr>
          <w:rFonts w:ascii="StobiSerif Regular" w:hAnsi="StobiSerif Regular"/>
          <w:sz w:val="20"/>
          <w:szCs w:val="20"/>
          <w:lang w:val="mk-MK"/>
        </w:rPr>
        <w:t xml:space="preserve">одредбите од законот ќе бидат уредени што ќе допринесе за полесна примена на истиот. </w:t>
      </w:r>
    </w:p>
    <w:p w:rsidR="0031210E" w:rsidRDefault="0031210E" w:rsidP="004C4C95">
      <w:p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ab/>
        <w:t>Негативното влијание од изборот на оваа опција е фактот дека процедурата на донесувањето на законот ќе биде подолга.</w:t>
      </w:r>
    </w:p>
    <w:p w:rsidR="0031210E" w:rsidRPr="00EE6471" w:rsidRDefault="0031210E" w:rsidP="004C4C95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4C4C95" w:rsidRDefault="004C4C95" w:rsidP="004C4C95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C76BA6">
        <w:rPr>
          <w:rFonts w:ascii="StobiSerif Regular" w:hAnsi="StobiSerif Regular"/>
          <w:sz w:val="20"/>
          <w:szCs w:val="20"/>
          <w:lang w:val="mk-MK"/>
        </w:rPr>
        <w:t>6.2</w:t>
      </w:r>
      <w:r w:rsidRPr="00C76BA6">
        <w:rPr>
          <w:rFonts w:ascii="StobiSerif Regular" w:hAnsi="StobiSerif Regular"/>
          <w:sz w:val="20"/>
          <w:szCs w:val="20"/>
          <w:lang w:val="mk-MK"/>
        </w:rPr>
        <w:tab/>
        <w:t>Ризици во спроведувањето и примената на секое од можните решенија (опции)</w:t>
      </w:r>
    </w:p>
    <w:p w:rsidR="0031210E" w:rsidRDefault="0031210E" w:rsidP="004C4C95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31210E" w:rsidRDefault="0031210E" w:rsidP="004C4C95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Опција 1: Ризикот од изборот на оваа опција е донесување на одредби кои ќе бидат недоволно усогласени со постојните, или ќе дојдат до колизија со одредени постојни одредби</w:t>
      </w:r>
      <w:r w:rsidR="00AB3D5F">
        <w:rPr>
          <w:rFonts w:ascii="StobiSerif Regular" w:hAnsi="StobiSerif Regular"/>
          <w:sz w:val="20"/>
          <w:szCs w:val="20"/>
          <w:lang w:val="mk-MK"/>
        </w:rPr>
        <w:t>.</w:t>
      </w:r>
      <w:r>
        <w:rPr>
          <w:rFonts w:ascii="StobiSerif Regular" w:hAnsi="StobiSerif Regular"/>
          <w:sz w:val="20"/>
          <w:szCs w:val="20"/>
          <w:lang w:val="mk-MK"/>
        </w:rPr>
        <w:t xml:space="preserve"> </w:t>
      </w:r>
    </w:p>
    <w:p w:rsidR="004C4C95" w:rsidRPr="00831B79" w:rsidRDefault="004C4C95" w:rsidP="004C4C95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:rsidR="004C4C95" w:rsidRDefault="004C4C95" w:rsidP="004C4C95">
      <w:pPr>
        <w:numPr>
          <w:ilvl w:val="1"/>
          <w:numId w:val="3"/>
        </w:numPr>
        <w:jc w:val="both"/>
        <w:rPr>
          <w:rFonts w:ascii="StobiSerif Regular" w:hAnsi="StobiSerif Regular"/>
          <w:sz w:val="20"/>
          <w:szCs w:val="20"/>
          <w:lang w:val="mk-MK"/>
        </w:rPr>
      </w:pPr>
      <w:r w:rsidRPr="00C76BA6">
        <w:rPr>
          <w:rFonts w:ascii="StobiSerif Regular" w:hAnsi="StobiSerif Regular"/>
          <w:sz w:val="20"/>
          <w:szCs w:val="20"/>
          <w:lang w:val="mk-MK"/>
        </w:rPr>
        <w:t>Препорачано решение со образложение</w:t>
      </w:r>
    </w:p>
    <w:p w:rsidR="0031210E" w:rsidRPr="00AB3D5F" w:rsidRDefault="00AB3D5F" w:rsidP="00AB3D5F">
      <w:pPr>
        <w:pStyle w:val="ListParagraph"/>
        <w:autoSpaceDE w:val="0"/>
        <w:autoSpaceDN w:val="0"/>
        <w:adjustRightInd w:val="0"/>
        <w:jc w:val="both"/>
        <w:rPr>
          <w:rFonts w:ascii="StobiSerif Regular" w:hAnsi="StobiSerif Regular" w:cs="Tahoma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>Донесувањето на нов Закон за превоз во патниот сообраќај е</w:t>
      </w:r>
      <w:r w:rsidR="0031210E" w:rsidRPr="0031210E">
        <w:rPr>
          <w:rFonts w:ascii="StobiSerif Regular" w:hAnsi="StobiSerif Regular"/>
          <w:sz w:val="20"/>
          <w:szCs w:val="20"/>
        </w:rPr>
        <w:t xml:space="preserve"> единствената прифатлива опција за решавање на проблемот.</w:t>
      </w:r>
    </w:p>
    <w:p w:rsidR="004C4C95" w:rsidRPr="002D247A" w:rsidRDefault="004C4C95" w:rsidP="004C4C95">
      <w:pPr>
        <w:spacing w:line="20" w:lineRule="atLeast"/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4C4C95" w:rsidRPr="00035998" w:rsidRDefault="004C4C95" w:rsidP="004C4C95">
      <w:pPr>
        <w:shd w:val="clear" w:color="auto" w:fill="FBD4B4"/>
        <w:tabs>
          <w:tab w:val="left" w:pos="675"/>
        </w:tabs>
        <w:rPr>
          <w:rFonts w:ascii="StobiSerifPro" w:hAnsi="StobiSerifPro"/>
          <w:b/>
          <w:sz w:val="20"/>
          <w:szCs w:val="20"/>
          <w:lang w:val="mk-MK"/>
        </w:rPr>
      </w:pPr>
      <w:r w:rsidRPr="00035998">
        <w:rPr>
          <w:rFonts w:ascii="StobiSerifPro" w:hAnsi="StobiSerifPro"/>
          <w:b/>
          <w:sz w:val="20"/>
          <w:szCs w:val="20"/>
          <w:lang w:val="mk-MK"/>
        </w:rPr>
        <w:t>7.</w:t>
      </w:r>
      <w:r w:rsidRPr="00035998">
        <w:rPr>
          <w:rFonts w:ascii="StobiSerifPro" w:hAnsi="StobiSerifPro"/>
          <w:b/>
          <w:sz w:val="20"/>
          <w:szCs w:val="20"/>
          <w:lang w:val="mk-MK"/>
        </w:rPr>
        <w:tab/>
        <w:t>Спроведување на препорачаното решение</w:t>
      </w:r>
    </w:p>
    <w:p w:rsidR="004C4C95" w:rsidRPr="00035998" w:rsidRDefault="004C4C95" w:rsidP="004C4C95">
      <w:pPr>
        <w:jc w:val="both"/>
        <w:rPr>
          <w:rFonts w:ascii="StobiSerifPro" w:hAnsi="StobiSerifPro"/>
          <w:sz w:val="20"/>
          <w:szCs w:val="20"/>
          <w:lang w:val="ru-RU"/>
        </w:rPr>
      </w:pPr>
    </w:p>
    <w:p w:rsidR="004C4C95" w:rsidRDefault="004C4C95" w:rsidP="004C4C95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C76BA6">
        <w:rPr>
          <w:rFonts w:ascii="StobiSerif Regular" w:hAnsi="StobiSerif Regular"/>
          <w:sz w:val="20"/>
          <w:szCs w:val="20"/>
          <w:lang w:val="mk-MK"/>
        </w:rPr>
        <w:t>7.1</w:t>
      </w:r>
      <w:r w:rsidRPr="00C76BA6">
        <w:rPr>
          <w:rFonts w:ascii="StobiSerif Regular" w:hAnsi="StobiSerif Regular"/>
          <w:sz w:val="20"/>
          <w:szCs w:val="20"/>
          <w:lang w:val="mk-MK"/>
        </w:rPr>
        <w:tab/>
        <w:t>Потреба од менување на закони и подзаконска регулатива во областа или други сродни области</w:t>
      </w:r>
    </w:p>
    <w:p w:rsidR="004C4C95" w:rsidRDefault="004C4C95" w:rsidP="004C4C95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4C4C95" w:rsidRDefault="004C4C95" w:rsidP="004C4C95">
      <w:pPr>
        <w:tabs>
          <w:tab w:val="left" w:pos="0"/>
        </w:tabs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ab/>
      </w:r>
      <w:r w:rsidRPr="002D247A">
        <w:rPr>
          <w:rFonts w:ascii="StobiSerif Regular" w:hAnsi="StobiSerif Regular"/>
          <w:sz w:val="20"/>
          <w:szCs w:val="20"/>
          <w:lang w:val="mk-MK"/>
        </w:rPr>
        <w:t>За спроведувањето на овој закон нема потреба од корелативно менување на други закони или подзаконска регулатива</w:t>
      </w:r>
      <w:r>
        <w:rPr>
          <w:rFonts w:ascii="StobiSerif Regular" w:hAnsi="StobiSerif Regular"/>
          <w:sz w:val="20"/>
          <w:szCs w:val="20"/>
          <w:lang w:val="mk-MK"/>
        </w:rPr>
        <w:t xml:space="preserve"> од сродни области.</w:t>
      </w:r>
    </w:p>
    <w:p w:rsidR="004C4C95" w:rsidRPr="002D247A" w:rsidRDefault="004C4C95" w:rsidP="004C4C95">
      <w:pPr>
        <w:tabs>
          <w:tab w:val="left" w:pos="0"/>
        </w:tabs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4C4C95" w:rsidRPr="00C76BA6" w:rsidRDefault="004C4C95" w:rsidP="004C4C95">
      <w:pPr>
        <w:tabs>
          <w:tab w:val="left" w:pos="675"/>
        </w:tabs>
        <w:spacing w:line="276" w:lineRule="auto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i/>
          <w:sz w:val="22"/>
          <w:szCs w:val="22"/>
          <w:lang w:val="mk-MK"/>
        </w:rPr>
        <w:tab/>
      </w:r>
      <w:r>
        <w:rPr>
          <w:rFonts w:ascii="StobiSerif Regular" w:hAnsi="StobiSerif Regular"/>
          <w:sz w:val="20"/>
          <w:szCs w:val="20"/>
          <w:lang w:val="mk-MK"/>
        </w:rPr>
        <w:t>7.2</w:t>
      </w:r>
      <w:r>
        <w:rPr>
          <w:rFonts w:ascii="StobiSerif Regular" w:hAnsi="StobiSerif Regular"/>
          <w:sz w:val="20"/>
          <w:szCs w:val="20"/>
          <w:lang w:val="mk-MK"/>
        </w:rPr>
        <w:tab/>
      </w:r>
      <w:r w:rsidRPr="00C76BA6">
        <w:rPr>
          <w:rFonts w:ascii="StobiSerif Regular" w:hAnsi="StobiSerif Regular"/>
          <w:sz w:val="20"/>
          <w:szCs w:val="20"/>
          <w:lang w:val="mk-MK"/>
        </w:rPr>
        <w:t>Потребни подзаконски акти и рок за нивно донесување</w:t>
      </w:r>
    </w:p>
    <w:p w:rsidR="004C4C95" w:rsidRPr="00D50A6B" w:rsidRDefault="00E249D3" w:rsidP="004C4C95">
      <w:pPr>
        <w:tabs>
          <w:tab w:val="left" w:pos="675"/>
        </w:tabs>
        <w:spacing w:line="276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ab/>
      </w:r>
      <w:r w:rsidR="00AB3D5F">
        <w:rPr>
          <w:rFonts w:ascii="StobiSerif Regular" w:hAnsi="StobiSerif Regular"/>
          <w:sz w:val="20"/>
          <w:szCs w:val="20"/>
          <w:lang w:val="mk-MK"/>
        </w:rPr>
        <w:t>Подзаконските акти ќе бидат донесени во рок од 6 месеци од донесување на Законот.</w:t>
      </w:r>
    </w:p>
    <w:p w:rsidR="004C4C95" w:rsidRDefault="004C4C95" w:rsidP="004C4C95">
      <w:pPr>
        <w:tabs>
          <w:tab w:val="left" w:pos="675"/>
        </w:tabs>
        <w:spacing w:line="276" w:lineRule="auto"/>
        <w:rPr>
          <w:rFonts w:ascii="StobiSerif Regular" w:hAnsi="StobiSerif Regular"/>
          <w:i/>
          <w:sz w:val="22"/>
          <w:szCs w:val="22"/>
          <w:lang w:val="mk-MK"/>
        </w:rPr>
      </w:pPr>
    </w:p>
    <w:p w:rsidR="004C4C95" w:rsidRPr="002D247A" w:rsidRDefault="004C4C95" w:rsidP="004C4C95">
      <w:pPr>
        <w:tabs>
          <w:tab w:val="left" w:pos="675"/>
        </w:tabs>
        <w:spacing w:line="276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i/>
          <w:sz w:val="22"/>
          <w:szCs w:val="22"/>
          <w:lang w:val="mk-MK"/>
        </w:rPr>
        <w:tab/>
      </w:r>
      <w:r>
        <w:rPr>
          <w:rFonts w:ascii="StobiSerif Regular" w:hAnsi="StobiSerif Regular"/>
          <w:sz w:val="20"/>
          <w:szCs w:val="20"/>
          <w:lang w:val="mk-MK"/>
        </w:rPr>
        <w:t>7.3</w:t>
      </w:r>
      <w:r>
        <w:rPr>
          <w:rFonts w:ascii="StobiSerif Regular" w:hAnsi="StobiSerif Regular"/>
          <w:sz w:val="20"/>
          <w:szCs w:val="20"/>
          <w:lang w:val="mk-MK"/>
        </w:rPr>
        <w:tab/>
      </w:r>
      <w:r w:rsidRPr="00C76BA6">
        <w:rPr>
          <w:rFonts w:ascii="StobiSerif Regular" w:hAnsi="StobiSerif Regular"/>
          <w:sz w:val="20"/>
          <w:szCs w:val="20"/>
          <w:lang w:val="mk-MK"/>
        </w:rPr>
        <w:t>Органи на државната управа, државни органи и други органи надлежни за спроведување</w:t>
      </w:r>
    </w:p>
    <w:p w:rsidR="004C4C95" w:rsidRPr="002D247A" w:rsidRDefault="00AB3D5F" w:rsidP="004C4C95">
      <w:pPr>
        <w:tabs>
          <w:tab w:val="left" w:pos="675"/>
        </w:tabs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ab/>
        <w:t>Министерство за транспорт и врски, Државен инспекторат за транспорт, Министерство за внатрешни работи, Царинска управа на Република Северна Македонија, единици на локална самоуправа.</w:t>
      </w:r>
    </w:p>
    <w:p w:rsidR="004C4C95" w:rsidRPr="0047147D" w:rsidRDefault="004C4C95" w:rsidP="004C4C95">
      <w:pPr>
        <w:numPr>
          <w:ilvl w:val="1"/>
          <w:numId w:val="4"/>
        </w:numPr>
        <w:jc w:val="both"/>
        <w:rPr>
          <w:rFonts w:ascii="StobiSerif Regular" w:hAnsi="StobiSerif Regular"/>
          <w:sz w:val="20"/>
          <w:szCs w:val="20"/>
          <w:lang w:val="mk-MK"/>
        </w:rPr>
      </w:pPr>
      <w:r w:rsidRPr="008E7298">
        <w:rPr>
          <w:rFonts w:ascii="StobiSerif Regular" w:hAnsi="StobiSerif Regular"/>
          <w:sz w:val="20"/>
          <w:szCs w:val="20"/>
          <w:lang w:val="mk-MK"/>
        </w:rPr>
        <w:t>Активности за обезбедување на ефикасно спроведување на предлогот на закон</w:t>
      </w:r>
    </w:p>
    <w:p w:rsidR="004C4C95" w:rsidRPr="002D247A" w:rsidRDefault="004C4C95" w:rsidP="004C4C95">
      <w:pPr>
        <w:ind w:left="144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4C4C95" w:rsidRPr="00035998" w:rsidRDefault="004C4C95" w:rsidP="004C4C95">
      <w:pPr>
        <w:shd w:val="clear" w:color="auto" w:fill="FBD4B4"/>
        <w:tabs>
          <w:tab w:val="left" w:pos="675"/>
        </w:tabs>
        <w:rPr>
          <w:rFonts w:ascii="StobiSerifPro" w:hAnsi="StobiSerifPro"/>
          <w:b/>
          <w:sz w:val="20"/>
          <w:szCs w:val="20"/>
          <w:lang w:val="mk-MK"/>
        </w:rPr>
      </w:pPr>
      <w:r w:rsidRPr="00035998">
        <w:rPr>
          <w:rFonts w:ascii="StobiSerifPro" w:hAnsi="StobiSerifPro"/>
          <w:b/>
          <w:sz w:val="20"/>
          <w:szCs w:val="20"/>
          <w:lang w:val="mk-MK"/>
        </w:rPr>
        <w:t>8.</w:t>
      </w:r>
      <w:r w:rsidRPr="00035998">
        <w:rPr>
          <w:rFonts w:ascii="StobiSerifPro" w:hAnsi="StobiSerifPro"/>
          <w:b/>
          <w:sz w:val="20"/>
          <w:szCs w:val="20"/>
          <w:lang w:val="mk-MK"/>
        </w:rPr>
        <w:tab/>
        <w:t>Следење и евалуација</w:t>
      </w:r>
    </w:p>
    <w:p w:rsidR="004C4C95" w:rsidRPr="00831B79" w:rsidRDefault="004C4C95" w:rsidP="004C4C95">
      <w:pPr>
        <w:jc w:val="both"/>
        <w:rPr>
          <w:rFonts w:ascii="StobiSerif Regular" w:hAnsi="StobiSerif Regular"/>
          <w:i/>
          <w:sz w:val="22"/>
          <w:szCs w:val="22"/>
          <w:lang w:val="ru-RU"/>
        </w:rPr>
      </w:pPr>
    </w:p>
    <w:p w:rsidR="004C4C95" w:rsidRPr="003753C9" w:rsidRDefault="004C4C95" w:rsidP="004C4C95">
      <w:pPr>
        <w:numPr>
          <w:ilvl w:val="1"/>
          <w:numId w:val="5"/>
        </w:numPr>
        <w:jc w:val="both"/>
        <w:rPr>
          <w:rFonts w:ascii="StobiSerif Regular" w:hAnsi="StobiSerif Regular"/>
          <w:sz w:val="20"/>
          <w:szCs w:val="20"/>
          <w:lang w:val="mk-MK"/>
        </w:rPr>
      </w:pPr>
      <w:r w:rsidRPr="003753C9">
        <w:rPr>
          <w:rFonts w:ascii="StobiSerif Regular" w:hAnsi="StobiSerif Regular"/>
          <w:sz w:val="20"/>
          <w:szCs w:val="20"/>
          <w:lang w:val="mk-MK"/>
        </w:rPr>
        <w:t>Начин на следење на спроведувањето</w:t>
      </w:r>
    </w:p>
    <w:p w:rsidR="004C4C95" w:rsidRPr="00A06575" w:rsidRDefault="004C4C95" w:rsidP="004C4C95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4C4C95" w:rsidRPr="002D247A" w:rsidRDefault="004C4C95" w:rsidP="004C4C95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A06575">
        <w:rPr>
          <w:rFonts w:ascii="StobiSerif Regular" w:hAnsi="StobiSerif Regular"/>
          <w:sz w:val="20"/>
          <w:szCs w:val="20"/>
          <w:lang w:val="mk-MK"/>
        </w:rPr>
        <w:tab/>
        <w:t>Министерство за транспорт и врски</w:t>
      </w:r>
      <w:r>
        <w:rPr>
          <w:rFonts w:ascii="StobiSerif Regular" w:hAnsi="StobiSerif Regular"/>
          <w:sz w:val="20"/>
          <w:szCs w:val="20"/>
          <w:lang w:val="mk-MK"/>
        </w:rPr>
        <w:t xml:space="preserve"> ќе го следи имплементирањето на овој закон.</w:t>
      </w:r>
    </w:p>
    <w:p w:rsidR="004C4C95" w:rsidRPr="00C76BA6" w:rsidRDefault="004C4C95" w:rsidP="004C4C95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:rsidR="004C4C95" w:rsidRDefault="004C4C95" w:rsidP="004C4C95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3753C9">
        <w:rPr>
          <w:rFonts w:ascii="StobiSerif Regular" w:hAnsi="StobiSerif Regular"/>
          <w:sz w:val="20"/>
          <w:szCs w:val="20"/>
          <w:lang w:val="mk-MK"/>
        </w:rPr>
        <w:t>8.2</w:t>
      </w:r>
      <w:r w:rsidRPr="003753C9">
        <w:rPr>
          <w:rFonts w:ascii="StobiSerif Regular" w:hAnsi="StobiSerif Regular"/>
          <w:sz w:val="20"/>
          <w:szCs w:val="20"/>
          <w:lang w:val="mk-MK"/>
        </w:rPr>
        <w:tab/>
        <w:t xml:space="preserve">Евалуација на ефектите од предлогот на закон и рокови </w:t>
      </w:r>
    </w:p>
    <w:p w:rsidR="00C51626" w:rsidRDefault="00C51626" w:rsidP="004C4C95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C51626" w:rsidRDefault="00C51626" w:rsidP="00C51626">
      <w:pPr>
        <w:rPr>
          <w:rFonts w:ascii="StobiSerifPro" w:hAnsi="StobiSerifPro"/>
          <w:sz w:val="20"/>
          <w:szCs w:val="20"/>
          <w:lang w:val="mk-MK"/>
        </w:rPr>
      </w:pPr>
    </w:p>
    <w:p w:rsidR="00C51626" w:rsidRPr="00C51626" w:rsidRDefault="00C51626" w:rsidP="00C516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jc w:val="center"/>
        <w:rPr>
          <w:rFonts w:ascii="StobiSerif Regular" w:hAnsi="StobiSerif Regular"/>
          <w:sz w:val="20"/>
          <w:szCs w:val="20"/>
          <w:lang w:val="mk-MK"/>
        </w:rPr>
      </w:pPr>
      <w:r w:rsidRPr="00C51626">
        <w:rPr>
          <w:rFonts w:ascii="StobiSerif Regular" w:hAnsi="StobiSerif Regular"/>
          <w:b/>
          <w:sz w:val="20"/>
          <w:szCs w:val="20"/>
          <w:lang w:val="mk-MK"/>
        </w:rPr>
        <w:lastRenderedPageBreak/>
        <w:t>Изјава од Државниот секретар</w:t>
      </w:r>
    </w:p>
    <w:p w:rsidR="00C51626" w:rsidRPr="00C51626" w:rsidRDefault="00C51626" w:rsidP="00C516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C51626">
        <w:rPr>
          <w:rFonts w:ascii="StobiSerif Regular" w:hAnsi="StobiSerif Regular"/>
          <w:b/>
          <w:sz w:val="20"/>
          <w:szCs w:val="20"/>
          <w:lang w:val="ru-RU"/>
        </w:rPr>
        <w:t xml:space="preserve">Нацрт </w:t>
      </w:r>
      <w:r w:rsidRPr="00C51626">
        <w:rPr>
          <w:rFonts w:ascii="StobiSerif Regular" w:hAnsi="StobiSerif Regular"/>
          <w:b/>
          <w:sz w:val="20"/>
          <w:szCs w:val="20"/>
          <w:lang w:val="mk-MK"/>
        </w:rPr>
        <w:t>Извештајот за проценка на влијанието на регулативата е изготвен во согласност со Методологијата за проценка на влијанието на регулативата. Тој дава реална проценка на можните влијанија и очекуваните ефекти, како и трошоците кои се однесуваат на секоја од утврдените можни решенија (опции) за решавање на проблемот</w:t>
      </w:r>
      <w:r w:rsidRPr="00C51626">
        <w:rPr>
          <w:rFonts w:ascii="StobiSerif Regular" w:hAnsi="StobiSerif Regular"/>
          <w:b/>
          <w:sz w:val="20"/>
          <w:szCs w:val="20"/>
          <w:lang w:val="ru-RU"/>
        </w:rPr>
        <w:t>.</w:t>
      </w:r>
    </w:p>
    <w:p w:rsidR="00C51626" w:rsidRPr="00C51626" w:rsidRDefault="00C51626" w:rsidP="00C516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C51626">
        <w:rPr>
          <w:rFonts w:ascii="StobiSerif Regular" w:hAnsi="StobiSerif Regular"/>
          <w:b/>
          <w:sz w:val="20"/>
          <w:szCs w:val="20"/>
          <w:lang w:val="mk-MK"/>
        </w:rPr>
        <w:t xml:space="preserve">Датум:   _____________                                                                                        </w:t>
      </w:r>
      <w:r w:rsidRPr="00C51626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C51626">
        <w:rPr>
          <w:rFonts w:ascii="StobiSerif Regular" w:hAnsi="StobiSerif Regular"/>
          <w:b/>
          <w:sz w:val="20"/>
          <w:szCs w:val="20"/>
          <w:lang w:val="mk-MK"/>
        </w:rPr>
        <w:tab/>
        <w:t xml:space="preserve">             </w:t>
      </w:r>
    </w:p>
    <w:p w:rsidR="00C51626" w:rsidRPr="00C51626" w:rsidRDefault="00C51626" w:rsidP="00C516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C51626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C51626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C51626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C51626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C51626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C51626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C51626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C51626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C51626">
        <w:rPr>
          <w:rFonts w:ascii="StobiSerif Regular" w:hAnsi="StobiSerif Regular"/>
          <w:b/>
          <w:sz w:val="20"/>
          <w:szCs w:val="20"/>
          <w:lang w:val="mk-MK"/>
        </w:rPr>
        <w:tab/>
        <w:t>.........................................................</w:t>
      </w:r>
    </w:p>
    <w:p w:rsidR="00C51626" w:rsidRPr="00C51626" w:rsidRDefault="00C51626" w:rsidP="00C516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C51626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                                                потпис на државниот секретар</w:t>
      </w:r>
    </w:p>
    <w:p w:rsidR="00C51626" w:rsidRPr="00C51626" w:rsidRDefault="00C51626" w:rsidP="00C516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jc w:val="both"/>
        <w:rPr>
          <w:rFonts w:ascii="StobiSerif Regular" w:hAnsi="StobiSerif Regular"/>
          <w:b/>
          <w:sz w:val="20"/>
          <w:szCs w:val="20"/>
          <w:lang w:val="ru-RU"/>
        </w:rPr>
      </w:pPr>
      <w:r w:rsidRPr="00C51626">
        <w:rPr>
          <w:rFonts w:ascii="StobiSerif Regular" w:hAnsi="StobiSerif Regular"/>
          <w:b/>
          <w:sz w:val="20"/>
          <w:szCs w:val="20"/>
          <w:lang w:val="ru-RU"/>
        </w:rPr>
        <w:t xml:space="preserve"> </w:t>
      </w:r>
    </w:p>
    <w:p w:rsidR="00C51626" w:rsidRPr="00C51626" w:rsidRDefault="00C51626" w:rsidP="00C51626">
      <w:pPr>
        <w:rPr>
          <w:rFonts w:ascii="StobiSerif Regular" w:hAnsi="StobiSerif Regular"/>
          <w:b/>
          <w:sz w:val="20"/>
          <w:szCs w:val="20"/>
          <w:lang w:val="mk-MK"/>
        </w:rPr>
      </w:pPr>
      <w:r w:rsidRPr="00C51626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         </w:t>
      </w:r>
    </w:p>
    <w:p w:rsidR="00C51626" w:rsidRPr="00C51626" w:rsidRDefault="00C51626" w:rsidP="00C51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center"/>
        <w:rPr>
          <w:rFonts w:ascii="StobiSerif Regular" w:hAnsi="StobiSerif Regular"/>
          <w:sz w:val="20"/>
          <w:szCs w:val="20"/>
          <w:lang w:val="mk-MK"/>
        </w:rPr>
      </w:pPr>
      <w:r w:rsidRPr="00C51626">
        <w:rPr>
          <w:rFonts w:ascii="StobiSerif Regular" w:hAnsi="StobiSerif Regular"/>
          <w:b/>
          <w:sz w:val="20"/>
          <w:szCs w:val="20"/>
          <w:lang w:val="mk-MK"/>
        </w:rPr>
        <w:t>Изјава од министерот</w:t>
      </w:r>
    </w:p>
    <w:p w:rsidR="00C51626" w:rsidRPr="00C51626" w:rsidRDefault="00C51626" w:rsidP="00C51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ru-RU"/>
        </w:rPr>
      </w:pPr>
      <w:bookmarkStart w:id="8" w:name="_GoBack"/>
      <w:bookmarkEnd w:id="8"/>
    </w:p>
    <w:p w:rsidR="00C51626" w:rsidRPr="00C51626" w:rsidRDefault="00C51626" w:rsidP="00C51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C51626">
        <w:rPr>
          <w:rFonts w:ascii="StobiSerif Regular" w:hAnsi="StobiSerif Regular"/>
          <w:b/>
          <w:sz w:val="20"/>
          <w:szCs w:val="20"/>
          <w:lang w:val="mk-MK"/>
        </w:rPr>
        <w:t xml:space="preserve">Врз основа на резултатите од анализите прикажани во Извештајот за проценка на влијанието на регулативата сметам дека препорачаното решение (опција) претставува најдобар начин за решавање на проблемот и постигнување на очекуваните ефекти на најекономичен начин. </w:t>
      </w:r>
    </w:p>
    <w:p w:rsidR="00C51626" w:rsidRPr="00C51626" w:rsidRDefault="00C51626" w:rsidP="00C51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ru-RU"/>
        </w:rPr>
      </w:pPr>
    </w:p>
    <w:p w:rsidR="00C51626" w:rsidRPr="00C51626" w:rsidRDefault="00C51626" w:rsidP="00C51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ru-RU"/>
        </w:rPr>
      </w:pPr>
      <w:r w:rsidRPr="00C51626">
        <w:rPr>
          <w:rFonts w:ascii="StobiSerif Regular" w:hAnsi="StobiSerif Regular"/>
          <w:b/>
          <w:sz w:val="20"/>
          <w:szCs w:val="20"/>
          <w:lang w:val="mk-MK"/>
        </w:rPr>
        <w:t>Датум:____________                                                                                                   ...........................</w:t>
      </w:r>
      <w:r w:rsidRPr="00C51626">
        <w:rPr>
          <w:rFonts w:ascii="StobiSerif Regular" w:hAnsi="StobiSerif Regular"/>
          <w:b/>
          <w:sz w:val="20"/>
          <w:szCs w:val="20"/>
          <w:lang w:val="ru-RU"/>
        </w:rPr>
        <w:t>................</w:t>
      </w:r>
    </w:p>
    <w:p w:rsidR="00C51626" w:rsidRPr="00C51626" w:rsidRDefault="00C51626" w:rsidP="00C51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ru-RU"/>
        </w:rPr>
      </w:pPr>
      <w:r w:rsidRPr="00C51626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                                                                 потпис на министерот</w:t>
      </w:r>
      <w:r w:rsidRPr="00C51626">
        <w:rPr>
          <w:rFonts w:ascii="StobiSerif Regular" w:hAnsi="StobiSerif Regular"/>
          <w:b/>
          <w:sz w:val="20"/>
          <w:szCs w:val="20"/>
          <w:lang w:val="ru-RU"/>
        </w:rPr>
        <w:t xml:space="preserve"> </w:t>
      </w:r>
    </w:p>
    <w:p w:rsidR="00C51626" w:rsidRPr="00C51626" w:rsidRDefault="00C51626" w:rsidP="004C4C95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4C4C95" w:rsidRPr="00C51626" w:rsidRDefault="004C4C95" w:rsidP="004C4C95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4C4C95" w:rsidRPr="001C3E13" w:rsidRDefault="004C4C95" w:rsidP="004C4C95">
      <w:pPr>
        <w:rPr>
          <w:rFonts w:ascii="StobiSerif Regular" w:hAnsi="StobiSerif Regular"/>
          <w:b/>
          <w:sz w:val="20"/>
          <w:szCs w:val="20"/>
          <w:lang w:val="mk-MK"/>
        </w:rPr>
      </w:pPr>
    </w:p>
    <w:sectPr w:rsidR="004C4C95" w:rsidRPr="001C3E13" w:rsidSect="002D2F0A">
      <w:headerReference w:type="default" r:id="rId7"/>
      <w:footerReference w:type="default" r:id="rId8"/>
      <w:pgSz w:w="11906" w:h="16838"/>
      <w:pgMar w:top="1440" w:right="969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438" w:rsidRDefault="006B4438">
      <w:r>
        <w:separator/>
      </w:r>
    </w:p>
  </w:endnote>
  <w:endnote w:type="continuationSeparator" w:id="0">
    <w:p w:rsidR="006B4438" w:rsidRDefault="006B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biSerifPro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">
    <w:altName w:val="StobiSerif Regular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EC" w:rsidRDefault="0098266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601F">
      <w:rPr>
        <w:noProof/>
      </w:rPr>
      <w:t>5</w:t>
    </w:r>
    <w:r>
      <w:fldChar w:fldCharType="end"/>
    </w:r>
  </w:p>
  <w:p w:rsidR="001B51EC" w:rsidRDefault="00A16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438" w:rsidRDefault="006B4438">
      <w:r>
        <w:separator/>
      </w:r>
    </w:p>
  </w:footnote>
  <w:footnote w:type="continuationSeparator" w:id="0">
    <w:p w:rsidR="006B4438" w:rsidRDefault="006B4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EE" w:rsidRDefault="004C4C95" w:rsidP="00EF65EE">
    <w:pPr>
      <w:pStyle w:val="Header"/>
      <w:jc w:val="center"/>
      <w:rPr>
        <w:rFonts w:ascii="StobiSerif" w:hAnsi="StobiSerif"/>
        <w:noProof/>
        <w:sz w:val="22"/>
        <w:szCs w:val="22"/>
        <w:lang w:val="mk-MK" w:eastAsia="mk-MK"/>
      </w:rPr>
    </w:pPr>
    <w:r w:rsidRPr="0093438E">
      <w:rPr>
        <w:rFonts w:ascii="StobiSerif" w:hAnsi="StobiSerif"/>
        <w:noProof/>
        <w:sz w:val="22"/>
        <w:szCs w:val="22"/>
        <w:lang w:val="en-US" w:eastAsia="en-US"/>
      </w:rPr>
      <w:drawing>
        <wp:inline distT="0" distB="0" distL="0" distR="0">
          <wp:extent cx="2581275" cy="952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4FB1" w:rsidRPr="00324FB1" w:rsidRDefault="0098266C" w:rsidP="00324FB1">
    <w:pPr>
      <w:pStyle w:val="Header"/>
      <w:tabs>
        <w:tab w:val="clear" w:pos="4513"/>
        <w:tab w:val="clear" w:pos="9026"/>
      </w:tabs>
      <w:jc w:val="center"/>
      <w:rPr>
        <w:b/>
        <w:sz w:val="20"/>
        <w:szCs w:val="20"/>
      </w:rPr>
    </w:pPr>
    <w:r w:rsidRPr="00324FB1">
      <w:rPr>
        <w:rFonts w:ascii="StobiSerif" w:hAnsi="StobiSerif"/>
        <w:b/>
        <w:noProof/>
        <w:sz w:val="20"/>
        <w:szCs w:val="20"/>
        <w:lang w:val="mk-MK" w:eastAsia="mk-MK"/>
      </w:rPr>
      <w:t>МИНИСТЕРСТВО ЗА</w:t>
    </w:r>
    <w:r>
      <w:rPr>
        <w:rFonts w:ascii="StobiSerif" w:hAnsi="StobiSerif"/>
        <w:b/>
        <w:noProof/>
        <w:sz w:val="20"/>
        <w:szCs w:val="20"/>
        <w:lang w:val="mk-MK" w:eastAsia="mk-MK"/>
      </w:rPr>
      <w:t xml:space="preserve"> ТРАНСПОРТ И ВРСКИ</w:t>
    </w:r>
  </w:p>
  <w:p w:rsidR="00EF65EE" w:rsidRDefault="00A160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474B5"/>
    <w:multiLevelType w:val="multilevel"/>
    <w:tmpl w:val="14A8EEA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48E838F3"/>
    <w:multiLevelType w:val="multilevel"/>
    <w:tmpl w:val="EDA6859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">
    <w:nsid w:val="5147471E"/>
    <w:multiLevelType w:val="multilevel"/>
    <w:tmpl w:val="2F72890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">
    <w:nsid w:val="5B970187"/>
    <w:multiLevelType w:val="multilevel"/>
    <w:tmpl w:val="7B947F5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4">
    <w:nsid w:val="783D0F5C"/>
    <w:multiLevelType w:val="multilevel"/>
    <w:tmpl w:val="1E725762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5"/>
    <w:rsid w:val="0031210E"/>
    <w:rsid w:val="00443CCF"/>
    <w:rsid w:val="004970EE"/>
    <w:rsid w:val="004C1DD6"/>
    <w:rsid w:val="004C4C95"/>
    <w:rsid w:val="006B4438"/>
    <w:rsid w:val="006E33BF"/>
    <w:rsid w:val="0077524A"/>
    <w:rsid w:val="0098266C"/>
    <w:rsid w:val="00A1601F"/>
    <w:rsid w:val="00A7739C"/>
    <w:rsid w:val="00AB3D5F"/>
    <w:rsid w:val="00AC6E80"/>
    <w:rsid w:val="00AF46B3"/>
    <w:rsid w:val="00C0035C"/>
    <w:rsid w:val="00C51626"/>
    <w:rsid w:val="00E249D3"/>
    <w:rsid w:val="00E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9AA1F-B551-45D2-B4CB-60D89F28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C95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C4C95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4C4C95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C4C95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4C4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Jankulovska</dc:creator>
  <cp:keywords/>
  <dc:description/>
  <cp:lastModifiedBy>Tatjana Labovic</cp:lastModifiedBy>
  <cp:revision>9</cp:revision>
  <dcterms:created xsi:type="dcterms:W3CDTF">2022-10-18T06:09:00Z</dcterms:created>
  <dcterms:modified xsi:type="dcterms:W3CDTF">2023-03-17T12:40:00Z</dcterms:modified>
</cp:coreProperties>
</file>