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DE" w:rsidRPr="0064373B" w:rsidRDefault="00EB04E8" w:rsidP="00187F5B">
      <w:pPr>
        <w:jc w:val="right"/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en-US"/>
        </w:rPr>
        <w:t xml:space="preserve"> </w:t>
      </w:r>
      <w:r w:rsidR="00187F5B" w:rsidRPr="0064373B">
        <w:rPr>
          <w:rFonts w:ascii="StobiSerifPro" w:hAnsi="StobiSerifPro"/>
          <w:b/>
          <w:sz w:val="20"/>
          <w:szCs w:val="20"/>
          <w:lang w:val="mk-MK"/>
        </w:rPr>
        <w:t>П Р И Л О Г</w:t>
      </w:r>
    </w:p>
    <w:p w:rsidR="00187F5B" w:rsidRPr="0064373B" w:rsidRDefault="00187F5B" w:rsidP="007F181B">
      <w:pPr>
        <w:jc w:val="center"/>
        <w:rPr>
          <w:rFonts w:ascii="StobiSerifPro" w:hAnsi="StobiSerifPro"/>
          <w:b/>
          <w:sz w:val="20"/>
          <w:szCs w:val="20"/>
          <w:lang w:val="en-US"/>
        </w:rPr>
      </w:pPr>
    </w:p>
    <w:p w:rsidR="00897CA7" w:rsidRPr="0064373B" w:rsidRDefault="00897CA7" w:rsidP="007F181B">
      <w:pPr>
        <w:jc w:val="center"/>
        <w:rPr>
          <w:rFonts w:ascii="StobiSerifPro" w:hAnsi="StobiSerifPro"/>
          <w:b/>
          <w:sz w:val="20"/>
          <w:szCs w:val="20"/>
          <w:lang w:val="en-US"/>
        </w:rPr>
      </w:pPr>
    </w:p>
    <w:p w:rsidR="007F181B" w:rsidRPr="0064373B" w:rsidRDefault="000A6B7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187F5B" w:rsidRPr="0064373B" w:rsidRDefault="00187F5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87764B" w:rsidRPr="0064373B" w:rsidRDefault="0087764B" w:rsidP="002D2F0A">
      <w:pPr>
        <w:ind w:left="284"/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926"/>
      </w:tblGrid>
      <w:tr w:rsidR="007F181B" w:rsidRPr="0064373B" w:rsidTr="00187F5B">
        <w:trPr>
          <w:trHeight w:val="287"/>
        </w:trPr>
        <w:tc>
          <w:tcPr>
            <w:tcW w:w="3105" w:type="dxa"/>
            <w:shd w:val="clear" w:color="auto" w:fill="FBD4B4"/>
          </w:tcPr>
          <w:p w:rsidR="007F181B" w:rsidRPr="0064373B" w:rsidRDefault="00C771C6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64373B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926" w:type="dxa"/>
          </w:tcPr>
          <w:p w:rsidR="0084277C" w:rsidRPr="0064373B" w:rsidRDefault="0084277C" w:rsidP="0084277C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земјоделство, шумарство и водостопанство</w:t>
            </w:r>
          </w:p>
          <w:p w:rsidR="006F1327" w:rsidRPr="0064373B" w:rsidRDefault="006F1327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EF65EE" w:rsidRPr="0064373B" w:rsidRDefault="00EF65EE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64373B" w:rsidTr="00187F5B">
        <w:trPr>
          <w:trHeight w:val="622"/>
        </w:trPr>
        <w:tc>
          <w:tcPr>
            <w:tcW w:w="3105" w:type="dxa"/>
            <w:shd w:val="clear" w:color="auto" w:fill="FBD4B4"/>
          </w:tcPr>
          <w:p w:rsidR="007F181B" w:rsidRPr="0064373B" w:rsidRDefault="005D0CB8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 w:rsidRPr="0064373B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64373B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</w:tcPr>
          <w:p w:rsidR="00EF65EE" w:rsidRPr="005D3D5B" w:rsidRDefault="0084277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bCs/>
                <w:sz w:val="20"/>
                <w:szCs w:val="20"/>
                <w:lang w:val="mk-MK"/>
              </w:rPr>
              <w:t xml:space="preserve">Закон за </w:t>
            </w:r>
            <w:r w:rsidR="00897CA7" w:rsidRPr="0064373B">
              <w:rPr>
                <w:rFonts w:ascii="StobiSerifPro" w:hAnsi="StobiSerifPro"/>
                <w:bCs/>
                <w:sz w:val="20"/>
                <w:szCs w:val="20"/>
                <w:lang w:val="mk-MK"/>
              </w:rPr>
              <w:t xml:space="preserve">изменување и дополнување на Законот за </w:t>
            </w:r>
            <w:r w:rsidR="005D3D5B">
              <w:rPr>
                <w:rFonts w:ascii="StobiSerifPro" w:hAnsi="StobiSerifPro"/>
                <w:bCs/>
                <w:sz w:val="20"/>
                <w:szCs w:val="20"/>
                <w:lang w:val="mk-MK"/>
              </w:rPr>
              <w:t>земјоделство и рурален развој</w:t>
            </w:r>
          </w:p>
          <w:p w:rsidR="00EF65EE" w:rsidRPr="0064373B" w:rsidRDefault="00EF65EE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64373B" w:rsidTr="00187F5B">
        <w:trPr>
          <w:trHeight w:val="435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926" w:type="dxa"/>
          </w:tcPr>
          <w:p w:rsidR="0099035A" w:rsidRDefault="005D3D5B" w:rsidP="0084277C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Александар Диље</w:t>
            </w:r>
            <w:r w:rsidR="006B1CE1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, </w:t>
            </w:r>
          </w:p>
          <w:p w:rsidR="006B1CE1" w:rsidRPr="0064373B" w:rsidRDefault="006B1CE1" w:rsidP="0084277C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земјоделство, шумарство и водостопанство</w:t>
            </w:r>
          </w:p>
          <w:p w:rsidR="00EF65EE" w:rsidRDefault="006B1CE1" w:rsidP="005D3D5B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е-пошта: </w:t>
            </w:r>
            <w:hyperlink r:id="rId11" w:history="1">
              <w:r w:rsidR="005D3D5B" w:rsidRPr="000C5A94">
                <w:rPr>
                  <w:rStyle w:val="Hyperlink"/>
                  <w:rFonts w:ascii="StobiSerifPro" w:hAnsi="StobiSerifPro"/>
                  <w:sz w:val="20"/>
                  <w:szCs w:val="20"/>
                  <w:lang w:val="en-US"/>
                </w:rPr>
                <w:t>aleksandar.dilje@mzsv.gov.mk</w:t>
              </w:r>
            </w:hyperlink>
            <w:r w:rsidR="005D3D5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897CA7"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</w:p>
          <w:p w:rsidR="0099035A" w:rsidRDefault="0099035A" w:rsidP="005D3D5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99035A" w:rsidRDefault="0099035A" w:rsidP="005D3D5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Александар Мусалевски, </w:t>
            </w:r>
          </w:p>
          <w:p w:rsidR="0099035A" w:rsidRDefault="0099035A" w:rsidP="005D3D5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99035A"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земјоделство, шумарство и водостопанство</w:t>
            </w:r>
          </w:p>
          <w:p w:rsidR="0099035A" w:rsidRPr="0099035A" w:rsidRDefault="0099035A" w:rsidP="005D3D5B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Е- пошта: </w:t>
            </w:r>
            <w:hyperlink r:id="rId12" w:history="1">
              <w:r w:rsidRPr="000C5A94">
                <w:rPr>
                  <w:rStyle w:val="Hyperlink"/>
                  <w:rFonts w:ascii="StobiSerifPro" w:hAnsi="StobiSerifPro"/>
                  <w:sz w:val="20"/>
                  <w:szCs w:val="20"/>
                  <w:lang w:val="en-US"/>
                </w:rPr>
                <w:t>a.musalevski@mzsv.gov.mk</w:t>
              </w:r>
            </w:hyperlink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</w:p>
        </w:tc>
      </w:tr>
      <w:tr w:rsidR="00855CE5" w:rsidRPr="0064373B" w:rsidTr="006B1CE1">
        <w:trPr>
          <w:trHeight w:val="1051"/>
        </w:trPr>
        <w:tc>
          <w:tcPr>
            <w:tcW w:w="3105" w:type="dxa"/>
            <w:shd w:val="clear" w:color="auto" w:fill="FBD4B4"/>
          </w:tcPr>
          <w:p w:rsidR="00EF65EE" w:rsidRPr="0064373B" w:rsidRDefault="00EF65EE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855CE5" w:rsidRPr="0064373B" w:rsidRDefault="00855CE5" w:rsidP="00187F5B">
            <w:pPr>
              <w:jc w:val="center"/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  <w:r w:rsidR="00EF65EE"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  <w:shd w:val="clear" w:color="auto" w:fill="auto"/>
          </w:tcPr>
          <w:p w:rsidR="00855CE5" w:rsidRPr="0064373B" w:rsidRDefault="0084277C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4373B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64373B">
              <w:rPr>
                <w:rFonts w:ascii="StobiSerifPro" w:hAnsi="StobiSerifPro"/>
                <w:sz w:val="20"/>
                <w:szCs w:val="20"/>
              </w:rPr>
            </w:r>
            <w:r w:rsidRPr="0064373B">
              <w:rPr>
                <w:rFonts w:ascii="StobiSerifPro" w:hAnsi="StobiSerifPro"/>
                <w:sz w:val="20"/>
                <w:szCs w:val="20"/>
              </w:rPr>
              <w:fldChar w:fldCharType="end"/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855CE5" w:rsidRPr="0064373B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  <w:p w:rsidR="00855CE5" w:rsidRPr="0064373B" w:rsidRDefault="00107852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2"/>
            <w:r w:rsidRPr="0064373B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62524F" w:rsidRPr="0064373B">
              <w:rPr>
                <w:rFonts w:ascii="StobiSerifPro" w:hAnsi="StobiSerifPro"/>
                <w:sz w:val="20"/>
                <w:szCs w:val="20"/>
              </w:rPr>
            </w:r>
            <w:r w:rsidRPr="0064373B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B020B6" w:rsidRPr="0064373B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64373B" w:rsidTr="00187F5B">
        <w:trPr>
          <w:trHeight w:val="1243"/>
        </w:trPr>
        <w:tc>
          <w:tcPr>
            <w:tcW w:w="3105" w:type="dxa"/>
            <w:shd w:val="clear" w:color="auto" w:fill="FBD4B4"/>
          </w:tcPr>
          <w:p w:rsidR="00EF65EE" w:rsidRPr="0064373B" w:rsidRDefault="00EF65EE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EF65EE" w:rsidRPr="0064373B" w:rsidRDefault="00EF65EE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 w:rsidRPr="0064373B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926" w:type="dxa"/>
          </w:tcPr>
          <w:p w:rsidR="007F181B" w:rsidRPr="0064373B" w:rsidRDefault="00897CA7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73B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64373B">
              <w:rPr>
                <w:rFonts w:ascii="StobiSerifPro" w:hAnsi="StobiSerifPro"/>
                <w:sz w:val="20"/>
                <w:szCs w:val="20"/>
              </w:rPr>
            </w:r>
            <w:r w:rsidRPr="0064373B">
              <w:rPr>
                <w:rFonts w:ascii="StobiSerifPro" w:hAnsi="StobiSerifPro"/>
                <w:sz w:val="20"/>
                <w:szCs w:val="20"/>
              </w:rPr>
              <w:fldChar w:fldCharType="end"/>
            </w:r>
            <w:r w:rsidR="00EF65EE" w:rsidRPr="0064373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187F5B" w:rsidRPr="0064373B">
              <w:rPr>
                <w:rFonts w:ascii="StobiSerifPro" w:hAnsi="StobiSerifPro"/>
                <w:sz w:val="20"/>
                <w:szCs w:val="20"/>
              </w:rPr>
              <w:t>Годишна п</w:t>
            </w:r>
            <w:r w:rsidR="007F181B" w:rsidRPr="0064373B">
              <w:rPr>
                <w:rFonts w:ascii="StobiSerifPro" w:hAnsi="StobiSerifPro"/>
                <w:sz w:val="20"/>
                <w:szCs w:val="20"/>
              </w:rPr>
              <w:t>рограма за работа на Владата</w:t>
            </w:r>
            <w:r w:rsidR="001D3748" w:rsidRPr="0064373B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  <w:r w:rsidR="00EF65EE" w:rsidRPr="0064373B">
              <w:rPr>
                <w:rFonts w:ascii="StobiSerifPro" w:hAnsi="StobiSerifPro"/>
                <w:sz w:val="20"/>
                <w:szCs w:val="20"/>
              </w:rPr>
              <w:t xml:space="preserve"> Северна</w:t>
            </w:r>
            <w:r w:rsidR="00187F5B" w:rsidRPr="0064373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1D3748" w:rsidRPr="0064373B">
              <w:rPr>
                <w:rFonts w:ascii="StobiSerifPro" w:hAnsi="StobiSerifPro"/>
                <w:sz w:val="20"/>
                <w:szCs w:val="20"/>
              </w:rPr>
              <w:t>Македонија</w:t>
            </w: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  <w:p w:rsidR="007F181B" w:rsidRPr="0064373B" w:rsidRDefault="00107852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64373B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64373B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62524F" w:rsidRPr="0064373B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1"/>
            <w:r w:rsidR="00EF65EE" w:rsidRPr="0064373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7F181B" w:rsidRPr="0064373B">
              <w:rPr>
                <w:rFonts w:ascii="StobiSerifPro" w:hAnsi="StobiSerifPro"/>
                <w:sz w:val="20"/>
                <w:szCs w:val="20"/>
              </w:rPr>
              <w:t>НПАА</w:t>
            </w:r>
          </w:p>
          <w:p w:rsidR="007F181B" w:rsidRPr="0064373B" w:rsidRDefault="00897CA7" w:rsidP="0084277C">
            <w:pPr>
              <w:pStyle w:val="ListParagraph"/>
              <w:spacing w:after="0" w:line="240" w:lineRule="auto"/>
              <w:ind w:left="0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EF236E"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r w:rsidR="00EF236E" w:rsidRPr="0064373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7F181B" w:rsidRPr="0064373B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 w:rsidRPr="0064373B">
              <w:rPr>
                <w:rFonts w:ascii="StobiSerifPro" w:hAnsi="StobiSerifPro"/>
                <w:sz w:val="20"/>
                <w:szCs w:val="20"/>
              </w:rPr>
              <w:t xml:space="preserve"> на Република </w:t>
            </w:r>
            <w:r w:rsidR="00EF65EE" w:rsidRPr="0064373B">
              <w:rPr>
                <w:rFonts w:ascii="StobiSerifPro" w:hAnsi="StobiSerifPro"/>
                <w:sz w:val="20"/>
                <w:szCs w:val="20"/>
              </w:rPr>
              <w:t xml:space="preserve">Северна </w:t>
            </w:r>
            <w:r w:rsidR="001D3748" w:rsidRPr="0064373B">
              <w:rPr>
                <w:rFonts w:ascii="StobiSerifPro" w:hAnsi="StobiSerifPro"/>
                <w:sz w:val="20"/>
                <w:szCs w:val="20"/>
              </w:rPr>
              <w:t>Македонија</w:t>
            </w: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  <w:p w:rsidR="007F181B" w:rsidRPr="0064373B" w:rsidRDefault="00897CA7" w:rsidP="00EF236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r w:rsidR="00EF236E" w:rsidRPr="0064373B">
              <w:rPr>
                <w:rFonts w:ascii="StobiSerifPro" w:hAnsi="StobiSerifPro"/>
                <w:sz w:val="20"/>
                <w:szCs w:val="20"/>
              </w:rPr>
              <w:t xml:space="preserve">Друго </w:t>
            </w:r>
          </w:p>
        </w:tc>
      </w:tr>
      <w:tr w:rsidR="007F181B" w:rsidRPr="0064373B" w:rsidTr="00187F5B">
        <w:trPr>
          <w:trHeight w:val="634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  <w:r w:rsidR="00EF65EE"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</w:tcPr>
          <w:p w:rsidR="007F181B" w:rsidRPr="0064373B" w:rsidRDefault="0084277C" w:rsidP="00EF65EE">
            <w:pPr>
              <w:pStyle w:val="ListParagraph"/>
              <w:ind w:left="23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>/</w:t>
            </w:r>
          </w:p>
        </w:tc>
      </w:tr>
      <w:tr w:rsidR="007F181B" w:rsidRPr="0064373B" w:rsidTr="00187F5B">
        <w:trPr>
          <w:trHeight w:val="1228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 w:rsidRPr="0064373B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 w:rsidRPr="0064373B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</w:t>
            </w:r>
            <w:r w:rsidR="00EF65EE"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</w:tcPr>
          <w:p w:rsidR="007F181B" w:rsidRPr="0064373B" w:rsidRDefault="00107852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7"/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62524F" w:rsidRPr="0064373B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64373B">
              <w:rPr>
                <w:rFonts w:ascii="StobiSerifPro" w:hAnsi="StobiSerifPro"/>
                <w:sz w:val="20"/>
                <w:szCs w:val="20"/>
              </w:rPr>
              <w:t>Да</w:t>
            </w: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  <w:p w:rsidR="00EF65EE" w:rsidRPr="0064373B" w:rsidRDefault="00EF65EE" w:rsidP="00EF65EE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</w:p>
          <w:p w:rsidR="007F181B" w:rsidRPr="0064373B" w:rsidRDefault="0084277C" w:rsidP="0084277C">
            <w:pPr>
              <w:pStyle w:val="ListParagraph"/>
              <w:spacing w:after="0" w:line="240" w:lineRule="auto"/>
              <w:ind w:left="23"/>
              <w:rPr>
                <w:rFonts w:ascii="StobiSerifPro" w:hAnsi="StobiSerifPro"/>
                <w:sz w:val="20"/>
                <w:szCs w:val="20"/>
              </w:rPr>
            </w:pPr>
            <w:r w:rsidRPr="0064373B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4373B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64373B">
              <w:rPr>
                <w:rFonts w:ascii="StobiSerifPro" w:hAnsi="StobiSerifPro"/>
                <w:sz w:val="20"/>
                <w:szCs w:val="20"/>
              </w:rPr>
            </w:r>
            <w:r w:rsidRPr="0064373B">
              <w:rPr>
                <w:rFonts w:ascii="StobiSerifPro" w:hAnsi="StobiSerifPro"/>
                <w:sz w:val="20"/>
                <w:szCs w:val="20"/>
              </w:rPr>
              <w:fldChar w:fldCharType="end"/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7F181B" w:rsidRPr="0064373B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64373B" w:rsidTr="00187F5B">
        <w:trPr>
          <w:trHeight w:val="551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926" w:type="dxa"/>
          </w:tcPr>
          <w:p w:rsidR="007F181B" w:rsidRPr="004F71C6" w:rsidRDefault="004F71C6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21.12.2020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година</w:t>
            </w:r>
            <w:bookmarkStart w:id="3" w:name="_GoBack"/>
            <w:bookmarkEnd w:id="3"/>
          </w:p>
        </w:tc>
      </w:tr>
      <w:tr w:rsidR="007F181B" w:rsidRPr="0064373B" w:rsidTr="00187F5B">
        <w:trPr>
          <w:trHeight w:val="691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64373B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</w:tcPr>
          <w:p w:rsidR="007F181B" w:rsidRPr="0064373B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EF236E" w:rsidRPr="0064373B" w:rsidRDefault="00EF236E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EF236E" w:rsidRPr="0064373B" w:rsidRDefault="00EF236E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64373B" w:rsidTr="00187F5B">
        <w:trPr>
          <w:trHeight w:val="622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64373B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926" w:type="dxa"/>
          </w:tcPr>
          <w:p w:rsidR="007F181B" w:rsidRPr="0064373B" w:rsidRDefault="0084277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___________</w:t>
            </w:r>
            <w:r w:rsidR="005D3D5B">
              <w:rPr>
                <w:rFonts w:ascii="StobiSerifPro" w:hAnsi="StobiSerifPro"/>
                <w:sz w:val="20"/>
                <w:szCs w:val="20"/>
                <w:lang w:val="en-US"/>
              </w:rPr>
              <w:t>2020</w:t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година</w:t>
            </w:r>
          </w:p>
        </w:tc>
      </w:tr>
      <w:tr w:rsidR="007F181B" w:rsidRPr="0064373B" w:rsidTr="00187F5B">
        <w:trPr>
          <w:trHeight w:val="790"/>
        </w:trPr>
        <w:tc>
          <w:tcPr>
            <w:tcW w:w="3105" w:type="dxa"/>
            <w:shd w:val="clear" w:color="auto" w:fill="FBD4B4"/>
          </w:tcPr>
          <w:p w:rsidR="007F181B" w:rsidRPr="0064373B" w:rsidRDefault="007F181B" w:rsidP="00187F5B">
            <w:pPr>
              <w:jc w:val="center"/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 w:rsidRPr="0064373B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 w:rsidRPr="0064373B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закон до Генералниот секретаријат</w:t>
            </w:r>
          </w:p>
        </w:tc>
        <w:tc>
          <w:tcPr>
            <w:tcW w:w="6926" w:type="dxa"/>
          </w:tcPr>
          <w:p w:rsidR="007F181B" w:rsidRPr="0064373B" w:rsidRDefault="0084277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___________</w:t>
            </w:r>
            <w:r w:rsidR="005D3D5B">
              <w:rPr>
                <w:rFonts w:ascii="StobiSerifPro" w:hAnsi="StobiSerifPro"/>
                <w:sz w:val="20"/>
                <w:szCs w:val="20"/>
                <w:lang w:val="en-US"/>
              </w:rPr>
              <w:t>2020</w:t>
            </w:r>
            <w:r w:rsidRPr="0064373B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Pr="0064373B">
              <w:rPr>
                <w:rFonts w:ascii="StobiSerifPro" w:hAnsi="StobiSerifPro"/>
                <w:sz w:val="20"/>
                <w:szCs w:val="20"/>
                <w:lang w:val="mk-MK"/>
              </w:rPr>
              <w:t>година</w:t>
            </w:r>
          </w:p>
        </w:tc>
      </w:tr>
    </w:tbl>
    <w:p w:rsidR="00E62DC4" w:rsidRPr="0064373B" w:rsidRDefault="00BF3641" w:rsidP="00187F5B">
      <w:pPr>
        <w:shd w:val="clear" w:color="auto" w:fill="FBD4B4"/>
        <w:tabs>
          <w:tab w:val="left" w:pos="675"/>
        </w:tabs>
        <w:rPr>
          <w:rFonts w:ascii="StobiSerifPro" w:hAnsi="StobiSerifPro" w:cs="Calibri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en-US"/>
        </w:rPr>
        <w:lastRenderedPageBreak/>
        <w:t>1</w:t>
      </w:r>
      <w:r w:rsidR="00E62DC4" w:rsidRPr="0064373B">
        <w:rPr>
          <w:rFonts w:ascii="StobiSerifPro" w:hAnsi="StobiSerifPro"/>
          <w:b/>
          <w:sz w:val="20"/>
          <w:szCs w:val="20"/>
          <w:lang w:val="mk-MK"/>
        </w:rPr>
        <w:t xml:space="preserve">. </w:t>
      </w:r>
      <w:r w:rsidR="00E62DC4" w:rsidRPr="0064373B">
        <w:rPr>
          <w:rFonts w:ascii="StobiSerifPro" w:hAnsi="StobiSerifPro"/>
          <w:b/>
          <w:sz w:val="20"/>
          <w:szCs w:val="20"/>
          <w:lang w:val="mk-MK"/>
        </w:rPr>
        <w:tab/>
      </w:r>
      <w:r w:rsidRPr="0064373B">
        <w:rPr>
          <w:rFonts w:ascii="StobiSerifPro" w:hAnsi="StobiSerifPro"/>
          <w:b/>
          <w:sz w:val="20"/>
          <w:szCs w:val="20"/>
          <w:lang w:val="mk-MK"/>
        </w:rPr>
        <w:t>Опис на состојбите во областа и дефинирање на проблемот</w:t>
      </w:r>
    </w:p>
    <w:p w:rsidR="00BF3641" w:rsidRPr="0064373B" w:rsidRDefault="00BF3641" w:rsidP="00591C8C">
      <w:pPr>
        <w:jc w:val="both"/>
        <w:rPr>
          <w:rFonts w:ascii="StobiSerifPro" w:hAnsi="StobiSerifPro"/>
          <w:sz w:val="20"/>
          <w:szCs w:val="20"/>
          <w:lang w:val="en-US"/>
        </w:rPr>
      </w:pPr>
    </w:p>
    <w:p w:rsidR="00EF236E" w:rsidRPr="0064373B" w:rsidRDefault="00BF3641" w:rsidP="00EF236E">
      <w:pPr>
        <w:jc w:val="both"/>
        <w:rPr>
          <w:rFonts w:ascii="StobiSerifPro" w:eastAsia="Calibri" w:hAnsi="StobiSerifPro" w:cs="Calibri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1.1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</w:r>
      <w:r w:rsidRPr="0064373B">
        <w:rPr>
          <w:rFonts w:ascii="StobiSerifPro" w:eastAsia="Calibri" w:hAnsi="StobiSerifPro" w:cs="Calibri"/>
          <w:b/>
          <w:sz w:val="20"/>
          <w:szCs w:val="20"/>
          <w:lang w:val="mk-MK"/>
        </w:rPr>
        <w:t xml:space="preserve">Опис на состојбите </w:t>
      </w:r>
    </w:p>
    <w:p w:rsidR="00A05A47" w:rsidRDefault="005D3D5B" w:rsidP="00A05A47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Министерството за земјоделство, шумарство и водостопанство е надлежно за водење на </w:t>
      </w:r>
      <w:r w:rsidRPr="005D3D5B">
        <w:rPr>
          <w:rFonts w:ascii="StobiSerifPro" w:eastAsia="Calibri" w:hAnsi="StobiSerifPro" w:cs="Calibri"/>
          <w:sz w:val="20"/>
          <w:szCs w:val="20"/>
          <w:lang w:val="mk-MK"/>
        </w:rPr>
        <w:t>Единствен регистар на земјоделски стопанства и Системот за идентификација на земјоделски парцели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, воедно Подрачните единици врз база на договор со Агенцијата за финансиска поддршка во земјоделството и руралниот развој ги внесуваат податоците за финансиска поддршка во земјоделството во софтверот на Агенцијата со што се врши аплицирање за директни плаќања. </w:t>
      </w:r>
    </w:p>
    <w:p w:rsidR="00A05A47" w:rsidRDefault="00A05A47" w:rsidP="00A05A47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На овој начин во системот на апликација се нема интеграција на процедурите и постапките кај еден надлежен орган од момент на апликација до спроведување на исплата. </w:t>
      </w:r>
    </w:p>
    <w:p w:rsidR="00A05A47" w:rsidRDefault="00A05A47" w:rsidP="00A05A47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Во 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земјоделското производството </w:t>
      </w:r>
      <w:r>
        <w:rPr>
          <w:rFonts w:ascii="StobiSerifPro" w:eastAsia="Calibri" w:hAnsi="StobiSerifPro" w:cs="Calibri"/>
          <w:sz w:val="20"/>
          <w:szCs w:val="20"/>
          <w:lang w:val="mk-MK"/>
        </w:rPr>
        <w:t>нема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оптимизација на производни трошоци и заедничка набавка или производств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о на материјали за производство, слабае е 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>пазарната положба на земјоделските стопанства со воведување на заеднички операции за складирање и маркетинг на земјоделски производи или доработка, финализација и дистрибуција на земјоделски производи и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 нема имплементирано 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>стандарди за квалитетот на земјоделските производи.</w:t>
      </w:r>
    </w:p>
    <w:p w:rsidR="005D3D5B" w:rsidRDefault="00A05A47" w:rsidP="00FC22C5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>Со предлог законот се спроведува промена на името Република Македонија во Република Северна Македонија согласно уставните измени и се врши целосно усогласување со законот за прекршоци.</w:t>
      </w:r>
    </w:p>
    <w:p w:rsidR="00897CA7" w:rsidRPr="0064373B" w:rsidRDefault="00897CA7" w:rsidP="00FC22C5">
      <w:pPr>
        <w:jc w:val="both"/>
        <w:rPr>
          <w:rFonts w:ascii="StobiSerifPro" w:eastAsia="Calibri" w:hAnsi="StobiSerifPro" w:cs="Calibri"/>
          <w:sz w:val="20"/>
          <w:szCs w:val="20"/>
          <w:lang w:val="hr-HR"/>
        </w:rPr>
      </w:pPr>
    </w:p>
    <w:p w:rsidR="009F4C08" w:rsidRPr="0064373B" w:rsidRDefault="00BF3641" w:rsidP="00451EE6">
      <w:pPr>
        <w:jc w:val="both"/>
        <w:rPr>
          <w:rFonts w:ascii="StobiSerifPro" w:hAnsi="StobiSerifPro" w:cs="Arial"/>
          <w:bCs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1.2</w:t>
      </w:r>
      <w:r w:rsidRPr="0064373B">
        <w:rPr>
          <w:rFonts w:ascii="StobiSerifPro" w:hAnsi="StobiSerifPro"/>
          <w:sz w:val="20"/>
          <w:szCs w:val="20"/>
          <w:lang w:val="mk-MK"/>
        </w:rPr>
        <w:tab/>
      </w:r>
      <w:r w:rsidRPr="0064373B">
        <w:rPr>
          <w:rFonts w:ascii="StobiSerifPro" w:eastAsia="Calibri" w:hAnsi="StobiSerifPro" w:cs="Calibri"/>
          <w:b/>
          <w:sz w:val="20"/>
          <w:szCs w:val="20"/>
          <w:lang w:val="mk-MK"/>
        </w:rPr>
        <w:t>Причини за проблемите кои се предмет на разгледување</w:t>
      </w:r>
      <w:r w:rsidR="00EF236E" w:rsidRPr="0064373B">
        <w:rPr>
          <w:rFonts w:ascii="StobiSerifPro" w:hAnsi="StobiSerifPro" w:cs="Arial"/>
          <w:bCs/>
          <w:sz w:val="22"/>
          <w:szCs w:val="22"/>
          <w:lang w:val="mk-MK"/>
        </w:rPr>
        <w:t xml:space="preserve"> </w:t>
      </w:r>
    </w:p>
    <w:p w:rsidR="00306698" w:rsidRDefault="005D3D5B" w:rsidP="00FC22C5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>Со предлог законското решение се прави интеграција</w:t>
      </w:r>
      <w:r w:rsid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на проблемот од 1.1 од овој ПВР извештај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 и </w:t>
      </w:r>
      <w:r w:rsidR="00A05A47">
        <w:rPr>
          <w:rFonts w:ascii="StobiSerifPro" w:eastAsia="Calibri" w:hAnsi="StobiSerifPro" w:cs="Calibri"/>
          <w:sz w:val="20"/>
          <w:szCs w:val="20"/>
          <w:lang w:val="mk-MK"/>
        </w:rPr>
        <w:t>се овозможува целосна функционалност на Интегрираниот Административен Контролен Систем (ИАКС).</w:t>
      </w:r>
    </w:p>
    <w:p w:rsidR="00A05A47" w:rsidRPr="0064373B" w:rsidRDefault="00A05A47" w:rsidP="00A05A47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Ќе се подобри имплементацијата на 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зголемување на ефикасност на земјоделското производството преку оптимизација на производни трошоци и заедничка набавка </w:t>
      </w:r>
      <w:r>
        <w:rPr>
          <w:rFonts w:ascii="StobiSerifPro" w:eastAsia="Calibri" w:hAnsi="StobiSerifPro" w:cs="Calibri"/>
          <w:sz w:val="20"/>
          <w:szCs w:val="20"/>
          <w:lang w:val="mk-MK"/>
        </w:rPr>
        <w:t>ќе се подобри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пазарната положба на земјоделските стопанства со воведување на заеднички операции за складирање и маркетинг на земјоделски производи или доработка, финализација и дистрибуција на земјоделски производи и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 ќе се овозможи </w:t>
      </w: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>воведување и заедничка примена на повисоки стандарди за квалитетот на земјоделските производи.</w:t>
      </w:r>
      <w:r>
        <w:rPr>
          <w:rFonts w:ascii="StobiSerifPro" w:eastAsia="Calibri" w:hAnsi="StobiSerifPro" w:cs="Calibri"/>
          <w:sz w:val="20"/>
          <w:szCs w:val="20"/>
          <w:lang w:val="mk-MK"/>
        </w:rPr>
        <w:t xml:space="preserve"> </w:t>
      </w:r>
    </w:p>
    <w:p w:rsidR="00E62DC4" w:rsidRPr="0064373B" w:rsidRDefault="00BF3641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eastAsia="Calibri" w:hAnsi="StobiSerifPro" w:cs="Calibri"/>
          <w:sz w:val="20"/>
          <w:szCs w:val="20"/>
          <w:lang w:val="mk-MK"/>
        </w:rPr>
        <w:t xml:space="preserve"> </w:t>
      </w:r>
      <w:r w:rsidR="00E62DC4" w:rsidRPr="0064373B">
        <w:rPr>
          <w:rFonts w:ascii="StobiSerifPro" w:hAnsi="StobiSerifPro"/>
          <w:sz w:val="20"/>
          <w:szCs w:val="20"/>
          <w:lang w:val="mk-MK"/>
        </w:rPr>
        <w:tab/>
      </w:r>
    </w:p>
    <w:p w:rsidR="00BF3641" w:rsidRPr="0064373B" w:rsidRDefault="00BF3641" w:rsidP="00187F5B">
      <w:pPr>
        <w:shd w:val="clear" w:color="auto" w:fill="FBD4B4"/>
        <w:tabs>
          <w:tab w:val="left" w:pos="675"/>
        </w:tabs>
        <w:rPr>
          <w:rFonts w:ascii="StobiSerifPro" w:hAnsi="StobiSerifPro" w:cs="Calibri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ru-RU"/>
        </w:rPr>
      </w:pPr>
    </w:p>
    <w:p w:rsidR="00A05A47" w:rsidRDefault="00A05A47" w:rsidP="00ED2453">
      <w:pPr>
        <w:tabs>
          <w:tab w:val="left" w:pos="675"/>
        </w:tabs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 w:rsidRPr="00A05A47">
        <w:rPr>
          <w:rFonts w:ascii="StobiSerifPro" w:eastAsia="Calibri" w:hAnsi="StobiSerifPro" w:cs="Calibri"/>
          <w:sz w:val="20"/>
          <w:szCs w:val="20"/>
          <w:lang w:val="mk-MK"/>
        </w:rPr>
        <w:t>Со предлог законското решение се прави интеграција на проблемот од 1.1 од овој ПВР извештај и се овозможува целосна функционалност на Интегрираниот Административен Контролен Систем (ИАКС).</w:t>
      </w:r>
    </w:p>
    <w:p w:rsidR="00ED2453" w:rsidRPr="00A05A47" w:rsidRDefault="00ED2453" w:rsidP="00ED2453">
      <w:pPr>
        <w:tabs>
          <w:tab w:val="left" w:pos="675"/>
        </w:tabs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</w:p>
    <w:p w:rsidR="00187F5B" w:rsidRDefault="00ED2453" w:rsidP="00ED2453">
      <w:pPr>
        <w:tabs>
          <w:tab w:val="left" w:pos="675"/>
        </w:tabs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>
        <w:rPr>
          <w:rFonts w:ascii="StobiSerifPro" w:eastAsia="Calibri" w:hAnsi="StobiSerifPro" w:cs="Calibri"/>
          <w:sz w:val="20"/>
          <w:szCs w:val="20"/>
          <w:lang w:val="mk-MK"/>
        </w:rPr>
        <w:t>Да</w:t>
      </w:r>
      <w:r w:rsidR="00A05A47"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се подобри имплементацијата на зголемување на ефикасност на земјоделското производството преку оптимизација на производни трошоци и заедничка набавка </w:t>
      </w:r>
      <w:r>
        <w:rPr>
          <w:rFonts w:ascii="StobiSerifPro" w:eastAsia="Calibri" w:hAnsi="StobiSerifPro" w:cs="Calibri"/>
          <w:sz w:val="20"/>
          <w:szCs w:val="20"/>
          <w:lang w:val="mk-MK"/>
        </w:rPr>
        <w:t>да</w:t>
      </w:r>
      <w:r w:rsidR="00A05A47"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се подобри пазарната положба на земјоделските стопанства со воведување на заеднички операции за складирање и маркетинг на земјоделски производи или доработка, финализација и дистрибуција на земјоделски производи и </w:t>
      </w:r>
      <w:r>
        <w:rPr>
          <w:rFonts w:ascii="StobiSerifPro" w:eastAsia="Calibri" w:hAnsi="StobiSerifPro" w:cs="Calibri"/>
          <w:sz w:val="20"/>
          <w:szCs w:val="20"/>
          <w:lang w:val="mk-MK"/>
        </w:rPr>
        <w:t>да</w:t>
      </w:r>
      <w:r w:rsidR="00A05A47" w:rsidRPr="00A05A47">
        <w:rPr>
          <w:rFonts w:ascii="StobiSerifPro" w:eastAsia="Calibri" w:hAnsi="StobiSerifPro" w:cs="Calibri"/>
          <w:sz w:val="20"/>
          <w:szCs w:val="20"/>
          <w:lang w:val="mk-MK"/>
        </w:rPr>
        <w:t xml:space="preserve"> се овозможи воведување и заедничка примена на повисоки стандарди за квалитетот на земјоделските производи.</w:t>
      </w:r>
    </w:p>
    <w:p w:rsidR="00ED2453" w:rsidRPr="0064373B" w:rsidRDefault="00ED2453" w:rsidP="00ED2453">
      <w:pPr>
        <w:tabs>
          <w:tab w:val="left" w:pos="675"/>
        </w:tabs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64373B" w:rsidRDefault="00E62DC4" w:rsidP="00187F5B">
      <w:p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3.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64373B" w:rsidRDefault="00E62DC4" w:rsidP="00591C8C">
      <w:pPr>
        <w:spacing w:line="276" w:lineRule="auto"/>
        <w:jc w:val="both"/>
        <w:rPr>
          <w:rFonts w:ascii="StobiSerifPro" w:hAnsi="StobiSerifPro"/>
          <w:sz w:val="20"/>
          <w:szCs w:val="20"/>
          <w:lang w:val="ru-RU"/>
        </w:rPr>
      </w:pPr>
    </w:p>
    <w:p w:rsidR="00306698" w:rsidRPr="0064373B" w:rsidRDefault="00E62DC4" w:rsidP="0084277C">
      <w:pPr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3.1</w:t>
      </w:r>
      <w:r w:rsidRPr="0064373B">
        <w:rPr>
          <w:rFonts w:ascii="StobiSerifPro" w:hAnsi="StobiSerifPro"/>
          <w:sz w:val="20"/>
          <w:szCs w:val="20"/>
          <w:lang w:val="mk-MK"/>
        </w:rPr>
        <w:tab/>
      </w:r>
      <w:r w:rsidRPr="0064373B">
        <w:rPr>
          <w:rFonts w:ascii="StobiSerifPro" w:eastAsia="Calibri" w:hAnsi="StobiSerifPro" w:cs="Calibri"/>
          <w:b/>
          <w:sz w:val="20"/>
          <w:szCs w:val="20"/>
          <w:lang w:val="mk-MK"/>
        </w:rPr>
        <w:t xml:space="preserve">Опис на решението </w:t>
      </w:r>
      <w:r w:rsidRPr="0064373B">
        <w:rPr>
          <w:rFonts w:ascii="StobiSerifPro" w:hAnsi="StobiSerifPro" w:cs="Calibri"/>
          <w:b/>
          <w:sz w:val="20"/>
          <w:szCs w:val="20"/>
          <w:lang w:val="mk-MK"/>
        </w:rPr>
        <w:t>„не прави ништо“</w:t>
      </w:r>
      <w:r w:rsidRPr="0064373B">
        <w:rPr>
          <w:rFonts w:ascii="StobiSerifPro" w:eastAsia="Calibri" w:hAnsi="StobiSerifPro" w:cs="Calibri"/>
          <w:sz w:val="20"/>
          <w:szCs w:val="20"/>
          <w:lang w:val="mk-MK"/>
        </w:rPr>
        <w:t xml:space="preserve">  </w:t>
      </w:r>
    </w:p>
    <w:p w:rsidR="00E62DC4" w:rsidRPr="0064373B" w:rsidRDefault="00FC22C5" w:rsidP="00192A2A">
      <w:pPr>
        <w:spacing w:line="276" w:lineRule="auto"/>
        <w:jc w:val="both"/>
        <w:rPr>
          <w:rFonts w:ascii="StobiSerifPro" w:eastAsia="Calibri" w:hAnsi="StobiSerifPro" w:cs="Calibri"/>
          <w:sz w:val="20"/>
          <w:szCs w:val="20"/>
          <w:lang w:val="mk-MK"/>
        </w:rPr>
      </w:pPr>
      <w:r w:rsidRPr="0064373B">
        <w:rPr>
          <w:rFonts w:ascii="StobiSerifPro" w:eastAsia="Calibri" w:hAnsi="StobiSerifPro" w:cs="Calibri"/>
          <w:sz w:val="20"/>
          <w:szCs w:val="20"/>
          <w:lang w:val="mk-MK"/>
        </w:rPr>
        <w:t>Доколку се одбере опцијата „не прави ништо“,</w:t>
      </w:r>
      <w:r w:rsidR="00ED2453">
        <w:rPr>
          <w:rFonts w:ascii="StobiSerifPro" w:eastAsia="Calibri" w:hAnsi="StobiSerifPro" w:cs="Calibri"/>
          <w:sz w:val="20"/>
          <w:szCs w:val="20"/>
          <w:lang w:val="mk-MK"/>
        </w:rPr>
        <w:t xml:space="preserve"> нема да се подобри состојбата со стандардите, нема да се подобри системот за апликација и нема да се поедностави и олесни процедурата</w:t>
      </w:r>
      <w:r w:rsidR="0064373B" w:rsidRPr="0064373B">
        <w:rPr>
          <w:rFonts w:ascii="StobiSerifPro" w:eastAsia="Calibri" w:hAnsi="StobiSerifPro" w:cs="Calibri"/>
          <w:sz w:val="20"/>
          <w:szCs w:val="20"/>
          <w:lang w:val="mk-MK"/>
        </w:rPr>
        <w:t>.</w:t>
      </w:r>
      <w:r w:rsidRPr="0064373B">
        <w:rPr>
          <w:rFonts w:ascii="StobiSerifPro" w:eastAsia="Calibri" w:hAnsi="StobiSerifPro" w:cs="Calibri"/>
          <w:sz w:val="20"/>
          <w:szCs w:val="20"/>
          <w:lang w:val="mk-MK"/>
        </w:rPr>
        <w:t xml:space="preserve"> </w:t>
      </w:r>
    </w:p>
    <w:p w:rsidR="00E62DC4" w:rsidRPr="0064373B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sz w:val="20"/>
          <w:szCs w:val="20"/>
          <w:lang w:val="mk-MK"/>
        </w:rPr>
      </w:pPr>
    </w:p>
    <w:p w:rsidR="00306698" w:rsidRPr="0064373B" w:rsidRDefault="00E62DC4" w:rsidP="0084277C">
      <w:pPr>
        <w:jc w:val="both"/>
        <w:rPr>
          <w:rFonts w:ascii="StobiSerifPro" w:hAnsi="StobiSerifPro"/>
          <w:bCs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3.2</w:t>
      </w:r>
      <w:r w:rsidRPr="0064373B">
        <w:rPr>
          <w:rFonts w:ascii="StobiSerifPro" w:hAnsi="StobiSerifPro"/>
          <w:sz w:val="20"/>
          <w:szCs w:val="20"/>
          <w:lang w:val="mk-MK"/>
        </w:rPr>
        <w:tab/>
      </w:r>
      <w:r w:rsidRPr="0064373B">
        <w:rPr>
          <w:rFonts w:ascii="StobiSerifPro" w:hAnsi="StobiSerifPro"/>
          <w:b/>
          <w:sz w:val="20"/>
          <w:szCs w:val="20"/>
          <w:lang w:val="mk-MK"/>
        </w:rPr>
        <w:t>Опис на можните решенија (опции) за решавање на проблемот</w:t>
      </w:r>
      <w:r w:rsidR="0084277C" w:rsidRPr="0064373B">
        <w:rPr>
          <w:rFonts w:ascii="StobiSerifPro" w:hAnsi="StobiSerifPro"/>
          <w:bCs/>
          <w:sz w:val="22"/>
          <w:szCs w:val="22"/>
          <w:lang w:val="mk-MK"/>
        </w:rPr>
        <w:t xml:space="preserve"> </w:t>
      </w:r>
    </w:p>
    <w:p w:rsidR="00FC22C5" w:rsidRPr="0064373B" w:rsidRDefault="00FC22C5" w:rsidP="00FC22C5">
      <w:pPr>
        <w:jc w:val="both"/>
        <w:rPr>
          <w:rFonts w:ascii="StobiSerifPro" w:hAnsi="StobiSerifPro"/>
          <w:bCs/>
          <w:sz w:val="22"/>
          <w:szCs w:val="22"/>
          <w:lang w:val="mk-MK"/>
        </w:rPr>
      </w:pPr>
    </w:p>
    <w:p w:rsidR="00187F5B" w:rsidRDefault="00ED2453" w:rsidP="00ED2453">
      <w:pPr>
        <w:tabs>
          <w:tab w:val="left" w:pos="675"/>
        </w:tabs>
        <w:jc w:val="both"/>
        <w:rPr>
          <w:rFonts w:ascii="StobiSerifPro" w:hAnsi="StobiSerifPro"/>
          <w:bCs/>
          <w:sz w:val="20"/>
          <w:szCs w:val="20"/>
          <w:lang w:val="mk-MK"/>
        </w:rPr>
      </w:pPr>
      <w:r>
        <w:rPr>
          <w:rFonts w:ascii="StobiSerifPro" w:hAnsi="StobiSerifPro"/>
          <w:bCs/>
          <w:sz w:val="20"/>
          <w:szCs w:val="20"/>
          <w:lang w:val="mk-MK"/>
        </w:rPr>
        <w:t xml:space="preserve">Ќе подобри </w:t>
      </w:r>
      <w:r w:rsidRPr="00ED2453">
        <w:rPr>
          <w:rFonts w:ascii="StobiSerifPro" w:hAnsi="StobiSerifPro"/>
          <w:bCs/>
          <w:sz w:val="20"/>
          <w:szCs w:val="20"/>
          <w:lang w:val="mk-MK"/>
        </w:rPr>
        <w:t xml:space="preserve">системот на апликација </w:t>
      </w:r>
      <w:r>
        <w:rPr>
          <w:rFonts w:ascii="StobiSerifPro" w:hAnsi="StobiSerifPro"/>
          <w:bCs/>
          <w:sz w:val="20"/>
          <w:szCs w:val="20"/>
          <w:lang w:val="mk-MK"/>
        </w:rPr>
        <w:t>и</w:t>
      </w:r>
      <w:r w:rsidRPr="00ED2453">
        <w:rPr>
          <w:rFonts w:ascii="StobiSerifPro" w:hAnsi="StobiSerifPro"/>
          <w:bCs/>
          <w:sz w:val="20"/>
          <w:szCs w:val="20"/>
          <w:lang w:val="mk-MK"/>
        </w:rPr>
        <w:t xml:space="preserve"> интеграц</w:t>
      </w:r>
      <w:r>
        <w:rPr>
          <w:rFonts w:ascii="StobiSerifPro" w:hAnsi="StobiSerifPro"/>
          <w:bCs/>
          <w:sz w:val="20"/>
          <w:szCs w:val="20"/>
          <w:lang w:val="mk-MK"/>
        </w:rPr>
        <w:t xml:space="preserve">ија на процедурите и постапките </w:t>
      </w:r>
      <w:r w:rsidRPr="00ED2453">
        <w:rPr>
          <w:rFonts w:ascii="StobiSerifPro" w:hAnsi="StobiSerifPro"/>
          <w:bCs/>
          <w:sz w:val="20"/>
          <w:szCs w:val="20"/>
          <w:lang w:val="mk-MK"/>
        </w:rPr>
        <w:t>од момент на апликација до спроведување на исплата.</w:t>
      </w:r>
    </w:p>
    <w:p w:rsidR="00ED2453" w:rsidRDefault="00ED2453" w:rsidP="00ED2453">
      <w:pPr>
        <w:tabs>
          <w:tab w:val="left" w:pos="675"/>
        </w:tabs>
        <w:jc w:val="both"/>
        <w:rPr>
          <w:rFonts w:ascii="StobiSerifPro" w:hAnsi="StobiSerifPro"/>
          <w:bCs/>
          <w:sz w:val="20"/>
          <w:szCs w:val="20"/>
          <w:lang w:val="mk-MK"/>
        </w:rPr>
      </w:pPr>
    </w:p>
    <w:p w:rsidR="00ED2453" w:rsidRPr="0064373B" w:rsidRDefault="00ED2453" w:rsidP="00ED2453">
      <w:pPr>
        <w:tabs>
          <w:tab w:val="left" w:pos="675"/>
        </w:tabs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bCs/>
          <w:sz w:val="20"/>
          <w:szCs w:val="20"/>
          <w:lang w:val="mk-MK"/>
        </w:rPr>
        <w:t>Ќе зголеми можноста за здружување на земјоделски производители во задруги и ќе се подобри состојбата за воведување на подобри стандарди на земјоделските производи.</w:t>
      </w:r>
    </w:p>
    <w:p w:rsidR="00187F5B" w:rsidRPr="0064373B" w:rsidRDefault="00187F5B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64373B" w:rsidRDefault="00E62DC4" w:rsidP="00187F5B">
      <w:pPr>
        <w:numPr>
          <w:ilvl w:val="0"/>
          <w:numId w:val="6"/>
        </w:num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4373B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ab/>
        <w:t>Можни позитивни и негативни влијанија од секоја од опциите:</w:t>
      </w:r>
    </w:p>
    <w:p w:rsidR="00E62DC4" w:rsidRPr="0064373B" w:rsidRDefault="00E62DC4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4.1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Економски влијанија</w:t>
      </w:r>
      <w:r w:rsidR="004F7717" w:rsidRPr="0064373B">
        <w:rPr>
          <w:rFonts w:ascii="StobiSerifPro" w:hAnsi="StobiSerifPro"/>
          <w:sz w:val="20"/>
          <w:szCs w:val="20"/>
          <w:lang w:val="en-US"/>
        </w:rPr>
        <w:t xml:space="preserve"> 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</w:t>
      </w:r>
    </w:p>
    <w:p w:rsidR="00ED2453" w:rsidRDefault="00ED2453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 xml:space="preserve">Со предлог измените на закон за земјоделство, шумарство и водостопанство во однос на миграција на системите ќе се елиминираат бариерите и ограничувањата на деловните субјекти особено кај земјоделските производители со поедноставување на постапката за барање на субвенции. Со решението ќе се воведе можност за нови технологии, методи  на производство и производи. Истотака ќе се зголеми продуктивноста и ефикасноста на користењето на ресурсите. </w:t>
      </w: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4.2</w:t>
      </w:r>
      <w:r w:rsidRPr="0064373B">
        <w:rPr>
          <w:rFonts w:ascii="StobiSerifPro" w:hAnsi="StobiSerifPro"/>
          <w:sz w:val="20"/>
          <w:szCs w:val="20"/>
          <w:lang w:val="mk-MK"/>
        </w:rPr>
        <w:tab/>
        <w:t xml:space="preserve">Фискални влијанија </w:t>
      </w:r>
    </w:p>
    <w:p w:rsidR="00E62DC4" w:rsidRPr="0064373B" w:rsidRDefault="00FC22C5" w:rsidP="00FC22C5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Со предлог Законот </w:t>
      </w:r>
      <w:r w:rsidR="00ED2453">
        <w:rPr>
          <w:rFonts w:ascii="StobiSerifPro" w:hAnsi="StobiSerifPro"/>
          <w:sz w:val="20"/>
          <w:szCs w:val="20"/>
          <w:lang w:val="mk-MK"/>
        </w:rPr>
        <w:t>нема фискални импликации бидејќи вработените од Министерство за земјоделство, шумарство и водостопанство се префрлаат во Агенција за финансиска поддршка во земјоделството и руралниот развој, местата за вработените се веќе финансирани во министерството и не предизвикуваат дополнителни фискални опторавувања.</w:t>
      </w: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4.3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Социјални влијанија</w:t>
      </w:r>
    </w:p>
    <w:p w:rsidR="00CE2203" w:rsidRPr="0064373B" w:rsidRDefault="00E62DC4" w:rsidP="00CE2203">
      <w:pPr>
        <w:jc w:val="both"/>
        <w:rPr>
          <w:rFonts w:ascii="StobiSerifPro" w:hAnsi="StobiSerifPro"/>
          <w:i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 </w:t>
      </w:r>
      <w:r w:rsidR="00FC22C5" w:rsidRPr="0064373B">
        <w:rPr>
          <w:rFonts w:ascii="StobiSerifPro" w:hAnsi="StobiSerifPro"/>
          <w:sz w:val="20"/>
          <w:szCs w:val="20"/>
          <w:lang w:val="mk-MK"/>
        </w:rPr>
        <w:t xml:space="preserve">Со предлог Законот за изменување и дополнување на Законот </w:t>
      </w:r>
      <w:r w:rsidR="006E5E8A">
        <w:rPr>
          <w:rFonts w:ascii="StobiSerifPro" w:hAnsi="StobiSerifPro"/>
          <w:sz w:val="20"/>
          <w:szCs w:val="20"/>
          <w:lang w:val="mk-MK"/>
        </w:rPr>
        <w:t>земјоделство и рурален развој</w:t>
      </w:r>
      <w:r w:rsidR="00FC22C5" w:rsidRPr="0064373B">
        <w:rPr>
          <w:rFonts w:ascii="StobiSerifPro" w:hAnsi="StobiSerifPro"/>
          <w:sz w:val="20"/>
          <w:szCs w:val="20"/>
          <w:lang w:val="mk-MK"/>
        </w:rPr>
        <w:t xml:space="preserve"> ќе </w:t>
      </w:r>
      <w:r w:rsidR="006E5E8A">
        <w:rPr>
          <w:rFonts w:ascii="StobiSerifPro" w:hAnsi="StobiSerifPro"/>
          <w:sz w:val="20"/>
          <w:szCs w:val="20"/>
          <w:lang w:val="mk-MK"/>
        </w:rPr>
        <w:t xml:space="preserve">има влијание со можност за зголемено здружување во задруги и поголема конкурентност. </w:t>
      </w:r>
    </w:p>
    <w:p w:rsidR="00CE2203" w:rsidRPr="0064373B" w:rsidRDefault="00CE2203" w:rsidP="00CE2203">
      <w:pPr>
        <w:tabs>
          <w:tab w:val="left" w:pos="675"/>
        </w:tabs>
        <w:rPr>
          <w:rFonts w:ascii="StobiSerifPro" w:hAnsi="StobiSerifPro"/>
          <w:i/>
          <w:sz w:val="22"/>
          <w:szCs w:val="22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4.4</w:t>
      </w:r>
      <w:r w:rsidRPr="0064373B">
        <w:rPr>
          <w:rFonts w:ascii="StobiSerifPro" w:hAnsi="StobiSerifPro"/>
          <w:sz w:val="20"/>
          <w:szCs w:val="20"/>
          <w:lang w:val="mk-MK"/>
        </w:rPr>
        <w:tab/>
        <w:t xml:space="preserve">Влијанија врз животната средина </w:t>
      </w:r>
    </w:p>
    <w:p w:rsidR="004F7717" w:rsidRPr="0064373B" w:rsidRDefault="00FC22C5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Со предлог Законот за изменува</w:t>
      </w:r>
      <w:r w:rsidR="006E5E8A">
        <w:rPr>
          <w:rFonts w:ascii="StobiSerifPro" w:hAnsi="StobiSerifPro"/>
          <w:sz w:val="20"/>
          <w:szCs w:val="20"/>
          <w:lang w:val="mk-MK"/>
        </w:rPr>
        <w:t>ње и дополнување на Законот за земјоделство и рурален развој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не се врши никакво влијание врз животната средина.</w:t>
      </w:r>
    </w:p>
    <w:p w:rsidR="00306698" w:rsidRPr="0064373B" w:rsidRDefault="00306698" w:rsidP="00306698">
      <w:pPr>
        <w:jc w:val="both"/>
        <w:rPr>
          <w:rFonts w:ascii="StobiSerifPro" w:hAnsi="StobiSerifPro"/>
          <w:i/>
          <w:sz w:val="22"/>
          <w:szCs w:val="22"/>
          <w:lang w:val="mk-MK"/>
        </w:rPr>
      </w:pPr>
    </w:p>
    <w:p w:rsidR="00E62DC4" w:rsidRPr="0064373B" w:rsidRDefault="00E62DC4" w:rsidP="00306698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4.5</w:t>
      </w:r>
      <w:r w:rsidRPr="0064373B">
        <w:rPr>
          <w:rFonts w:ascii="StobiSerifPro" w:hAnsi="StobiSerifPro"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4F7717" w:rsidRPr="0064373B" w:rsidRDefault="004F7717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en-US"/>
        </w:rPr>
        <w:t xml:space="preserve">   </w:t>
      </w:r>
      <w:r w:rsidR="00E62DC4" w:rsidRPr="0064373B">
        <w:rPr>
          <w:rFonts w:ascii="StobiSerifPro" w:hAnsi="StobiSerifPro"/>
          <w:sz w:val="20"/>
          <w:szCs w:val="20"/>
          <w:lang w:val="mk-MK"/>
        </w:rPr>
        <w:t xml:space="preserve">а) трошоци за спроведување </w:t>
      </w:r>
    </w:p>
    <w:p w:rsidR="00E62DC4" w:rsidRPr="0064373B" w:rsidRDefault="00E62DC4" w:rsidP="00E62DC4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CE2203" w:rsidRDefault="00FC22C5" w:rsidP="00FC22C5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Не се потребни дополнителни трошоци за спроведување на законот.</w:t>
      </w:r>
    </w:p>
    <w:p w:rsidR="006E5E8A" w:rsidRPr="0064373B" w:rsidRDefault="006E5E8A" w:rsidP="00FC22C5">
      <w:p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 xml:space="preserve">Административно влијанија има бидејќи вработени во организациони единици од Министерството за земјоделство, шумарство и водостопанство кои обавуваат работни задачи за регистрирање на земјоделски стопанства и аплицирање за директни плаќања ќе се преземат од страна на Агенцијата за финансиска поддршка во земјоделството и руралниот развој. </w:t>
      </w: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4F7717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б)</w:t>
      </w:r>
      <w:r w:rsidR="00035998" w:rsidRPr="0064373B">
        <w:rPr>
          <w:rFonts w:ascii="StobiSerifPro" w:hAnsi="StobiSerifPro"/>
          <w:sz w:val="20"/>
          <w:szCs w:val="20"/>
          <w:lang w:val="mk-MK"/>
        </w:rPr>
        <w:t xml:space="preserve"> 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трошоци за почитување на регулативата </w:t>
      </w:r>
    </w:p>
    <w:p w:rsidR="00CE2203" w:rsidRPr="0064373B" w:rsidRDefault="00FC22C5" w:rsidP="00CE2203">
      <w:pPr>
        <w:jc w:val="both"/>
        <w:rPr>
          <w:rFonts w:ascii="StobiSerifPro" w:hAnsi="StobiSerifPro" w:cs="Calibri"/>
          <w:iCs/>
          <w:sz w:val="20"/>
          <w:szCs w:val="20"/>
          <w:lang w:val="mk-MK"/>
        </w:rPr>
      </w:pPr>
      <w:r w:rsidRPr="0064373B">
        <w:rPr>
          <w:rFonts w:ascii="StobiSerifPro" w:hAnsi="StobiSerifPro" w:cs="Calibri"/>
          <w:iCs/>
          <w:sz w:val="20"/>
          <w:szCs w:val="20"/>
          <w:lang w:val="mk-MK"/>
        </w:rPr>
        <w:t>Не се потребни дополнителни трошоци за почитување на регулативата.</w:t>
      </w:r>
    </w:p>
    <w:p w:rsidR="00187F5B" w:rsidRPr="0064373B" w:rsidRDefault="00187F5B" w:rsidP="00591C8C">
      <w:pPr>
        <w:tabs>
          <w:tab w:val="left" w:pos="675"/>
        </w:tabs>
        <w:rPr>
          <w:rFonts w:ascii="StobiSerifPro" w:hAnsi="StobiSerifPro" w:cs="Calibri"/>
          <w:iCs/>
          <w:sz w:val="20"/>
          <w:szCs w:val="20"/>
          <w:lang w:val="mk-MK"/>
        </w:rPr>
      </w:pPr>
    </w:p>
    <w:p w:rsidR="00E62DC4" w:rsidRPr="0064373B" w:rsidRDefault="00E62DC4" w:rsidP="00187F5B">
      <w:p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5.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64373B" w:rsidRDefault="00E62DC4" w:rsidP="00E62DC4">
      <w:pPr>
        <w:ind w:firstLine="720"/>
        <w:jc w:val="both"/>
        <w:rPr>
          <w:rFonts w:ascii="StobiSerifPro" w:hAnsi="StobiSerifPro"/>
          <w:sz w:val="20"/>
          <w:szCs w:val="20"/>
          <w:lang w:val="ru-RU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5.1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Засегнати страни и начин на вклучување</w:t>
      </w:r>
      <w:r w:rsidR="004F7717" w:rsidRPr="0064373B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6E5E8A" w:rsidRPr="006E5E8A" w:rsidRDefault="00FC22C5" w:rsidP="00546BAA">
      <w:pPr>
        <w:jc w:val="both"/>
        <w:rPr>
          <w:rFonts w:ascii="StobiSerifPro" w:hAnsi="StobiSerifPro"/>
          <w:sz w:val="20"/>
          <w:szCs w:val="20"/>
          <w:lang w:val="en-US"/>
        </w:rPr>
      </w:pPr>
      <w:r w:rsidRPr="0064373B">
        <w:rPr>
          <w:rFonts w:ascii="StobiSerifPro" w:hAnsi="StobiSerifPro"/>
          <w:sz w:val="20"/>
          <w:szCs w:val="20"/>
          <w:lang w:val="en-US"/>
        </w:rPr>
        <w:t xml:space="preserve">Направени се консултации со </w:t>
      </w:r>
      <w:r w:rsidR="006E5E8A">
        <w:rPr>
          <w:rFonts w:ascii="StobiSerifPro" w:hAnsi="StobiSerifPro"/>
          <w:sz w:val="20"/>
          <w:szCs w:val="20"/>
          <w:lang w:val="mk-MK"/>
        </w:rPr>
        <w:t>Комитетот за земјоделство, безбедност на храна, ветеринарство и фитосанитарна политика како непостојана работно тело на Владата на Република Северна Македонија и консултации и предлог заклучоци за промена на законот за земјоделство и рурален развој со цел поедноставување на апликацијата. Ќе се оддржи јавна расправа по спроведената консултација на порталот ЕНЕР.</w:t>
      </w:r>
      <w:r w:rsidR="006E5E8A">
        <w:rPr>
          <w:rFonts w:ascii="StobiSerifPro" w:hAnsi="StobiSerifPro"/>
          <w:sz w:val="20"/>
          <w:szCs w:val="20"/>
          <w:lang w:val="en-US"/>
        </w:rPr>
        <w:t xml:space="preserve"> </w:t>
      </w:r>
    </w:p>
    <w:p w:rsidR="006E5E8A" w:rsidRDefault="006E5E8A" w:rsidP="00FC22C5">
      <w:pPr>
        <w:rPr>
          <w:rFonts w:ascii="StobiSerifPro" w:hAnsi="StobiSerifPro"/>
          <w:sz w:val="20"/>
          <w:szCs w:val="20"/>
          <w:lang w:val="mk-MK"/>
        </w:rPr>
      </w:pPr>
    </w:p>
    <w:p w:rsidR="00546BAA" w:rsidRDefault="00FC22C5" w:rsidP="00FC22C5">
      <w:pPr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5.2 </w:t>
      </w:r>
      <w:r w:rsidR="00546BAA">
        <w:rPr>
          <w:rFonts w:ascii="StobiSerifPro" w:hAnsi="StobiSerifPro"/>
          <w:sz w:val="20"/>
          <w:szCs w:val="20"/>
          <w:lang w:val="mk-MK"/>
        </w:rPr>
        <w:t>Мислења кои се земени во предвид и зошто</w:t>
      </w:r>
    </w:p>
    <w:p w:rsidR="00FC22C5" w:rsidRPr="0064373B" w:rsidRDefault="00546BAA" w:rsidP="00546BAA">
      <w:p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Предложениот модел на превземања на вработените од Министерство за земјоделство, шумарство и водостопанство во Агенцијата за финансиска поддршка во земјоделството и руралниот развој по принцип на целосно пресликување на организационите единици, како и на бројот и видот на извршелите по структура, ниво и образование.</w:t>
      </w:r>
    </w:p>
    <w:p w:rsidR="00E62DC4" w:rsidRPr="0064373B" w:rsidRDefault="00E62DC4" w:rsidP="00DC1A79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553DA5" w:rsidRPr="0064373B" w:rsidRDefault="00E62DC4" w:rsidP="00553DA5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lastRenderedPageBreak/>
        <w:t>5.3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Мислењата кои не биле земени предвид и зошто</w:t>
      </w:r>
    </w:p>
    <w:p w:rsidR="00187F5B" w:rsidRPr="0064373B" w:rsidRDefault="00187F5B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64373B" w:rsidRDefault="00E62DC4" w:rsidP="00187F5B">
      <w:p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ru-RU"/>
        </w:rPr>
      </w:pPr>
    </w:p>
    <w:p w:rsidR="00306698" w:rsidRDefault="00E62DC4" w:rsidP="004F7717">
      <w:pPr>
        <w:jc w:val="both"/>
        <w:rPr>
          <w:rFonts w:ascii="StobiSerifPro" w:hAnsi="StobiSerifPro"/>
          <w:sz w:val="20"/>
          <w:szCs w:val="20"/>
          <w:lang w:val="en-US"/>
        </w:rPr>
      </w:pPr>
      <w:r w:rsidRPr="0064373B">
        <w:rPr>
          <w:rFonts w:ascii="StobiSerifPro" w:hAnsi="StobiSerifPro"/>
          <w:sz w:val="20"/>
          <w:szCs w:val="20"/>
          <w:lang w:val="mk-MK"/>
        </w:rPr>
        <w:t>6.1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Споредбен преглед на позитивните и негативните влијанија на можните</w:t>
      </w:r>
      <w:r w:rsidR="00546BAA">
        <w:rPr>
          <w:rFonts w:ascii="StobiSerifPro" w:hAnsi="StobiSerifPro"/>
          <w:sz w:val="20"/>
          <w:szCs w:val="20"/>
          <w:lang w:val="mk-MK"/>
        </w:rPr>
        <w:t xml:space="preserve"> </w:t>
      </w:r>
      <w:r w:rsidRPr="0064373B">
        <w:rPr>
          <w:rFonts w:ascii="StobiSerifPro" w:hAnsi="StobiSerifPro"/>
          <w:sz w:val="20"/>
          <w:szCs w:val="20"/>
          <w:lang w:val="mk-MK"/>
        </w:rPr>
        <w:t>решенија (опции)</w:t>
      </w:r>
      <w:r w:rsidR="004F7717" w:rsidRPr="0064373B">
        <w:rPr>
          <w:rFonts w:ascii="StobiSerifPro" w:hAnsi="StobiSerifPro"/>
          <w:sz w:val="20"/>
          <w:szCs w:val="20"/>
          <w:lang w:val="en-US"/>
        </w:rPr>
        <w:t xml:space="preserve"> </w:t>
      </w:r>
    </w:p>
    <w:p w:rsidR="00546BAA" w:rsidRPr="0064373B" w:rsidRDefault="00546BAA" w:rsidP="004F7717">
      <w:pPr>
        <w:jc w:val="both"/>
        <w:rPr>
          <w:rFonts w:ascii="StobiSerifPro" w:hAnsi="StobiSerifPro"/>
          <w:sz w:val="20"/>
          <w:szCs w:val="20"/>
          <w:lang w:val="en-US"/>
        </w:rPr>
      </w:pPr>
    </w:p>
    <w:p w:rsidR="00546BAA" w:rsidRPr="00546BAA" w:rsidRDefault="00FC22C5" w:rsidP="00546BAA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Со усвојувањето на предложените решенија во овој закон се создаваат основни предуслови за </w:t>
      </w:r>
      <w:r w:rsidR="00546BAA">
        <w:rPr>
          <w:rFonts w:ascii="StobiSerifPro" w:hAnsi="StobiSerifPro"/>
          <w:sz w:val="20"/>
          <w:szCs w:val="20"/>
          <w:lang w:val="mk-MK"/>
        </w:rPr>
        <w:t>поедноставно функционирање на системот з</w:t>
      </w:r>
      <w:r w:rsidR="00546BAA" w:rsidRPr="00546BAA">
        <w:rPr>
          <w:rFonts w:ascii="StobiSerifPro" w:hAnsi="StobiSerifPro"/>
          <w:sz w:val="20"/>
          <w:szCs w:val="20"/>
          <w:lang w:val="mk-MK"/>
        </w:rPr>
        <w:t>а апликација</w:t>
      </w:r>
      <w:r w:rsidR="00546BAA">
        <w:rPr>
          <w:rFonts w:ascii="StobiSerifPro" w:hAnsi="StobiSerifPro"/>
          <w:sz w:val="20"/>
          <w:szCs w:val="20"/>
          <w:lang w:val="mk-MK"/>
        </w:rPr>
        <w:t xml:space="preserve">, </w:t>
      </w:r>
      <w:r w:rsidR="00546BAA" w:rsidRPr="00546BAA">
        <w:rPr>
          <w:rFonts w:ascii="StobiSerifPro" w:hAnsi="StobiSerifPro"/>
          <w:sz w:val="20"/>
          <w:szCs w:val="20"/>
          <w:lang w:val="mk-MK"/>
        </w:rPr>
        <w:t>процедурите и постапките</w:t>
      </w:r>
      <w:r w:rsidR="00546BAA">
        <w:rPr>
          <w:rFonts w:ascii="StobiSerifPro" w:hAnsi="StobiSerifPro"/>
          <w:sz w:val="20"/>
          <w:szCs w:val="20"/>
          <w:lang w:val="mk-MK"/>
        </w:rPr>
        <w:t xml:space="preserve"> кои ќе води </w:t>
      </w:r>
      <w:r w:rsidR="00546BAA" w:rsidRPr="00546BAA">
        <w:rPr>
          <w:rFonts w:ascii="StobiSerifPro" w:hAnsi="StobiSerifPro"/>
          <w:sz w:val="20"/>
          <w:szCs w:val="20"/>
          <w:lang w:val="mk-MK"/>
        </w:rPr>
        <w:t>еден надлежен орган од момент на апликација до спроведување на исплата</w:t>
      </w:r>
      <w:r w:rsidR="00546BAA">
        <w:rPr>
          <w:rFonts w:ascii="StobiSerifPro" w:hAnsi="StobiSerifPro"/>
          <w:sz w:val="20"/>
          <w:szCs w:val="20"/>
          <w:lang w:val="mk-MK"/>
        </w:rPr>
        <w:t xml:space="preserve"> за директни плаќања</w:t>
      </w:r>
      <w:r w:rsidR="00546BAA" w:rsidRPr="00546BAA">
        <w:rPr>
          <w:rFonts w:ascii="StobiSerifPro" w:hAnsi="StobiSerifPro"/>
          <w:sz w:val="20"/>
          <w:szCs w:val="20"/>
          <w:lang w:val="mk-MK"/>
        </w:rPr>
        <w:t xml:space="preserve">. </w:t>
      </w:r>
    </w:p>
    <w:p w:rsidR="00546BAA" w:rsidRDefault="00546BAA" w:rsidP="00546BAA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546BAA">
        <w:rPr>
          <w:rFonts w:ascii="StobiSerifPro" w:hAnsi="StobiSerifPro"/>
          <w:sz w:val="20"/>
          <w:szCs w:val="20"/>
          <w:lang w:val="mk-MK"/>
        </w:rPr>
        <w:t xml:space="preserve">Во земјоделското производството </w:t>
      </w:r>
      <w:r>
        <w:rPr>
          <w:rFonts w:ascii="StobiSerifPro" w:hAnsi="StobiSerifPro"/>
          <w:sz w:val="20"/>
          <w:szCs w:val="20"/>
          <w:lang w:val="mk-MK"/>
        </w:rPr>
        <w:t>ќе се овозможи услов за отимализација на</w:t>
      </w:r>
      <w:r w:rsidRPr="00546BAA">
        <w:rPr>
          <w:rFonts w:ascii="StobiSerifPro" w:hAnsi="StobiSerifPro"/>
          <w:sz w:val="20"/>
          <w:szCs w:val="20"/>
          <w:lang w:val="mk-MK"/>
        </w:rPr>
        <w:t xml:space="preserve"> производни трошоци и заедничка набавка или производство на материјали за производств</w:t>
      </w:r>
      <w:r>
        <w:rPr>
          <w:rFonts w:ascii="StobiSerifPro" w:hAnsi="StobiSerifPro"/>
          <w:sz w:val="20"/>
          <w:szCs w:val="20"/>
          <w:lang w:val="mk-MK"/>
        </w:rPr>
        <w:t>о, ќе се овозможат услови за подобра</w:t>
      </w:r>
      <w:r w:rsidRPr="00546BAA">
        <w:rPr>
          <w:rFonts w:ascii="StobiSerifPro" w:hAnsi="StobiSerifPro"/>
          <w:sz w:val="20"/>
          <w:szCs w:val="20"/>
          <w:lang w:val="mk-MK"/>
        </w:rPr>
        <w:t xml:space="preserve"> пазарната положба на земјоделските стопанства со воведување на заеднички операции за складирање и маркетинг на земјоделски производи или доработка, финализација и дистрибуција на земјоделски производи и </w:t>
      </w:r>
      <w:r>
        <w:rPr>
          <w:rFonts w:ascii="StobiSerifPro" w:hAnsi="StobiSerifPro"/>
          <w:sz w:val="20"/>
          <w:szCs w:val="20"/>
          <w:lang w:val="mk-MK"/>
        </w:rPr>
        <w:t>ќе се овозможат услови за можно имплементирање на</w:t>
      </w:r>
      <w:r w:rsidRPr="00546BAA">
        <w:rPr>
          <w:rFonts w:ascii="StobiSerifPro" w:hAnsi="StobiSerifPro"/>
          <w:sz w:val="20"/>
          <w:szCs w:val="20"/>
          <w:lang w:val="mk-MK"/>
        </w:rPr>
        <w:t xml:space="preserve"> стандарди за квалитетот на земјоделските производи.</w:t>
      </w:r>
    </w:p>
    <w:p w:rsidR="00546BAA" w:rsidRDefault="00546BAA" w:rsidP="00E85749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4F7717" w:rsidRPr="0064373B" w:rsidRDefault="00E62DC4" w:rsidP="00306698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6.2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Ризици во спроведувањето и примената на секое од можните решенија</w:t>
      </w:r>
      <w:r w:rsidR="004F7717" w:rsidRPr="0064373B">
        <w:rPr>
          <w:rFonts w:ascii="StobiSerifPro" w:hAnsi="StobiSerifPro"/>
          <w:sz w:val="20"/>
          <w:szCs w:val="20"/>
          <w:lang w:val="en-US"/>
        </w:rPr>
        <w:t xml:space="preserve"> </w:t>
      </w:r>
      <w:r w:rsidR="004F7717" w:rsidRPr="0064373B">
        <w:rPr>
          <w:rFonts w:ascii="StobiSerifPro" w:hAnsi="StobiSerifPro"/>
          <w:sz w:val="20"/>
          <w:szCs w:val="20"/>
          <w:lang w:val="mk-MK"/>
        </w:rPr>
        <w:t>(опции)</w:t>
      </w:r>
    </w:p>
    <w:p w:rsidR="00E62DC4" w:rsidRPr="0064373B" w:rsidRDefault="00E62DC4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en-US"/>
        </w:rPr>
      </w:pPr>
      <w:r w:rsidRPr="0064373B">
        <w:rPr>
          <w:rFonts w:ascii="StobiSerifPro" w:hAnsi="StobiSerifPro"/>
          <w:sz w:val="20"/>
          <w:szCs w:val="20"/>
          <w:lang w:val="mk-MK"/>
        </w:rPr>
        <w:t>6.3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Препорачано решение со образложение</w:t>
      </w:r>
      <w:r w:rsidR="004F7717" w:rsidRPr="0064373B">
        <w:rPr>
          <w:rFonts w:ascii="StobiSerifPro" w:hAnsi="StobiSerifPro"/>
          <w:sz w:val="20"/>
          <w:szCs w:val="20"/>
          <w:lang w:val="en-US"/>
        </w:rPr>
        <w:t xml:space="preserve"> </w:t>
      </w:r>
    </w:p>
    <w:p w:rsidR="005B6306" w:rsidRDefault="005B6306" w:rsidP="00FC22C5">
      <w:pPr>
        <w:jc w:val="both"/>
        <w:rPr>
          <w:rFonts w:ascii="StobiSerifPro" w:hAnsi="StobiSerifPro"/>
          <w:sz w:val="20"/>
          <w:szCs w:val="20"/>
          <w:lang w:val="en-US"/>
        </w:rPr>
      </w:pPr>
    </w:p>
    <w:p w:rsidR="00E62DC4" w:rsidRPr="0064373B" w:rsidRDefault="00FC22C5" w:rsidP="00FC22C5">
      <w:pPr>
        <w:jc w:val="both"/>
        <w:rPr>
          <w:rFonts w:ascii="StobiSerifPro" w:hAnsi="StobiSerifPro"/>
          <w:sz w:val="20"/>
          <w:szCs w:val="20"/>
          <w:lang w:val="en-US"/>
        </w:rPr>
      </w:pPr>
      <w:r w:rsidRPr="0064373B">
        <w:rPr>
          <w:rFonts w:ascii="StobiSerifPro" w:hAnsi="StobiSerifPro"/>
          <w:sz w:val="20"/>
          <w:szCs w:val="20"/>
          <w:lang w:val="en-US"/>
        </w:rPr>
        <w:t xml:space="preserve">Се препорачува усвојување на предлог Законот за изменување и дополнување на Законот </w:t>
      </w:r>
      <w:r w:rsidR="005B6306">
        <w:rPr>
          <w:rFonts w:ascii="StobiSerifPro" w:hAnsi="StobiSerifPro"/>
          <w:sz w:val="20"/>
          <w:szCs w:val="20"/>
          <w:lang w:val="mk-MK"/>
        </w:rPr>
        <w:t>земјоделство и рурален развој</w:t>
      </w:r>
      <w:r w:rsidR="005B6306">
        <w:rPr>
          <w:rFonts w:ascii="StobiSerifPro" w:hAnsi="StobiSerifPro"/>
          <w:sz w:val="20"/>
          <w:szCs w:val="20"/>
          <w:lang w:val="en-US"/>
        </w:rPr>
        <w:t xml:space="preserve"> со што ќе </w:t>
      </w:r>
      <w:r w:rsidR="005B6306">
        <w:rPr>
          <w:rFonts w:ascii="StobiSerifPro" w:hAnsi="StobiSerifPro"/>
          <w:sz w:val="20"/>
          <w:szCs w:val="20"/>
          <w:lang w:val="mk-MK"/>
        </w:rPr>
        <w:t>се воспостави</w:t>
      </w:r>
      <w:r w:rsidR="005B6306">
        <w:rPr>
          <w:rFonts w:ascii="StobiSerifPro" w:hAnsi="StobiSerifPro"/>
          <w:sz w:val="20"/>
          <w:szCs w:val="20"/>
          <w:lang w:val="en-US"/>
        </w:rPr>
        <w:t xml:space="preserve"> Интегриран </w:t>
      </w:r>
      <w:r w:rsidR="005B6306">
        <w:rPr>
          <w:rFonts w:ascii="StobiSerifPro" w:hAnsi="StobiSerifPro"/>
          <w:sz w:val="20"/>
          <w:szCs w:val="20"/>
          <w:lang w:val="mk-MK"/>
        </w:rPr>
        <w:t>Административен Контролен Систем и ќе се зголемат можностите за здружување на земјоделските стопанства во задруги со цел поефикасно и економично работење.</w:t>
      </w:r>
    </w:p>
    <w:p w:rsidR="00E62DC4" w:rsidRPr="0064373B" w:rsidRDefault="00E62DC4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187F5B" w:rsidRPr="0064373B" w:rsidRDefault="00187F5B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64373B" w:rsidRDefault="00E62DC4" w:rsidP="00187F5B">
      <w:p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7.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306698" w:rsidRPr="0064373B" w:rsidRDefault="00306698" w:rsidP="00306698">
      <w:pPr>
        <w:jc w:val="both"/>
        <w:rPr>
          <w:rFonts w:ascii="StobiSerifPro" w:hAnsi="StobiSerifPro"/>
          <w:sz w:val="20"/>
          <w:szCs w:val="20"/>
          <w:lang w:val="ru-RU"/>
        </w:rPr>
      </w:pPr>
    </w:p>
    <w:p w:rsidR="00306698" w:rsidRDefault="00E62DC4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7.1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Потреба од менување на закони и подзаконска регулатива во областа или други сродни области</w:t>
      </w:r>
      <w:r w:rsidR="004F7717" w:rsidRPr="0064373B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5B6306" w:rsidRPr="0064373B" w:rsidRDefault="005B6306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</w:p>
    <w:p w:rsidR="00E62DC4" w:rsidRPr="0064373B" w:rsidRDefault="00FC22C5" w:rsidP="0042757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Со усвојувањето на предлог</w:t>
      </w:r>
      <w:r w:rsidR="0099035A">
        <w:rPr>
          <w:rFonts w:ascii="StobiSerifPro" w:hAnsi="StobiSerifPro"/>
          <w:sz w:val="20"/>
          <w:szCs w:val="20"/>
          <w:lang w:val="mk-MK"/>
        </w:rPr>
        <w:t xml:space="preserve"> 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Законот за изменување и дополнување на Законот за </w:t>
      </w:r>
      <w:r w:rsidR="005B6306">
        <w:rPr>
          <w:rFonts w:ascii="StobiSerifPro" w:hAnsi="StobiSerifPro"/>
          <w:sz w:val="20"/>
          <w:szCs w:val="20"/>
          <w:lang w:val="mk-MK"/>
        </w:rPr>
        <w:t>земјоделство и рурален развој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се предвидува и донесување на подзаконски акт</w:t>
      </w:r>
      <w:r w:rsidR="005B6306">
        <w:rPr>
          <w:rFonts w:ascii="StobiSerifPro" w:hAnsi="StobiSerifPro"/>
          <w:sz w:val="20"/>
          <w:szCs w:val="20"/>
          <w:lang w:val="mk-MK"/>
        </w:rPr>
        <w:t>и и стратегии кои произлегуваат од текстот на законот</w:t>
      </w:r>
      <w:r w:rsidRPr="0064373B">
        <w:rPr>
          <w:rFonts w:ascii="StobiSerifPro" w:hAnsi="StobiSerifPro"/>
          <w:sz w:val="20"/>
          <w:szCs w:val="20"/>
          <w:lang w:val="mk-MK"/>
        </w:rPr>
        <w:t>.</w:t>
      </w:r>
    </w:p>
    <w:p w:rsidR="00E62DC4" w:rsidRPr="0064373B" w:rsidRDefault="00E62DC4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7.2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Потребни подзаконски акти и рок за нивно донесување</w:t>
      </w:r>
    </w:p>
    <w:p w:rsidR="004F7717" w:rsidRPr="0064373B" w:rsidRDefault="004F7717" w:rsidP="00451EE6">
      <w:pPr>
        <w:jc w:val="both"/>
        <w:rPr>
          <w:rFonts w:ascii="StobiSerifPro" w:hAnsi="StobiSerifPro"/>
          <w:bCs/>
          <w:sz w:val="20"/>
          <w:szCs w:val="20"/>
          <w:lang w:val="mk-MK"/>
        </w:rPr>
      </w:pPr>
      <w:r w:rsidRPr="0064373B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FC22C5" w:rsidRPr="0064373B" w:rsidRDefault="00FC22C5" w:rsidP="0042757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Се очекува во рок од </w:t>
      </w:r>
      <w:r w:rsidR="005B6306">
        <w:rPr>
          <w:rFonts w:ascii="StobiSerifPro" w:hAnsi="StobiSerifPro"/>
          <w:sz w:val="20"/>
          <w:szCs w:val="20"/>
          <w:lang w:val="mk-MK"/>
        </w:rPr>
        <w:t>1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</w:t>
      </w:r>
      <w:r w:rsidR="005B6306">
        <w:rPr>
          <w:rFonts w:ascii="StobiSerifPro" w:hAnsi="StobiSerifPro"/>
          <w:sz w:val="20"/>
          <w:szCs w:val="20"/>
          <w:lang w:val="mk-MK"/>
        </w:rPr>
        <w:t>година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по донесувањето на законот </w:t>
      </w:r>
      <w:r w:rsidR="005B6306">
        <w:rPr>
          <w:rFonts w:ascii="StobiSerifPro" w:hAnsi="StobiSerifPro"/>
          <w:sz w:val="20"/>
          <w:szCs w:val="20"/>
          <w:lang w:val="mk-MK"/>
        </w:rPr>
        <w:t>да се донесат следните стратегии и подзаконски акти:</w:t>
      </w:r>
    </w:p>
    <w:p w:rsidR="005B6306" w:rsidRDefault="005B6306" w:rsidP="005B6306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С</w:t>
      </w:r>
      <w:r w:rsidRPr="005B6306">
        <w:rPr>
          <w:rFonts w:ascii="StobiSerifPro" w:hAnsi="StobiSerifPro"/>
          <w:sz w:val="20"/>
          <w:szCs w:val="20"/>
          <w:lang w:val="mk-MK"/>
        </w:rPr>
        <w:t>тратегија за економско здружување на земјоделските стопанства за период од седум години</w:t>
      </w:r>
      <w:r>
        <w:rPr>
          <w:rFonts w:ascii="StobiSerifPro" w:hAnsi="StobiSerifPro"/>
          <w:sz w:val="20"/>
          <w:szCs w:val="20"/>
          <w:lang w:val="mk-MK"/>
        </w:rPr>
        <w:t>,</w:t>
      </w:r>
    </w:p>
    <w:p w:rsidR="005B6306" w:rsidRDefault="005B6306" w:rsidP="005B6306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 w:rsidRPr="005B6306">
        <w:rPr>
          <w:rFonts w:ascii="StobiSerifPro" w:hAnsi="StobiSerifPro"/>
          <w:sz w:val="20"/>
          <w:szCs w:val="20"/>
          <w:lang w:val="mk-MK"/>
        </w:rPr>
        <w:t>Правилник за</w:t>
      </w:r>
      <w:r>
        <w:rPr>
          <w:rFonts w:ascii="StobiSerifPro" w:hAnsi="StobiSerifPro"/>
          <w:sz w:val="20"/>
          <w:szCs w:val="20"/>
          <w:lang w:val="mk-MK"/>
        </w:rPr>
        <w:t xml:space="preserve"> п</w:t>
      </w:r>
      <w:r w:rsidRPr="005B6306">
        <w:rPr>
          <w:rFonts w:ascii="StobiSerifPro" w:hAnsi="StobiSerifPro"/>
          <w:sz w:val="20"/>
          <w:szCs w:val="20"/>
          <w:lang w:val="mk-MK"/>
        </w:rPr>
        <w:t>облиските услови, прифатливите трошоци, висината на вредноста на прифатливите трошоци, висината на поддршката по корисник и критериумите за избор на корисници</w:t>
      </w:r>
      <w:r>
        <w:rPr>
          <w:rFonts w:ascii="StobiSerifPro" w:hAnsi="StobiSerifPro"/>
          <w:sz w:val="20"/>
          <w:szCs w:val="20"/>
          <w:lang w:val="mk-MK"/>
        </w:rPr>
        <w:t>,</w:t>
      </w:r>
    </w:p>
    <w:p w:rsidR="005B6306" w:rsidRDefault="005B6306" w:rsidP="005B6306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Правилник за форма и содржина за задолжително запишување на земјоделски задруги,</w:t>
      </w:r>
    </w:p>
    <w:p w:rsidR="005B6306" w:rsidRDefault="005B6306" w:rsidP="005B6306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Правилник за ф</w:t>
      </w:r>
      <w:r w:rsidRPr="005B6306">
        <w:rPr>
          <w:rFonts w:ascii="StobiSerifPro" w:hAnsi="StobiSerifPro"/>
          <w:sz w:val="20"/>
          <w:szCs w:val="20"/>
          <w:lang w:val="mk-MK"/>
        </w:rPr>
        <w:t>ормата, содржината и начинот на водење на Регистарот</w:t>
      </w:r>
      <w:r>
        <w:rPr>
          <w:rFonts w:ascii="StobiSerifPro" w:hAnsi="StobiSerifPro"/>
          <w:sz w:val="20"/>
          <w:szCs w:val="20"/>
          <w:lang w:val="mk-MK"/>
        </w:rPr>
        <w:t xml:space="preserve"> за земјоделски задруги,</w:t>
      </w:r>
    </w:p>
    <w:p w:rsidR="005B6306" w:rsidRDefault="005B6306" w:rsidP="0099035A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 w:rsidRPr="0099035A">
        <w:rPr>
          <w:rFonts w:ascii="StobiSerifPro" w:hAnsi="StobiSerifPro"/>
          <w:sz w:val="20"/>
          <w:szCs w:val="20"/>
          <w:lang w:val="mk-MK"/>
        </w:rPr>
        <w:t xml:space="preserve">Правилник за </w:t>
      </w:r>
      <w:r w:rsidR="0099035A" w:rsidRPr="0099035A">
        <w:rPr>
          <w:rFonts w:ascii="StobiSerifPro" w:hAnsi="StobiSerifPro"/>
          <w:sz w:val="20"/>
          <w:szCs w:val="20"/>
          <w:lang w:val="mk-MK"/>
        </w:rPr>
        <w:t xml:space="preserve">формата, содржината и начинот на водење на евиденцијата на </w:t>
      </w:r>
      <w:r w:rsidRPr="0099035A">
        <w:rPr>
          <w:rFonts w:ascii="StobiSerifPro" w:hAnsi="StobiSerifPro"/>
          <w:sz w:val="20"/>
          <w:szCs w:val="20"/>
          <w:lang w:val="mk-MK"/>
        </w:rPr>
        <w:t>членовите и на производствените капацитети на членовите и на задругата</w:t>
      </w:r>
      <w:r w:rsidR="0099035A">
        <w:rPr>
          <w:rFonts w:ascii="StobiSerifPro" w:hAnsi="StobiSerifPro"/>
          <w:sz w:val="20"/>
          <w:szCs w:val="20"/>
          <w:lang w:val="mk-MK"/>
        </w:rPr>
        <w:t xml:space="preserve"> и</w:t>
      </w:r>
    </w:p>
    <w:p w:rsidR="0099035A" w:rsidRDefault="0099035A" w:rsidP="0099035A">
      <w:pPr>
        <w:numPr>
          <w:ilvl w:val="0"/>
          <w:numId w:val="11"/>
        </w:num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 xml:space="preserve">Правилник за </w:t>
      </w:r>
      <w:r w:rsidRPr="0099035A">
        <w:rPr>
          <w:rFonts w:ascii="StobiSerifPro" w:hAnsi="StobiSerifPro"/>
          <w:sz w:val="20"/>
          <w:szCs w:val="20"/>
          <w:lang w:val="mk-MK"/>
        </w:rPr>
        <w:t>начинот на спроведување на контролите на самото место</w:t>
      </w:r>
      <w:r>
        <w:rPr>
          <w:rFonts w:ascii="StobiSerifPro" w:hAnsi="StobiSerifPro"/>
          <w:sz w:val="20"/>
          <w:szCs w:val="20"/>
          <w:lang w:val="mk-MK"/>
        </w:rPr>
        <w:t>,</w:t>
      </w:r>
    </w:p>
    <w:p w:rsidR="00C45BB9" w:rsidRPr="0064373B" w:rsidRDefault="00C45BB9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</w:p>
    <w:p w:rsidR="00306698" w:rsidRDefault="00E62DC4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7.3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Органи на државната управа, државни органи и други органи надлежни за спроведување</w:t>
      </w:r>
      <w:r w:rsidR="004F7717" w:rsidRPr="0064373B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99035A" w:rsidRPr="0064373B" w:rsidRDefault="0099035A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</w:p>
    <w:p w:rsidR="00FC22C5" w:rsidRPr="0064373B" w:rsidRDefault="00FC22C5" w:rsidP="0099035A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Надлежен орган за спроведување на Законот за изменување и дополнување на Законот за </w:t>
      </w:r>
      <w:r w:rsidR="0099035A">
        <w:rPr>
          <w:rFonts w:ascii="StobiSerifPro" w:hAnsi="StobiSerifPro"/>
          <w:sz w:val="20"/>
          <w:szCs w:val="20"/>
          <w:lang w:val="mk-MK"/>
        </w:rPr>
        <w:t xml:space="preserve">земјоделство и рурален развој е Министерство за земјоделство, шумарство и водостопанство и 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Агенцијата за </w:t>
      </w:r>
      <w:r w:rsidR="0099035A">
        <w:rPr>
          <w:rFonts w:ascii="StobiSerifPro" w:hAnsi="StobiSerifPro"/>
          <w:sz w:val="20"/>
          <w:szCs w:val="20"/>
          <w:lang w:val="mk-MK"/>
        </w:rPr>
        <w:t xml:space="preserve">финансиска поддршка во земјоделството и руралниот развој. </w:t>
      </w:r>
    </w:p>
    <w:p w:rsidR="00E62DC4" w:rsidRPr="0064373B" w:rsidRDefault="00E62DC4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2"/>
          <w:szCs w:val="22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7.4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Активности за обезбедување на ефикасно спроведување на предлог</w:t>
      </w:r>
      <w:r w:rsidR="00F66307" w:rsidRPr="0064373B">
        <w:rPr>
          <w:rFonts w:ascii="StobiSerifPro" w:hAnsi="StobiSerifPro"/>
          <w:sz w:val="20"/>
          <w:szCs w:val="20"/>
          <w:lang w:val="mk-MK"/>
        </w:rPr>
        <w:t>от</w:t>
      </w:r>
      <w:r w:rsidR="00B413F0" w:rsidRPr="0064373B">
        <w:rPr>
          <w:rFonts w:ascii="StobiSerifPro" w:hAnsi="StobiSerifPro"/>
          <w:sz w:val="20"/>
          <w:szCs w:val="20"/>
          <w:lang w:val="mk-MK"/>
        </w:rPr>
        <w:t xml:space="preserve"> на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закон</w:t>
      </w:r>
      <w:r w:rsidR="004F7717" w:rsidRPr="0064373B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CE2203" w:rsidRPr="0064373B" w:rsidRDefault="00CE2203" w:rsidP="00CE2203">
      <w:pPr>
        <w:jc w:val="both"/>
        <w:rPr>
          <w:rFonts w:ascii="StobiSerifPro" w:hAnsi="StobiSerifPro"/>
          <w:sz w:val="22"/>
          <w:szCs w:val="22"/>
          <w:lang w:val="mk-MK"/>
        </w:rPr>
      </w:pPr>
    </w:p>
    <w:p w:rsidR="00CE2203" w:rsidRPr="0064373B" w:rsidRDefault="00FC22C5" w:rsidP="00CE2203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lastRenderedPageBreak/>
        <w:t>За спроведување на законот ќе се спро</w:t>
      </w:r>
      <w:r w:rsidR="0099035A">
        <w:rPr>
          <w:rFonts w:ascii="StobiSerifPro" w:hAnsi="StobiSerifPro"/>
          <w:sz w:val="20"/>
          <w:szCs w:val="20"/>
          <w:lang w:val="mk-MK"/>
        </w:rPr>
        <w:t xml:space="preserve">веде функционална анализа за димензионирање на надлежностите на организационите единици на двете институции. </w:t>
      </w:r>
    </w:p>
    <w:p w:rsidR="00187F5B" w:rsidRPr="0064373B" w:rsidRDefault="00187F5B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64373B" w:rsidRDefault="00E62DC4" w:rsidP="00187F5B">
      <w:pPr>
        <w:shd w:val="clear" w:color="auto" w:fill="FBD4B4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64373B">
        <w:rPr>
          <w:rFonts w:ascii="StobiSerifPro" w:hAnsi="StobiSerifPro"/>
          <w:b/>
          <w:sz w:val="20"/>
          <w:szCs w:val="20"/>
          <w:lang w:val="mk-MK"/>
        </w:rPr>
        <w:t>8.</w:t>
      </w:r>
      <w:r w:rsidRPr="0064373B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64373B" w:rsidRDefault="00E62DC4" w:rsidP="00591C8C">
      <w:pPr>
        <w:jc w:val="both"/>
        <w:rPr>
          <w:rFonts w:ascii="StobiSerifPro" w:hAnsi="StobiSerifPro"/>
          <w:sz w:val="20"/>
          <w:szCs w:val="20"/>
          <w:lang w:val="ru-RU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8.1 </w:t>
      </w:r>
      <w:r w:rsidRPr="0064373B">
        <w:rPr>
          <w:rFonts w:ascii="StobiSerifPro" w:hAnsi="StobiSerifPro"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99035A" w:rsidRDefault="0099035A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99035A" w:rsidRDefault="0099035A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Спроведување на редовни надзори над воспоставување и имплементација на одредбите од законот од страна на Министерството за земјоделство, шумарство и водостопанство и Агенцијата за финансиска поддршка во земјоделството и руралниот развој.</w:t>
      </w:r>
    </w:p>
    <w:p w:rsidR="0099035A" w:rsidRDefault="0099035A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306698" w:rsidRPr="0064373B" w:rsidRDefault="00E62DC4" w:rsidP="004F7717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>8.2</w:t>
      </w:r>
      <w:r w:rsidRPr="0064373B">
        <w:rPr>
          <w:rFonts w:ascii="StobiSerifPro" w:hAnsi="StobiSerifPro"/>
          <w:sz w:val="20"/>
          <w:szCs w:val="20"/>
          <w:lang w:val="mk-MK"/>
        </w:rPr>
        <w:tab/>
        <w:t>Евалуација на ефектите од предлог</w:t>
      </w:r>
      <w:r w:rsidR="00F66307" w:rsidRPr="0064373B">
        <w:rPr>
          <w:rFonts w:ascii="StobiSerifPro" w:hAnsi="StobiSerifPro"/>
          <w:sz w:val="20"/>
          <w:szCs w:val="20"/>
          <w:lang w:val="mk-MK"/>
        </w:rPr>
        <w:t>от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 </w:t>
      </w:r>
      <w:r w:rsidR="00B413F0" w:rsidRPr="0064373B">
        <w:rPr>
          <w:rFonts w:ascii="StobiSerifPro" w:hAnsi="StobiSerifPro"/>
          <w:sz w:val="20"/>
          <w:szCs w:val="20"/>
          <w:lang w:val="mk-MK"/>
        </w:rPr>
        <w:t xml:space="preserve">на </w:t>
      </w:r>
      <w:r w:rsidRPr="0064373B">
        <w:rPr>
          <w:rFonts w:ascii="StobiSerifPro" w:hAnsi="StobiSerifPro"/>
          <w:sz w:val="20"/>
          <w:szCs w:val="20"/>
          <w:lang w:val="mk-MK"/>
        </w:rPr>
        <w:t xml:space="preserve">закон и рокови </w:t>
      </w:r>
    </w:p>
    <w:p w:rsidR="00E62DC4" w:rsidRPr="0064373B" w:rsidRDefault="00E62DC4" w:rsidP="00CE2203">
      <w:pPr>
        <w:ind w:left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FC22C5" w:rsidRDefault="00FC22C5" w:rsidP="0099035A">
      <w:pPr>
        <w:rPr>
          <w:rFonts w:ascii="StobiSerifPro" w:hAnsi="StobiSerifPro"/>
          <w:sz w:val="20"/>
          <w:szCs w:val="20"/>
          <w:lang w:val="mk-MK"/>
        </w:rPr>
      </w:pPr>
      <w:r w:rsidRPr="0064373B">
        <w:rPr>
          <w:rFonts w:ascii="StobiSerifPro" w:hAnsi="StobiSerifPro"/>
          <w:sz w:val="20"/>
          <w:szCs w:val="20"/>
          <w:lang w:val="mk-MK"/>
        </w:rPr>
        <w:t xml:space="preserve">Евалуација на ефектите ќе се врши континуирано после денот </w:t>
      </w:r>
      <w:r w:rsidR="0099035A">
        <w:rPr>
          <w:rFonts w:ascii="StobiSerifPro" w:hAnsi="StobiSerifPro"/>
          <w:sz w:val="20"/>
          <w:szCs w:val="20"/>
          <w:lang w:val="mk-MK"/>
        </w:rPr>
        <w:t>на влегување во сила на законот во делот на:</w:t>
      </w:r>
    </w:p>
    <w:p w:rsidR="0099035A" w:rsidRDefault="0099035A" w:rsidP="0099035A">
      <w:pPr>
        <w:numPr>
          <w:ilvl w:val="0"/>
          <w:numId w:val="12"/>
        </w:numPr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Донесени правилници за организација и систематизација на двете институции,</w:t>
      </w:r>
    </w:p>
    <w:p w:rsidR="0099035A" w:rsidRDefault="0099035A" w:rsidP="0099035A">
      <w:pPr>
        <w:numPr>
          <w:ilvl w:val="0"/>
          <w:numId w:val="12"/>
        </w:numPr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Спроведени постапки за преземање на вработените,</w:t>
      </w:r>
    </w:p>
    <w:p w:rsidR="0099035A" w:rsidRPr="0064373B" w:rsidRDefault="0099035A" w:rsidP="0099035A">
      <w:pPr>
        <w:numPr>
          <w:ilvl w:val="0"/>
          <w:numId w:val="12"/>
        </w:numPr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Воспоставен Интегриран Административен Контролен Систем во Агенцијата за финансиска поддршка во земјоделството и руралниот развој.</w:t>
      </w:r>
    </w:p>
    <w:p w:rsidR="00AF6305" w:rsidRPr="0064373B" w:rsidRDefault="00AF6305" w:rsidP="00FC22C5">
      <w:pPr>
        <w:rPr>
          <w:rFonts w:ascii="StobiSerifPro" w:hAnsi="StobiSerifPro"/>
          <w:sz w:val="20"/>
          <w:szCs w:val="20"/>
          <w:lang w:val="mk-MK"/>
        </w:rPr>
      </w:pPr>
    </w:p>
    <w:p w:rsidR="001218DE" w:rsidRPr="0064373B" w:rsidRDefault="001218DE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218DE" w:rsidRPr="0064373B" w:rsidRDefault="00170F32" w:rsidP="00187F5B">
      <w:pPr>
        <w:shd w:val="clear" w:color="auto" w:fill="FBD4B4"/>
        <w:spacing w:line="276" w:lineRule="auto"/>
        <w:jc w:val="center"/>
        <w:rPr>
          <w:rFonts w:ascii="StobiSerifPro" w:hAnsi="StobiSerifPro"/>
          <w:b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EF65EE" w:rsidRPr="0064373B" w:rsidRDefault="00EF65EE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</w:p>
    <w:p w:rsidR="00170F32" w:rsidRPr="0064373B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64373B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64373B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EF65EE" w:rsidRPr="0064373B" w:rsidRDefault="00EF65EE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64373B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64373B">
        <w:rPr>
          <w:rFonts w:ascii="StobiSerifPro" w:hAnsi="StobiSerifPro"/>
          <w:b/>
          <w:sz w:val="18"/>
          <w:szCs w:val="18"/>
          <w:lang w:val="ru-RU"/>
        </w:rPr>
        <w:t>:</w:t>
      </w:r>
      <w:r w:rsidRPr="0064373B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</w:t>
      </w:r>
      <w:r w:rsidRPr="0064373B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="0099035A">
        <w:rPr>
          <w:rFonts w:ascii="StobiSerifPro" w:hAnsi="StobiSerifPro"/>
          <w:b/>
          <w:sz w:val="18"/>
          <w:szCs w:val="18"/>
          <w:lang w:val="ru-RU"/>
        </w:rPr>
        <w:t xml:space="preserve">                </w:t>
      </w:r>
      <w:r w:rsidRPr="0064373B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64373B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ru-RU"/>
        </w:rPr>
        <w:tab/>
      </w:r>
      <w:r w:rsidRPr="0064373B">
        <w:rPr>
          <w:rFonts w:ascii="StobiSerifPro" w:hAnsi="StobiSerifPro"/>
          <w:b/>
          <w:sz w:val="18"/>
          <w:szCs w:val="18"/>
          <w:lang w:val="ru-RU"/>
        </w:rPr>
        <w:tab/>
      </w:r>
      <w:r w:rsidRPr="0064373B">
        <w:rPr>
          <w:rFonts w:ascii="StobiSerifPro" w:hAnsi="StobiSerifPro"/>
          <w:b/>
          <w:sz w:val="18"/>
          <w:szCs w:val="18"/>
          <w:lang w:val="ru-RU"/>
        </w:rPr>
        <w:tab/>
      </w:r>
      <w:r w:rsidRPr="0064373B">
        <w:rPr>
          <w:rFonts w:ascii="StobiSerifPro" w:hAnsi="StobiSerifPro"/>
          <w:b/>
          <w:sz w:val="18"/>
          <w:szCs w:val="18"/>
          <w:lang w:val="ru-RU"/>
        </w:rPr>
        <w:tab/>
      </w:r>
      <w:r w:rsidRPr="0064373B">
        <w:rPr>
          <w:rFonts w:ascii="StobiSerifPro" w:hAnsi="StobiSerifPro"/>
          <w:b/>
          <w:sz w:val="18"/>
          <w:szCs w:val="18"/>
          <w:lang w:val="ru-RU"/>
        </w:rPr>
        <w:tab/>
      </w:r>
      <w:r w:rsidRPr="0064373B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</w:t>
      </w:r>
      <w:r w:rsidR="001218DE" w:rsidRPr="0064373B">
        <w:rPr>
          <w:rFonts w:ascii="StobiSerifPro" w:hAnsi="StobiSerifPro"/>
          <w:b/>
          <w:sz w:val="18"/>
          <w:szCs w:val="18"/>
          <w:lang w:val="ru-RU"/>
        </w:rPr>
        <w:t xml:space="preserve">        </w:t>
      </w:r>
      <w:r w:rsidRPr="0064373B">
        <w:rPr>
          <w:rFonts w:ascii="StobiSerifPro" w:hAnsi="StobiSerifPro"/>
          <w:b/>
          <w:sz w:val="18"/>
          <w:szCs w:val="18"/>
          <w:lang w:val="ru-RU"/>
        </w:rPr>
        <w:t xml:space="preserve">   </w:t>
      </w:r>
      <w:r w:rsidR="00EF65EE" w:rsidRPr="0064373B">
        <w:rPr>
          <w:rFonts w:ascii="StobiSerifPro" w:hAnsi="StobiSerifPro"/>
          <w:b/>
          <w:sz w:val="18"/>
          <w:szCs w:val="18"/>
          <w:lang w:val="ru-RU"/>
        </w:rPr>
        <w:t xml:space="preserve">    </w:t>
      </w:r>
      <w:r w:rsidRPr="0064373B">
        <w:rPr>
          <w:rFonts w:ascii="StobiSerifPro" w:hAnsi="StobiSerifPro"/>
          <w:b/>
          <w:sz w:val="18"/>
          <w:szCs w:val="18"/>
          <w:lang w:val="ru-RU"/>
        </w:rPr>
        <w:t xml:space="preserve"> потпис на </w:t>
      </w:r>
      <w:r w:rsidRPr="0064373B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64373B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3B3CC1" w:rsidRPr="0064373B" w:rsidRDefault="003B3CC1" w:rsidP="00170F32">
      <w:pPr>
        <w:rPr>
          <w:rFonts w:ascii="StobiSerifPro" w:hAnsi="StobiSerifPro"/>
          <w:sz w:val="20"/>
          <w:szCs w:val="20"/>
          <w:lang w:val="en-US"/>
        </w:rPr>
      </w:pPr>
    </w:p>
    <w:p w:rsidR="00170F32" w:rsidRPr="0064373B" w:rsidRDefault="00170F32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E7452" w:rsidRPr="0064373B" w:rsidRDefault="001E7452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Pro" w:hAnsi="StobiSerifPro"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>Изјава од министерот</w:t>
      </w:r>
    </w:p>
    <w:p w:rsidR="001E7452" w:rsidRPr="0064373B" w:rsidRDefault="001E7452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Pro" w:hAnsi="StobiSerifPro"/>
          <w:b/>
          <w:sz w:val="10"/>
          <w:szCs w:val="10"/>
          <w:lang w:val="ru-RU"/>
        </w:rPr>
      </w:pPr>
    </w:p>
    <w:p w:rsidR="00455DB3" w:rsidRPr="0064373B" w:rsidRDefault="00D22484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>Врз основа на резултатите од анализите прикажани во И</w:t>
      </w:r>
      <w:r w:rsidR="001E7452" w:rsidRPr="0064373B">
        <w:rPr>
          <w:rFonts w:ascii="StobiSerifPro" w:hAnsi="StobiSerifPro"/>
          <w:b/>
          <w:sz w:val="18"/>
          <w:szCs w:val="18"/>
          <w:lang w:val="mk-MK"/>
        </w:rPr>
        <w:t>звештајот за проценка на влијанието на регулативата</w:t>
      </w:r>
      <w:r w:rsidRPr="0064373B">
        <w:rPr>
          <w:rFonts w:ascii="StobiSerifPro" w:hAnsi="StobiSerifPro"/>
          <w:b/>
          <w:sz w:val="18"/>
          <w:szCs w:val="18"/>
          <w:lang w:val="mk-MK"/>
        </w:rPr>
        <w:t xml:space="preserve">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035998" w:rsidRPr="0064373B" w:rsidRDefault="00035998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</w:p>
    <w:p w:rsidR="00EF65EE" w:rsidRPr="0064373B" w:rsidRDefault="0087764B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 xml:space="preserve">Датум:____________                                                                                                   </w:t>
      </w:r>
      <w:r w:rsidR="00455DB3" w:rsidRPr="0064373B">
        <w:rPr>
          <w:rFonts w:ascii="StobiSerifPro" w:hAnsi="StobiSerifPro"/>
          <w:b/>
          <w:sz w:val="18"/>
          <w:szCs w:val="18"/>
          <w:lang w:val="mk-MK"/>
        </w:rPr>
        <w:t>.</w:t>
      </w:r>
      <w:r w:rsidRPr="0064373B">
        <w:rPr>
          <w:rFonts w:ascii="StobiSerifPro" w:hAnsi="StobiSerifPro"/>
          <w:b/>
          <w:sz w:val="18"/>
          <w:szCs w:val="18"/>
          <w:lang w:val="mk-MK"/>
        </w:rPr>
        <w:t>..........................</w:t>
      </w:r>
      <w:r w:rsidR="006A5FBC" w:rsidRPr="0064373B">
        <w:rPr>
          <w:rFonts w:ascii="StobiSerifPro" w:hAnsi="StobiSerifPro"/>
          <w:b/>
          <w:sz w:val="18"/>
          <w:szCs w:val="18"/>
          <w:lang w:val="ru-RU"/>
        </w:rPr>
        <w:t>................</w:t>
      </w:r>
    </w:p>
    <w:p w:rsidR="001E7452" w:rsidRPr="0064373B" w:rsidRDefault="00EF65EE" w:rsidP="0018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64373B">
        <w:rPr>
          <w:rFonts w:ascii="StobiSerifPro" w:hAnsi="StobiSerifPro"/>
          <w:b/>
          <w:sz w:val="18"/>
          <w:szCs w:val="18"/>
          <w:lang w:val="mk-MK"/>
        </w:rPr>
        <w:t xml:space="preserve">                                                                                                                                         </w:t>
      </w:r>
      <w:r w:rsidR="00AF6305" w:rsidRPr="0064373B">
        <w:rPr>
          <w:rFonts w:ascii="StobiSerifPro" w:hAnsi="StobiSerifPro"/>
          <w:b/>
          <w:sz w:val="18"/>
          <w:szCs w:val="18"/>
          <w:lang w:val="mk-MK"/>
        </w:rPr>
        <w:t>п</w:t>
      </w:r>
      <w:r w:rsidR="001E7452" w:rsidRPr="0064373B">
        <w:rPr>
          <w:rFonts w:ascii="StobiSerifPro" w:hAnsi="StobiSerifPro"/>
          <w:b/>
          <w:sz w:val="18"/>
          <w:szCs w:val="18"/>
          <w:lang w:val="mk-MK"/>
        </w:rPr>
        <w:t>отпис на министерот</w:t>
      </w:r>
      <w:r w:rsidR="001E7452" w:rsidRPr="0064373B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187F5B" w:rsidRPr="0064373B" w:rsidRDefault="00187F5B" w:rsidP="006B1CE1">
      <w:pPr>
        <w:rPr>
          <w:rFonts w:ascii="StobiSerifPro" w:hAnsi="StobiSerifPro"/>
          <w:b/>
          <w:sz w:val="20"/>
          <w:szCs w:val="20"/>
          <w:lang w:val="mk-MK"/>
        </w:rPr>
      </w:pPr>
    </w:p>
    <w:sectPr w:rsidR="00187F5B" w:rsidRPr="0064373B" w:rsidSect="002D2F0A">
      <w:headerReference w:type="default" r:id="rId13"/>
      <w:footerReference w:type="default" r:id="rId14"/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5A" w:rsidRDefault="0099035A" w:rsidP="005D078B">
      <w:r>
        <w:separator/>
      </w:r>
    </w:p>
  </w:endnote>
  <w:endnote w:type="continuationSeparator" w:id="0">
    <w:p w:rsidR="0099035A" w:rsidRDefault="0099035A" w:rsidP="005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Pro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5A" w:rsidRDefault="009903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B26">
      <w:rPr>
        <w:noProof/>
      </w:rPr>
      <w:t>3</w:t>
    </w:r>
    <w:r>
      <w:fldChar w:fldCharType="end"/>
    </w:r>
  </w:p>
  <w:p w:rsidR="0099035A" w:rsidRDefault="0099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5A" w:rsidRDefault="0099035A" w:rsidP="005D078B">
      <w:r>
        <w:separator/>
      </w:r>
    </w:p>
  </w:footnote>
  <w:footnote w:type="continuationSeparator" w:id="0">
    <w:p w:rsidR="0099035A" w:rsidRDefault="0099035A" w:rsidP="005D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5A" w:rsidRDefault="00405B26" w:rsidP="00EF65EE">
    <w:pPr>
      <w:pStyle w:val="Header"/>
      <w:jc w:val="center"/>
      <w:rPr>
        <w:rFonts w:ascii="StobiSerif" w:hAnsi="StobiSerif"/>
        <w:noProof/>
        <w:sz w:val="22"/>
        <w:szCs w:val="22"/>
        <w:lang w:val="mk-MK" w:eastAsia="mk-MK"/>
      </w:rPr>
    </w:pPr>
    <w:r w:rsidRPr="0093438E">
      <w:rPr>
        <w:rFonts w:ascii="StobiSerif" w:hAnsi="StobiSerif"/>
        <w:noProof/>
        <w:sz w:val="22"/>
        <w:szCs w:val="22"/>
        <w:lang w:val="en-US" w:eastAsia="en-US"/>
      </w:rPr>
      <w:drawing>
        <wp:inline distT="0" distB="0" distL="0" distR="0">
          <wp:extent cx="2579370" cy="955040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35A" w:rsidRPr="00324FB1" w:rsidRDefault="0099035A" w:rsidP="00324FB1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noProof/>
        <w:sz w:val="20"/>
        <w:szCs w:val="20"/>
        <w:lang w:val="mk-MK" w:eastAsia="mk-MK"/>
      </w:rPr>
      <w:t>МИНИСТЕРСТВО ЗA ЗЕМЈОДЕЛСТВО, ШУМАРСТВО И ВОДОСТОПАНСТВО</w:t>
    </w:r>
  </w:p>
  <w:p w:rsidR="0099035A" w:rsidRDefault="00990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B6E"/>
    <w:multiLevelType w:val="hybridMultilevel"/>
    <w:tmpl w:val="EE722B90"/>
    <w:lvl w:ilvl="0" w:tplc="2D7AF520">
      <w:start w:val="1"/>
      <w:numFmt w:val="bullet"/>
      <w:lvlText w:val="-"/>
      <w:lvlJc w:val="left"/>
      <w:pPr>
        <w:ind w:left="770" w:hanging="360"/>
      </w:pPr>
      <w:rPr>
        <w:rFonts w:ascii="Cambria" w:eastAsia="Calibri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31D95"/>
    <w:multiLevelType w:val="hybridMultilevel"/>
    <w:tmpl w:val="30522B92"/>
    <w:lvl w:ilvl="0" w:tplc="DE8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5832"/>
    <w:multiLevelType w:val="hybridMultilevel"/>
    <w:tmpl w:val="703AD5B0"/>
    <w:lvl w:ilvl="0" w:tplc="DE8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541C"/>
    <w:multiLevelType w:val="hybridMultilevel"/>
    <w:tmpl w:val="DD081ABE"/>
    <w:lvl w:ilvl="0" w:tplc="19E82BB4">
      <w:numFmt w:val="bullet"/>
      <w:lvlText w:val="-"/>
      <w:lvlJc w:val="left"/>
      <w:pPr>
        <w:ind w:left="1080" w:hanging="360"/>
      </w:pPr>
      <w:rPr>
        <w:rFonts w:ascii="StobiSerif" w:eastAsia="Times New Roman" w:hAnsi="StobiSerif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C059A"/>
    <w:multiLevelType w:val="hybridMultilevel"/>
    <w:tmpl w:val="20D25AF0"/>
    <w:lvl w:ilvl="0" w:tplc="042F000F">
      <w:start w:val="1"/>
      <w:numFmt w:val="decimal"/>
      <w:lvlText w:val="%1."/>
      <w:lvlJc w:val="left"/>
      <w:pPr>
        <w:ind w:left="1395" w:hanging="360"/>
      </w:pPr>
    </w:lvl>
    <w:lvl w:ilvl="1" w:tplc="042F0019" w:tentative="1">
      <w:start w:val="1"/>
      <w:numFmt w:val="lowerLetter"/>
      <w:lvlText w:val="%2."/>
      <w:lvlJc w:val="left"/>
      <w:pPr>
        <w:ind w:left="2115" w:hanging="360"/>
      </w:pPr>
    </w:lvl>
    <w:lvl w:ilvl="2" w:tplc="042F001B" w:tentative="1">
      <w:start w:val="1"/>
      <w:numFmt w:val="lowerRoman"/>
      <w:lvlText w:val="%3."/>
      <w:lvlJc w:val="right"/>
      <w:pPr>
        <w:ind w:left="2835" w:hanging="180"/>
      </w:pPr>
    </w:lvl>
    <w:lvl w:ilvl="3" w:tplc="042F000F" w:tentative="1">
      <w:start w:val="1"/>
      <w:numFmt w:val="decimal"/>
      <w:lvlText w:val="%4."/>
      <w:lvlJc w:val="left"/>
      <w:pPr>
        <w:ind w:left="3555" w:hanging="360"/>
      </w:pPr>
    </w:lvl>
    <w:lvl w:ilvl="4" w:tplc="042F0019" w:tentative="1">
      <w:start w:val="1"/>
      <w:numFmt w:val="lowerLetter"/>
      <w:lvlText w:val="%5."/>
      <w:lvlJc w:val="left"/>
      <w:pPr>
        <w:ind w:left="4275" w:hanging="360"/>
      </w:pPr>
    </w:lvl>
    <w:lvl w:ilvl="5" w:tplc="042F001B" w:tentative="1">
      <w:start w:val="1"/>
      <w:numFmt w:val="lowerRoman"/>
      <w:lvlText w:val="%6."/>
      <w:lvlJc w:val="right"/>
      <w:pPr>
        <w:ind w:left="4995" w:hanging="180"/>
      </w:pPr>
    </w:lvl>
    <w:lvl w:ilvl="6" w:tplc="042F000F" w:tentative="1">
      <w:start w:val="1"/>
      <w:numFmt w:val="decimal"/>
      <w:lvlText w:val="%7."/>
      <w:lvlJc w:val="left"/>
      <w:pPr>
        <w:ind w:left="5715" w:hanging="360"/>
      </w:pPr>
    </w:lvl>
    <w:lvl w:ilvl="7" w:tplc="042F0019" w:tentative="1">
      <w:start w:val="1"/>
      <w:numFmt w:val="lowerLetter"/>
      <w:lvlText w:val="%8."/>
      <w:lvlJc w:val="left"/>
      <w:pPr>
        <w:ind w:left="6435" w:hanging="360"/>
      </w:pPr>
    </w:lvl>
    <w:lvl w:ilvl="8" w:tplc="042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0" w15:restartNumberingAfterBreak="0">
    <w:nsid w:val="7BA428CA"/>
    <w:multiLevelType w:val="hybridMultilevel"/>
    <w:tmpl w:val="95C4FB5C"/>
    <w:lvl w:ilvl="0" w:tplc="A0988F8C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6"/>
    <w:rsid w:val="00015512"/>
    <w:rsid w:val="000352F4"/>
    <w:rsid w:val="00035998"/>
    <w:rsid w:val="000439E4"/>
    <w:rsid w:val="0005368C"/>
    <w:rsid w:val="00061B9B"/>
    <w:rsid w:val="000633D7"/>
    <w:rsid w:val="00067008"/>
    <w:rsid w:val="00072558"/>
    <w:rsid w:val="0007343E"/>
    <w:rsid w:val="00085B49"/>
    <w:rsid w:val="000A6B7B"/>
    <w:rsid w:val="000B198F"/>
    <w:rsid w:val="000D0C68"/>
    <w:rsid w:val="000D58B0"/>
    <w:rsid w:val="000E0336"/>
    <w:rsid w:val="000E1D2F"/>
    <w:rsid w:val="00107852"/>
    <w:rsid w:val="001218DE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87F5B"/>
    <w:rsid w:val="00192A2A"/>
    <w:rsid w:val="00192D85"/>
    <w:rsid w:val="001A2D55"/>
    <w:rsid w:val="001A4C39"/>
    <w:rsid w:val="001B0E2D"/>
    <w:rsid w:val="001B51EC"/>
    <w:rsid w:val="001D3748"/>
    <w:rsid w:val="001D3EC3"/>
    <w:rsid w:val="001E1187"/>
    <w:rsid w:val="001E7452"/>
    <w:rsid w:val="002027AA"/>
    <w:rsid w:val="00207476"/>
    <w:rsid w:val="00212EDD"/>
    <w:rsid w:val="00221332"/>
    <w:rsid w:val="00234966"/>
    <w:rsid w:val="00235145"/>
    <w:rsid w:val="00237A30"/>
    <w:rsid w:val="002419C8"/>
    <w:rsid w:val="00256462"/>
    <w:rsid w:val="00265FE8"/>
    <w:rsid w:val="002661AB"/>
    <w:rsid w:val="00280DA2"/>
    <w:rsid w:val="0028344F"/>
    <w:rsid w:val="00297CE3"/>
    <w:rsid w:val="002A7CB6"/>
    <w:rsid w:val="002A7ED0"/>
    <w:rsid w:val="002D2F0A"/>
    <w:rsid w:val="002F32BE"/>
    <w:rsid w:val="00306698"/>
    <w:rsid w:val="0032408F"/>
    <w:rsid w:val="00324FB1"/>
    <w:rsid w:val="00331E38"/>
    <w:rsid w:val="003361B3"/>
    <w:rsid w:val="00360BAA"/>
    <w:rsid w:val="003667D0"/>
    <w:rsid w:val="003702F3"/>
    <w:rsid w:val="00373E68"/>
    <w:rsid w:val="003B3CC1"/>
    <w:rsid w:val="003B53E6"/>
    <w:rsid w:val="003C0C5D"/>
    <w:rsid w:val="003D5A8E"/>
    <w:rsid w:val="003E0EF9"/>
    <w:rsid w:val="003E1B7F"/>
    <w:rsid w:val="00405B26"/>
    <w:rsid w:val="00417E88"/>
    <w:rsid w:val="0042602D"/>
    <w:rsid w:val="0042757C"/>
    <w:rsid w:val="004461D8"/>
    <w:rsid w:val="00446535"/>
    <w:rsid w:val="00451EE6"/>
    <w:rsid w:val="004550B7"/>
    <w:rsid w:val="00455DB3"/>
    <w:rsid w:val="004628D6"/>
    <w:rsid w:val="0046334E"/>
    <w:rsid w:val="00465D8D"/>
    <w:rsid w:val="00481413"/>
    <w:rsid w:val="00482CD6"/>
    <w:rsid w:val="00484181"/>
    <w:rsid w:val="0049117A"/>
    <w:rsid w:val="00494DB7"/>
    <w:rsid w:val="0049749E"/>
    <w:rsid w:val="004A4C8B"/>
    <w:rsid w:val="004B09FF"/>
    <w:rsid w:val="004B79FB"/>
    <w:rsid w:val="004D2B8B"/>
    <w:rsid w:val="004E063F"/>
    <w:rsid w:val="004E25C6"/>
    <w:rsid w:val="004F384F"/>
    <w:rsid w:val="004F71C6"/>
    <w:rsid w:val="004F7717"/>
    <w:rsid w:val="00501DD6"/>
    <w:rsid w:val="00507ADB"/>
    <w:rsid w:val="00512FB8"/>
    <w:rsid w:val="0052528D"/>
    <w:rsid w:val="00531474"/>
    <w:rsid w:val="00533977"/>
    <w:rsid w:val="005359CD"/>
    <w:rsid w:val="00546BAA"/>
    <w:rsid w:val="00553A01"/>
    <w:rsid w:val="00553DA5"/>
    <w:rsid w:val="00566B4B"/>
    <w:rsid w:val="005918AE"/>
    <w:rsid w:val="00591C8C"/>
    <w:rsid w:val="005A2F24"/>
    <w:rsid w:val="005A64EA"/>
    <w:rsid w:val="005A7F54"/>
    <w:rsid w:val="005B6306"/>
    <w:rsid w:val="005C0380"/>
    <w:rsid w:val="005D078B"/>
    <w:rsid w:val="005D0CB8"/>
    <w:rsid w:val="005D3D5B"/>
    <w:rsid w:val="005E583D"/>
    <w:rsid w:val="005F40B5"/>
    <w:rsid w:val="00602363"/>
    <w:rsid w:val="00605AC4"/>
    <w:rsid w:val="0062524F"/>
    <w:rsid w:val="00631C96"/>
    <w:rsid w:val="0063477A"/>
    <w:rsid w:val="0064373B"/>
    <w:rsid w:val="00645F3E"/>
    <w:rsid w:val="006528BA"/>
    <w:rsid w:val="0066032B"/>
    <w:rsid w:val="00670EE1"/>
    <w:rsid w:val="006734FF"/>
    <w:rsid w:val="0067554A"/>
    <w:rsid w:val="00692E09"/>
    <w:rsid w:val="006A1297"/>
    <w:rsid w:val="006A2250"/>
    <w:rsid w:val="006A5FBC"/>
    <w:rsid w:val="006B1CE1"/>
    <w:rsid w:val="006C3F95"/>
    <w:rsid w:val="006E5E8A"/>
    <w:rsid w:val="006E7399"/>
    <w:rsid w:val="006F1327"/>
    <w:rsid w:val="006F3A1E"/>
    <w:rsid w:val="006F3F28"/>
    <w:rsid w:val="006F6A5D"/>
    <w:rsid w:val="00702BFC"/>
    <w:rsid w:val="00753914"/>
    <w:rsid w:val="00767BDE"/>
    <w:rsid w:val="00781C95"/>
    <w:rsid w:val="00785144"/>
    <w:rsid w:val="007B47AF"/>
    <w:rsid w:val="007D072F"/>
    <w:rsid w:val="007E1A92"/>
    <w:rsid w:val="007E6A7A"/>
    <w:rsid w:val="007F0ED5"/>
    <w:rsid w:val="007F181B"/>
    <w:rsid w:val="007F6CEE"/>
    <w:rsid w:val="008063DE"/>
    <w:rsid w:val="0081643D"/>
    <w:rsid w:val="00830821"/>
    <w:rsid w:val="00836C90"/>
    <w:rsid w:val="0084277C"/>
    <w:rsid w:val="00855CE5"/>
    <w:rsid w:val="0087764B"/>
    <w:rsid w:val="008808D7"/>
    <w:rsid w:val="00881204"/>
    <w:rsid w:val="00886797"/>
    <w:rsid w:val="00893725"/>
    <w:rsid w:val="00895372"/>
    <w:rsid w:val="00897CA7"/>
    <w:rsid w:val="008B0EC9"/>
    <w:rsid w:val="008C3EB0"/>
    <w:rsid w:val="008D4415"/>
    <w:rsid w:val="008E0654"/>
    <w:rsid w:val="008E1840"/>
    <w:rsid w:val="00902B99"/>
    <w:rsid w:val="00921EBD"/>
    <w:rsid w:val="009234AE"/>
    <w:rsid w:val="009318F9"/>
    <w:rsid w:val="009340C9"/>
    <w:rsid w:val="009368BE"/>
    <w:rsid w:val="009369BE"/>
    <w:rsid w:val="00946798"/>
    <w:rsid w:val="0097159F"/>
    <w:rsid w:val="00973CBD"/>
    <w:rsid w:val="009828BF"/>
    <w:rsid w:val="00983FD7"/>
    <w:rsid w:val="0099035A"/>
    <w:rsid w:val="00991E21"/>
    <w:rsid w:val="009C2EE5"/>
    <w:rsid w:val="009C3116"/>
    <w:rsid w:val="009C5DF0"/>
    <w:rsid w:val="009D48EE"/>
    <w:rsid w:val="009E0C3F"/>
    <w:rsid w:val="009E6967"/>
    <w:rsid w:val="009F4C08"/>
    <w:rsid w:val="009F562C"/>
    <w:rsid w:val="009F5772"/>
    <w:rsid w:val="00A05A47"/>
    <w:rsid w:val="00A07197"/>
    <w:rsid w:val="00A106B3"/>
    <w:rsid w:val="00A2132D"/>
    <w:rsid w:val="00A22142"/>
    <w:rsid w:val="00A42206"/>
    <w:rsid w:val="00A4639C"/>
    <w:rsid w:val="00A5132C"/>
    <w:rsid w:val="00A521E1"/>
    <w:rsid w:val="00A65848"/>
    <w:rsid w:val="00A94176"/>
    <w:rsid w:val="00A94E8B"/>
    <w:rsid w:val="00AA3284"/>
    <w:rsid w:val="00AD3D6A"/>
    <w:rsid w:val="00AF02DD"/>
    <w:rsid w:val="00AF5F68"/>
    <w:rsid w:val="00AF6305"/>
    <w:rsid w:val="00B020B6"/>
    <w:rsid w:val="00B03D61"/>
    <w:rsid w:val="00B07120"/>
    <w:rsid w:val="00B22971"/>
    <w:rsid w:val="00B25FB1"/>
    <w:rsid w:val="00B262AC"/>
    <w:rsid w:val="00B413F0"/>
    <w:rsid w:val="00B53720"/>
    <w:rsid w:val="00B62F42"/>
    <w:rsid w:val="00B73551"/>
    <w:rsid w:val="00B763E7"/>
    <w:rsid w:val="00B86F35"/>
    <w:rsid w:val="00B95D30"/>
    <w:rsid w:val="00BA0DB9"/>
    <w:rsid w:val="00BA4EA4"/>
    <w:rsid w:val="00BB13A3"/>
    <w:rsid w:val="00BB4C59"/>
    <w:rsid w:val="00BB78A8"/>
    <w:rsid w:val="00BC2B45"/>
    <w:rsid w:val="00BD2069"/>
    <w:rsid w:val="00BE38D9"/>
    <w:rsid w:val="00BF15BB"/>
    <w:rsid w:val="00BF3641"/>
    <w:rsid w:val="00C1070B"/>
    <w:rsid w:val="00C11672"/>
    <w:rsid w:val="00C45B6F"/>
    <w:rsid w:val="00C45BB9"/>
    <w:rsid w:val="00C53BBF"/>
    <w:rsid w:val="00C53E27"/>
    <w:rsid w:val="00C54C8F"/>
    <w:rsid w:val="00C60F2E"/>
    <w:rsid w:val="00C748FF"/>
    <w:rsid w:val="00C771C6"/>
    <w:rsid w:val="00C81A9A"/>
    <w:rsid w:val="00C95479"/>
    <w:rsid w:val="00C966BD"/>
    <w:rsid w:val="00CA0DB7"/>
    <w:rsid w:val="00CB1448"/>
    <w:rsid w:val="00CB16F6"/>
    <w:rsid w:val="00CC2D48"/>
    <w:rsid w:val="00CC42E3"/>
    <w:rsid w:val="00CE2203"/>
    <w:rsid w:val="00CE72C3"/>
    <w:rsid w:val="00CE7F21"/>
    <w:rsid w:val="00CF785A"/>
    <w:rsid w:val="00D03074"/>
    <w:rsid w:val="00D100CE"/>
    <w:rsid w:val="00D22484"/>
    <w:rsid w:val="00D445B8"/>
    <w:rsid w:val="00D50A39"/>
    <w:rsid w:val="00D56D75"/>
    <w:rsid w:val="00D742F3"/>
    <w:rsid w:val="00D759C0"/>
    <w:rsid w:val="00D8668E"/>
    <w:rsid w:val="00D94BB8"/>
    <w:rsid w:val="00D95BDA"/>
    <w:rsid w:val="00D960D8"/>
    <w:rsid w:val="00DA6A84"/>
    <w:rsid w:val="00DB50A6"/>
    <w:rsid w:val="00DC1A79"/>
    <w:rsid w:val="00DC2CEF"/>
    <w:rsid w:val="00DC4158"/>
    <w:rsid w:val="00DE49F3"/>
    <w:rsid w:val="00DF0B26"/>
    <w:rsid w:val="00DF57FE"/>
    <w:rsid w:val="00E04154"/>
    <w:rsid w:val="00E057E1"/>
    <w:rsid w:val="00E15938"/>
    <w:rsid w:val="00E17C31"/>
    <w:rsid w:val="00E45EAB"/>
    <w:rsid w:val="00E515F2"/>
    <w:rsid w:val="00E57F21"/>
    <w:rsid w:val="00E62DC4"/>
    <w:rsid w:val="00E75594"/>
    <w:rsid w:val="00E82D9E"/>
    <w:rsid w:val="00E85749"/>
    <w:rsid w:val="00EA347C"/>
    <w:rsid w:val="00EB04E8"/>
    <w:rsid w:val="00EB2768"/>
    <w:rsid w:val="00EB7E86"/>
    <w:rsid w:val="00ED2453"/>
    <w:rsid w:val="00EE12C3"/>
    <w:rsid w:val="00EF0488"/>
    <w:rsid w:val="00EF0734"/>
    <w:rsid w:val="00EF236E"/>
    <w:rsid w:val="00EF65EE"/>
    <w:rsid w:val="00F008E3"/>
    <w:rsid w:val="00F06AA8"/>
    <w:rsid w:val="00F17080"/>
    <w:rsid w:val="00F17A07"/>
    <w:rsid w:val="00F26D0B"/>
    <w:rsid w:val="00F36119"/>
    <w:rsid w:val="00F57166"/>
    <w:rsid w:val="00F66307"/>
    <w:rsid w:val="00F71094"/>
    <w:rsid w:val="00F72070"/>
    <w:rsid w:val="00FB156D"/>
    <w:rsid w:val="00FC1B7E"/>
    <w:rsid w:val="00FC22C5"/>
    <w:rsid w:val="00FD0A37"/>
    <w:rsid w:val="00FE6594"/>
    <w:rsid w:val="00FF030B"/>
    <w:rsid w:val="00FF5E9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C5714B"/>
  <w15:chartTrackingRefBased/>
  <w15:docId w15:val="{71198595-DFEC-4749-A324-BF143B74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/>
      <w:lang w:val="x-none" w:eastAsia="x-none"/>
    </w:rPr>
  </w:style>
  <w:style w:type="character" w:customStyle="1" w:styleId="BodyText3Char">
    <w:name w:val="Body Text 3 Char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78B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8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semiHidden/>
    <w:rsid w:val="0049749E"/>
    <w:pPr>
      <w:spacing w:before="100" w:beforeAutospacing="1" w:after="100" w:afterAutospacing="1"/>
    </w:pPr>
    <w:rPr>
      <w:lang w:val="mk-MK" w:eastAsia="mk-MK"/>
    </w:rPr>
  </w:style>
  <w:style w:type="character" w:styleId="Hyperlink">
    <w:name w:val="Hyperlink"/>
    <w:uiPriority w:val="99"/>
    <w:unhideWhenUsed/>
    <w:rsid w:val="009368B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B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musalevski@mzsv.gov.m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ar.dilje@mzsv.gov.m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27</DocumentTypeId>
    <ProtocolNumberOut xmlns="http://schemas.microsoft.com/sharepoint/v3">02-7320/1</ProtocolNumberOut>
    <ProtocolNumberInArchiveDate xmlns="http://schemas.microsoft.com/sharepoint/v3" xsi:nil="true"/>
    <ProtocolNumberOutArchiveDate xmlns="http://schemas.microsoft.com/sharepoint/v3">2019-07-12T00:00:00+00:00</ProtocolNumberOutArchiveDate>
    <xd_Prog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7192DD653E5049449DF3992D2FCDD2E4" ma:contentTypeVersion="" ma:contentTypeDescription="" ma:contentTypeScope="" ma:versionID="cca915c92fe9e764e42376b175dbc6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58592-8865-4DDA-9460-BA5AC6A1AB7A}"/>
</file>

<file path=customXml/itemProps2.xml><?xml version="1.0" encoding="utf-8"?>
<ds:datastoreItem xmlns:ds="http://schemas.openxmlformats.org/officeDocument/2006/customXml" ds:itemID="{6C175450-F146-4D44-8FD6-78DCFC0F0131}"/>
</file>

<file path=customXml/itemProps3.xml><?xml version="1.0" encoding="utf-8"?>
<ds:datastoreItem xmlns:ds="http://schemas.openxmlformats.org/officeDocument/2006/customXml" ds:itemID="{0452A16D-0916-4063-9300-D640E66D4C84}"/>
</file>

<file path=customXml/itemProps4.xml><?xml version="1.0" encoding="utf-8"?>
<ds:datastoreItem xmlns:ds="http://schemas.openxmlformats.org/officeDocument/2006/customXml" ds:itemID="{DDC2ACAC-5B29-4493-8799-32FD4B614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ПВР Извештај</vt:lpstr>
    </vt:vector>
  </TitlesOfParts>
  <Company>Microsoft</Company>
  <LinksUpToDate>false</LinksUpToDate>
  <CharactersWithSpaces>12638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mailto:gjorgjievska@mzsv.gov.mk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извештај за ПВР</dc:title>
  <dc:subject/>
  <dc:creator>Александар Диље</dc:creator>
  <cp:keywords/>
  <cp:lastModifiedBy>Александар Мусалевски</cp:lastModifiedBy>
  <cp:revision>2</cp:revision>
  <cp:lastPrinted>2019-05-15T07:16:00Z</cp:lastPrinted>
  <dcterms:created xsi:type="dcterms:W3CDTF">2020-12-21T18:03:00Z</dcterms:created>
  <dcterms:modified xsi:type="dcterms:W3CDTF">2020-12-21T18:03:00Z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i:0e.t|e-vlada.mk sts|aleksandar.dilje</vt:lpwstr>
  </property>
  <property fmtid="{D5CDD505-2E9C-101B-9397-08002B2CF9AE}" pid="3" name="Title">
    <vt:lpwstr>ПВР Извештај</vt:lpwstr>
  </property>
  <property fmtid="{D5CDD505-2E9C-101B-9397-08002B2CF9AE}" pid="4" name="ModifiedBy">
    <vt:lpwstr>i:0e.t|e-vlada.mk sts|aleksandar.dilje</vt:lpwstr>
  </property>
  <property fmtid="{D5CDD505-2E9C-101B-9397-08002B2CF9AE}" pid="5" name="ContentTypeId">
    <vt:lpwstr>0x01010086FCDBBC86574C7ABFC9FD714B80DE6C007192DD653E5049449DF3992D2FCDD2E4</vt:lpwstr>
  </property>
</Properties>
</file>