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C" w:rsidRDefault="0061526C" w:rsidP="0061526C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61526C" w:rsidRDefault="0061526C" w:rsidP="0061526C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61526C" w:rsidRDefault="0061526C" w:rsidP="0061526C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61526C" w:rsidRDefault="0061526C" w:rsidP="0061526C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61526C" w:rsidRDefault="0061526C" w:rsidP="0061526C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61526C" w:rsidTr="0061526C">
        <w:trPr>
          <w:trHeight w:val="62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министерство: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одбрана</w:t>
            </w:r>
          </w:p>
        </w:tc>
      </w:tr>
      <w:tr w:rsidR="0061526C" w:rsidTr="0061526C">
        <w:trPr>
          <w:trHeight w:val="62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предлогот на закон: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:rsidR="0061526C" w:rsidRPr="0061526C" w:rsidRDefault="0061526C" w:rsidP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Нацрт на закон за дополнување на Законот за заштита и спасување</w:t>
            </w:r>
          </w:p>
        </w:tc>
      </w:tr>
      <w:tr w:rsidR="0061526C" w:rsidTr="0061526C">
        <w:trPr>
          <w:trHeight w:val="62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61526C" w:rsidTr="0061526C">
        <w:trPr>
          <w:trHeight w:val="93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2B7FAF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2B7FAF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="0061526C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0"/>
            <w:r w:rsidR="0061526C">
              <w:rPr>
                <w:rFonts w:ascii="StobiSerifPro" w:hAnsi="StobiSerifPro"/>
                <w:sz w:val="20"/>
                <w:szCs w:val="20"/>
                <w:u w:val="single"/>
              </w:rPr>
              <w:t>Нацрт</w:t>
            </w:r>
          </w:p>
          <w:p w:rsidR="0061526C" w:rsidRDefault="0061526C" w:rsidP="0061526C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61526C" w:rsidTr="0061526C">
        <w:trPr>
          <w:trHeight w:val="124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предлогот на закон произлегува од: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2B7FAF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2B7FAF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61526C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r w:rsidR="0061526C">
              <w:rPr>
                <w:rFonts w:ascii="StobiSerifPro" w:hAnsi="StobiSerifPro"/>
                <w:sz w:val="20"/>
                <w:szCs w:val="20"/>
              </w:rPr>
              <w:t>Заклучок на Владата на Република Македонија</w:t>
            </w:r>
          </w:p>
          <w:p w:rsidR="0061526C" w:rsidRDefault="0061526C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61526C" w:rsidTr="0061526C">
        <w:trPr>
          <w:trHeight w:val="63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pStyle w:val="ListParagraph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61526C" w:rsidTr="0061526C">
        <w:trPr>
          <w:trHeight w:val="186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прописите кои се однесуваат на класифицираните информации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923FB3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 xml:space="preserve">      </w:t>
            </w:r>
            <w:r w:rsidR="002B7FAF" w:rsidRPr="002B7FAF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="0061526C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2B7FAF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2B7FAF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 w:rsidR="002B7FAF">
              <w:fldChar w:fldCharType="end"/>
            </w:r>
            <w:bookmarkEnd w:id="2"/>
            <w:r w:rsidR="0061526C">
              <w:rPr>
                <w:rFonts w:ascii="StobiSerifPro" w:hAnsi="StobiSerifPro"/>
                <w:sz w:val="20"/>
                <w:szCs w:val="20"/>
                <w:u w:val="single"/>
              </w:rPr>
              <w:t>Не</w:t>
            </w:r>
          </w:p>
        </w:tc>
      </w:tr>
      <w:tr w:rsidR="0061526C" w:rsidTr="0061526C">
        <w:trPr>
          <w:trHeight w:val="93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19.02.2015 година</w:t>
            </w:r>
          </w:p>
        </w:tc>
      </w:tr>
      <w:tr w:rsidR="0061526C" w:rsidTr="0061526C">
        <w:trPr>
          <w:trHeight w:val="69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доставување на нацрт Извештајот до 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61526C" w:rsidTr="0061526C">
        <w:trPr>
          <w:trHeight w:val="62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добивање на мислењето од </w:t>
            </w:r>
            <w:r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61526C" w:rsidTr="0061526C">
        <w:trPr>
          <w:trHeight w:val="95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Рок за доставување на предлогот на закон до Генералниот секретаријат 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6C" w:rsidRDefault="0061526C">
            <w:pPr>
              <w:spacing w:line="276" w:lineRule="auto"/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</w:tbl>
    <w:p w:rsidR="0061526C" w:rsidRDefault="0061526C" w:rsidP="0061526C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>1.</w:t>
      </w:r>
      <w:r>
        <w:rPr>
          <w:rFonts w:ascii="StobiSerifPro" w:hAnsi="StobiSerifPro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61526C" w:rsidRDefault="0061526C" w:rsidP="0061526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1.1</w:t>
      </w:r>
      <w:r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состојбите </w:t>
      </w:r>
    </w:p>
    <w:p w:rsidR="0061526C" w:rsidRDefault="0061526C" w:rsidP="0061526C">
      <w:pPr>
        <w:rPr>
          <w:rFonts w:ascii="StobiSerifPro" w:hAnsi="StobiSerifPro"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90CEF">
        <w:rPr>
          <w:rFonts w:ascii="StobiSerif Regular" w:hAnsi="StobiSerif Regular"/>
          <w:sz w:val="22"/>
          <w:szCs w:val="22"/>
          <w:lang w:val="mk-MK"/>
        </w:rPr>
        <w:lastRenderedPageBreak/>
        <w:t xml:space="preserve">Со Законот за </w:t>
      </w:r>
      <w:r>
        <w:rPr>
          <w:rFonts w:ascii="StobiSerif Regular" w:hAnsi="StobiSerif Regular"/>
          <w:sz w:val="22"/>
          <w:szCs w:val="22"/>
          <w:lang w:val="mk-MK"/>
        </w:rPr>
        <w:t xml:space="preserve">Заштита и спасување </w:t>
      </w:r>
      <w:r w:rsidRPr="00F90CEF">
        <w:rPr>
          <w:rStyle w:val="footnote"/>
          <w:rFonts w:ascii="StobiSerif Regular" w:hAnsi="StobiSerif Regular"/>
          <w:sz w:val="22"/>
          <w:szCs w:val="22"/>
        </w:rPr>
        <w:t>(„</w:t>
      </w:r>
      <w:proofErr w:type="spellStart"/>
      <w:r w:rsidRPr="00F90CEF">
        <w:rPr>
          <w:rStyle w:val="footnote"/>
          <w:rFonts w:ascii="StobiSerif Regular" w:hAnsi="StobiSerif Regular"/>
          <w:sz w:val="22"/>
          <w:szCs w:val="22"/>
        </w:rPr>
        <w:t>Службен</w:t>
      </w:r>
      <w:proofErr w:type="spellEnd"/>
      <w:r w:rsidRPr="00F90CEF">
        <w:rPr>
          <w:rStyle w:val="footnote"/>
          <w:rFonts w:ascii="StobiSerif Regular" w:hAnsi="StobiSerif Regular"/>
          <w:sz w:val="22"/>
          <w:szCs w:val="22"/>
        </w:rPr>
        <w:t xml:space="preserve"> </w:t>
      </w:r>
      <w:proofErr w:type="spellStart"/>
      <w:r w:rsidRPr="00F90CEF">
        <w:rPr>
          <w:rStyle w:val="footnote"/>
          <w:rFonts w:ascii="StobiSerif Regular" w:hAnsi="StobiSerif Regular"/>
          <w:sz w:val="22"/>
          <w:szCs w:val="22"/>
        </w:rPr>
        <w:t>весник</w:t>
      </w:r>
      <w:proofErr w:type="spellEnd"/>
      <w:r w:rsidRPr="00F90CEF">
        <w:rPr>
          <w:rStyle w:val="footnote"/>
          <w:rFonts w:ascii="StobiSerif Regular" w:hAnsi="StobiSerif Regular"/>
          <w:sz w:val="22"/>
          <w:szCs w:val="22"/>
        </w:rPr>
        <w:t xml:space="preserve"> </w:t>
      </w:r>
      <w:proofErr w:type="spellStart"/>
      <w:r w:rsidRPr="00F90CEF">
        <w:rPr>
          <w:rStyle w:val="footnote"/>
          <w:rFonts w:ascii="StobiSerif Regular" w:hAnsi="StobiSerif Regular"/>
          <w:sz w:val="22"/>
          <w:szCs w:val="22"/>
        </w:rPr>
        <w:t>н</w:t>
      </w:r>
      <w:r>
        <w:rPr>
          <w:rStyle w:val="footnote"/>
          <w:rFonts w:ascii="StobiSerif Regular" w:hAnsi="StobiSerif Regular"/>
          <w:sz w:val="22"/>
          <w:szCs w:val="22"/>
        </w:rPr>
        <w:t>а</w:t>
      </w:r>
      <w:proofErr w:type="spellEnd"/>
      <w:r>
        <w:rPr>
          <w:rStyle w:val="footnote"/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Style w:val="footnote"/>
          <w:rFonts w:ascii="StobiSerif Regular" w:hAnsi="StobiSerif Regular"/>
          <w:sz w:val="22"/>
          <w:szCs w:val="22"/>
        </w:rPr>
        <w:t>Република</w:t>
      </w:r>
      <w:proofErr w:type="spellEnd"/>
      <w:r>
        <w:rPr>
          <w:rStyle w:val="footnote"/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Style w:val="footnote"/>
          <w:rFonts w:ascii="StobiSerif Regular" w:hAnsi="StobiSerif Regular"/>
          <w:sz w:val="22"/>
          <w:szCs w:val="22"/>
        </w:rPr>
        <w:t>Македонија</w:t>
      </w:r>
      <w:proofErr w:type="spellEnd"/>
      <w:r>
        <w:rPr>
          <w:rStyle w:val="footnote"/>
          <w:rFonts w:ascii="StobiSerif Regular" w:hAnsi="StobiSerif Regular"/>
          <w:sz w:val="22"/>
          <w:szCs w:val="22"/>
        </w:rPr>
        <w:t xml:space="preserve">“ </w:t>
      </w:r>
      <w:proofErr w:type="spellStart"/>
      <w:r>
        <w:rPr>
          <w:rStyle w:val="footnote"/>
          <w:rFonts w:ascii="StobiSerif Regular" w:hAnsi="StobiSerif Regular"/>
          <w:sz w:val="22"/>
          <w:szCs w:val="22"/>
        </w:rPr>
        <w:t>бр</w:t>
      </w:r>
      <w:proofErr w:type="spellEnd"/>
      <w:r>
        <w:rPr>
          <w:rStyle w:val="footnote"/>
          <w:rFonts w:ascii="StobiSerif Regular" w:hAnsi="StobiSerif Regular"/>
          <w:sz w:val="22"/>
          <w:szCs w:val="22"/>
          <w:lang w:val="mk-MK"/>
        </w:rPr>
        <w:t>. 36/04, 49/04, 86/08, 124/10, 18/11</w:t>
      </w:r>
      <w:r>
        <w:rPr>
          <w:rStyle w:val="footnote"/>
          <w:rFonts w:ascii="StobiSerif Regular" w:hAnsi="StobiSerif Regular"/>
          <w:sz w:val="22"/>
          <w:szCs w:val="22"/>
        </w:rPr>
        <w:t xml:space="preserve"> и </w:t>
      </w:r>
      <w:r>
        <w:rPr>
          <w:rStyle w:val="footnote"/>
          <w:rFonts w:ascii="StobiSerif Regular" w:hAnsi="StobiSerif Regular"/>
          <w:sz w:val="22"/>
          <w:szCs w:val="22"/>
          <w:lang w:val="mk-MK"/>
        </w:rPr>
        <w:t>41/14</w:t>
      </w:r>
      <w:r w:rsidRPr="00F90CEF">
        <w:rPr>
          <w:rStyle w:val="footnote"/>
          <w:rFonts w:ascii="StobiSerif Regular" w:hAnsi="StobiSerif Regular"/>
          <w:sz w:val="22"/>
          <w:szCs w:val="22"/>
        </w:rPr>
        <w:t>)</w:t>
      </w:r>
      <w:r w:rsidRPr="00F90CEF">
        <w:rPr>
          <w:rStyle w:val="footnote"/>
          <w:rFonts w:ascii="StobiSerif Regular" w:hAnsi="StobiSerif Regular"/>
          <w:sz w:val="22"/>
          <w:szCs w:val="22"/>
          <w:lang w:val="mk-MK"/>
        </w:rPr>
        <w:t xml:space="preserve"> </w:t>
      </w:r>
      <w:r w:rsidRPr="00F90CEF">
        <w:rPr>
          <w:rFonts w:ascii="StobiSerif Regular" w:hAnsi="StobiSerif Regular"/>
          <w:sz w:val="22"/>
          <w:szCs w:val="22"/>
        </w:rPr>
        <w:t xml:space="preserve">е </w:t>
      </w:r>
      <w:proofErr w:type="spellStart"/>
      <w:r w:rsidRPr="00F90CEF">
        <w:rPr>
          <w:rFonts w:ascii="StobiSerif Regular" w:hAnsi="StobiSerif Regular"/>
          <w:sz w:val="22"/>
          <w:szCs w:val="22"/>
        </w:rPr>
        <w:t>уред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ен </w:t>
      </w:r>
      <w:r w:rsidRPr="00F90CEF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системот за заштита и спасување на луѓето, животната средина, материјалните добра, природните богатства, животинскиот и растителен свет и културното наследство од природни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непогоди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и други несреќи во мир, вонредна состојба и воена состојба во Република Македонија. </w:t>
      </w:r>
    </w:p>
    <w:p w:rsidR="0061526C" w:rsidRDefault="0061526C" w:rsidP="0061526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рамките на спроведување на Заклучокот од Нацрт – Записникот од Дванаесеттата седница на</w:t>
      </w:r>
      <w:r w:rsidRPr="001250A8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Владата на Република Македонија одржана на 29.07.2014 година, </w:t>
      </w:r>
      <w:r>
        <w:rPr>
          <w:rFonts w:ascii="StobiSerif Regular" w:hAnsi="StobiSerif Regular"/>
          <w:sz w:val="22"/>
          <w:szCs w:val="22"/>
          <w:lang w:val="ru-RU"/>
        </w:rPr>
        <w:t>согледана е потребата</w:t>
      </w:r>
      <w:r w:rsidRPr="003453B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за изнаоѓање на контролни механизми и решенија за постепено намалување на износот од проценетата штета по која се дава помош од државниот буџет, преку компаративни анализи со други европски земји</w:t>
      </w:r>
      <w:r>
        <w:rPr>
          <w:rFonts w:ascii="StobiSerif Regular" w:hAnsi="StobiSerif Regular"/>
          <w:sz w:val="22"/>
          <w:szCs w:val="22"/>
          <w:lang w:val="mk-MK"/>
        </w:rPr>
        <w:t>, при што се предлага соодветно дополнување на Законот за заштита и спасување.</w:t>
      </w:r>
    </w:p>
    <w:p w:rsidR="0061526C" w:rsidRPr="008454C6" w:rsidRDefault="0061526C" w:rsidP="0061526C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Воедно согласно задолжението произлезено од Извадокот на Нацрт – записникот од педесет и втората седница на Владата на Република Македонија</w:t>
      </w:r>
      <w:r w:rsidRPr="000578A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при разгледување на точка 78 „Информација од работната средба на Ад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хок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работната група со цел да се изнајдат контролни механизми и решенија за постепено намалување на износот од проценетите штети“, Министерството за одбрана изработи предлог – закон за дополнување на Законот за заштита и спасување согласно предлозите произлезени од работната средба на Ад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хок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работната група во насока на изнаоѓање на  контролни механизми и решенија за постепено намалување на износот од проценетите штети.</w:t>
      </w:r>
    </w:p>
    <w:p w:rsidR="0061526C" w:rsidRPr="008454C6" w:rsidRDefault="0061526C" w:rsidP="0061526C">
      <w:pPr>
        <w:pStyle w:val="Normalvovlecen"/>
        <w:spacing w:line="240" w:lineRule="auto"/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Дополнувањето </w:t>
      </w:r>
      <w:r w:rsidRPr="008454C6">
        <w:rPr>
          <w:rFonts w:ascii="StobiSerif Regular" w:hAnsi="StobiSerif Regular"/>
          <w:sz w:val="22"/>
          <w:szCs w:val="22"/>
          <w:lang w:val="mk-MK"/>
        </w:rPr>
        <w:t xml:space="preserve">на законот се однесува 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дефинирање на контролниот механизам за постепено намалување на износот на проценетата штета од државниот буџет, кога предмет на процена се директните односно непосредните штети на оштетените средства, на материјалните и културните блага, трошоци предизвикани со директни штети и индиректни штети. </w:t>
      </w:r>
    </w:p>
    <w:p w:rsidR="0061526C" w:rsidRDefault="0061526C" w:rsidP="0061526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Pr="008454C6">
        <w:rPr>
          <w:rFonts w:ascii="StobiSerif Regular" w:hAnsi="StobiSerif Regular" w:cs="Arial"/>
          <w:sz w:val="22"/>
          <w:szCs w:val="22"/>
          <w:lang w:val="mk-MK"/>
        </w:rPr>
        <w:t xml:space="preserve">Од овие причини, </w:t>
      </w:r>
      <w:r>
        <w:rPr>
          <w:rFonts w:ascii="StobiSerif Regular" w:hAnsi="StobiSerif Regular" w:cs="Arial"/>
          <w:sz w:val="22"/>
          <w:szCs w:val="22"/>
          <w:lang w:val="mk-MK"/>
        </w:rPr>
        <w:t>се</w:t>
      </w:r>
      <w:r w:rsidRPr="008454C6">
        <w:rPr>
          <w:rFonts w:ascii="StobiSerif Regular" w:hAnsi="StobiSerif Regular" w:cs="Arial"/>
          <w:sz w:val="22"/>
          <w:szCs w:val="22"/>
          <w:lang w:val="mk-MK"/>
        </w:rPr>
        <w:t xml:space="preserve"> предлага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дополнување </w:t>
      </w:r>
      <w:r w:rsidRPr="008454C6">
        <w:rPr>
          <w:rFonts w:ascii="StobiSerif Regular" w:hAnsi="StobiSerif Regular" w:cs="Arial"/>
          <w:sz w:val="22"/>
          <w:szCs w:val="22"/>
          <w:lang w:val="mk-MK"/>
        </w:rPr>
        <w:t xml:space="preserve">на Законот за </w:t>
      </w:r>
      <w:r>
        <w:rPr>
          <w:rFonts w:ascii="StobiSerif Regular" w:hAnsi="StobiSerif Regular" w:cs="Arial"/>
          <w:sz w:val="22"/>
          <w:szCs w:val="22"/>
          <w:lang w:val="mk-MK"/>
        </w:rPr>
        <w:t>заштита и спасување.</w:t>
      </w:r>
    </w:p>
    <w:p w:rsidR="0061526C" w:rsidRPr="008454C6" w:rsidRDefault="0061526C" w:rsidP="0061526C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61526C" w:rsidRDefault="0061526C" w:rsidP="0061526C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1.2</w:t>
      </w:r>
      <w:r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Причини за проблемите кои се предмет на разгледување </w:t>
      </w:r>
    </w:p>
    <w:p w:rsidR="0061526C" w:rsidRDefault="0061526C" w:rsidP="0061526C">
      <w:pPr>
        <w:jc w:val="both"/>
        <w:rPr>
          <w:rFonts w:ascii="StobiSerifPro" w:hAnsi="StobiSerifPro" w:cs="Calibri"/>
          <w:sz w:val="20"/>
          <w:szCs w:val="20"/>
          <w:lang w:val="mk-MK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 w:cs="Calibri"/>
          <w:sz w:val="20"/>
          <w:szCs w:val="20"/>
          <w:lang w:val="mk-MK"/>
        </w:rPr>
      </w:pPr>
    </w:p>
    <w:p w:rsidR="0061526C" w:rsidRDefault="0061526C" w:rsidP="0061526C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0D2ABA" w:rsidRPr="008454C6" w:rsidRDefault="0061526C" w:rsidP="000D2ABA">
      <w:pPr>
        <w:pStyle w:val="Normalvovlecen"/>
        <w:spacing w:line="240" w:lineRule="auto"/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="000D2ABA">
        <w:rPr>
          <w:rFonts w:ascii="StobiSerif Regular" w:hAnsi="StobiSerif Regular"/>
          <w:sz w:val="22"/>
          <w:szCs w:val="22"/>
          <w:lang w:val="mk-MK"/>
        </w:rPr>
        <w:t xml:space="preserve">Дополнувањето </w:t>
      </w:r>
      <w:r w:rsidR="000D2ABA" w:rsidRPr="008454C6">
        <w:rPr>
          <w:rFonts w:ascii="StobiSerif Regular" w:hAnsi="StobiSerif Regular"/>
          <w:sz w:val="22"/>
          <w:szCs w:val="22"/>
          <w:lang w:val="mk-MK"/>
        </w:rPr>
        <w:t xml:space="preserve">на законот се однесува на </w:t>
      </w:r>
      <w:r w:rsidR="000D2ABA">
        <w:rPr>
          <w:rFonts w:ascii="StobiSerif Regular" w:hAnsi="StobiSerif Regular"/>
          <w:sz w:val="22"/>
          <w:szCs w:val="22"/>
          <w:lang w:val="mk-MK"/>
        </w:rPr>
        <w:t xml:space="preserve">дефинирање на контролниот механизам за постепено намалување на износот на проценетата штета од државниот буџет, кога предмет на процена се директните односно непосредните штети на оштетените средства, на материјалните и културните блага, трошоци предизвикани со директни штети и индиректни штети.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>3.</w:t>
      </w:r>
      <w:r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61526C" w:rsidRDefault="0061526C" w:rsidP="0061526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3.1</w:t>
      </w:r>
      <w:r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61526C" w:rsidRDefault="000D2ABA" w:rsidP="0061526C">
      <w:pPr>
        <w:tabs>
          <w:tab w:val="left" w:pos="675"/>
        </w:tabs>
        <w:spacing w:line="276" w:lineRule="auto"/>
        <w:rPr>
          <w:rFonts w:ascii="StobiSerifPro" w:hAnsi="StobiSerifPro" w:cs="Calibri"/>
          <w:i/>
          <w:sz w:val="20"/>
          <w:szCs w:val="20"/>
          <w:lang w:val="mk-MK"/>
        </w:rPr>
      </w:pPr>
      <w:r>
        <w:rPr>
          <w:rFonts w:ascii="StobiSerifPro" w:hAnsi="StobiSerifPro" w:cs="Calibri"/>
          <w:i/>
          <w:sz w:val="20"/>
          <w:szCs w:val="20"/>
          <w:lang w:val="mk-MK"/>
        </w:rPr>
        <w:t>Ќе се задржи старата состојба за надомест на штетите.</w:t>
      </w: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3.2</w:t>
      </w:r>
      <w:r>
        <w:rPr>
          <w:rFonts w:ascii="StobiSerifPro" w:hAnsi="StobiSerifPro"/>
          <w:i/>
          <w:sz w:val="20"/>
          <w:szCs w:val="20"/>
          <w:lang w:val="mk-MK"/>
        </w:rPr>
        <w:tab/>
        <w:t>Опис на можните решенија (опции) за решавање на проблемот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numPr>
          <w:ilvl w:val="0"/>
          <w:numId w:val="1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1526C" w:rsidRDefault="0061526C" w:rsidP="0061526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 позитивни и негативни влијанија од секоја од опциите: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4.1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Економски влијанија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4.2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4.3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Социјални влијанија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4.4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4.5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 xml:space="preserve">а) трошоци за спроведување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61526C" w:rsidRDefault="0061526C" w:rsidP="0061526C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 w:cs="Calibri"/>
          <w:i/>
          <w:iCs/>
          <w:sz w:val="20"/>
          <w:szCs w:val="20"/>
          <w:lang w:val="mk-MK"/>
        </w:rPr>
      </w:pPr>
    </w:p>
    <w:p w:rsidR="0061526C" w:rsidRDefault="0061526C" w:rsidP="0061526C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>5.</w:t>
      </w:r>
      <w:r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5.1</w:t>
      </w:r>
      <w:r>
        <w:rPr>
          <w:rFonts w:ascii="StobiSerifPro" w:hAnsi="StobiSerifPro"/>
          <w:i/>
          <w:sz w:val="20"/>
          <w:szCs w:val="20"/>
          <w:lang w:val="mk-MK"/>
        </w:rPr>
        <w:tab/>
        <w:t>Засегнати страни и начин на вклучување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5.2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Преглед на добиените и вградените мислења 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5.3</w:t>
      </w:r>
      <w:r>
        <w:rPr>
          <w:rFonts w:ascii="StobiSerifPro" w:hAnsi="StobiSerifPro"/>
          <w:i/>
          <w:sz w:val="20"/>
          <w:szCs w:val="20"/>
          <w:lang w:val="mk-MK"/>
        </w:rPr>
        <w:tab/>
        <w:t>Мислењата кои не биле земени предвид и зошто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6.1</w:t>
      </w:r>
      <w:r>
        <w:rPr>
          <w:rFonts w:ascii="StobiSerifPro" w:hAnsi="StobiSerifPro"/>
          <w:i/>
          <w:sz w:val="20"/>
          <w:szCs w:val="20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:rsidR="0061526C" w:rsidRDefault="0061526C" w:rsidP="0061526C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6.2</w:t>
      </w:r>
      <w:r>
        <w:rPr>
          <w:rFonts w:ascii="StobiSerifPro" w:hAnsi="StobiSerifPro"/>
          <w:i/>
          <w:sz w:val="20"/>
          <w:szCs w:val="20"/>
          <w:lang w:val="mk-MK"/>
        </w:rPr>
        <w:tab/>
        <w:t>Ризици во спроведувањето и примената на секое од можните решенија (опции)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6.3</w:t>
      </w:r>
      <w:r>
        <w:rPr>
          <w:rFonts w:ascii="StobiSerifPro" w:hAnsi="StobiSerifPro"/>
          <w:i/>
          <w:sz w:val="20"/>
          <w:szCs w:val="20"/>
          <w:lang w:val="mk-MK"/>
        </w:rPr>
        <w:tab/>
        <w:t>Препорачано решение со образложение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>7.</w:t>
      </w:r>
      <w:r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7.1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Потреба од менување на закони и </w:t>
      </w:r>
      <w:proofErr w:type="spellStart"/>
      <w:r>
        <w:rPr>
          <w:rFonts w:ascii="StobiSerifPro" w:hAnsi="StobiSerifPro"/>
          <w:i/>
          <w:sz w:val="20"/>
          <w:szCs w:val="20"/>
          <w:lang w:val="mk-MK"/>
        </w:rPr>
        <w:t>подзаконска</w:t>
      </w:r>
      <w:proofErr w:type="spellEnd"/>
      <w:r>
        <w:rPr>
          <w:rFonts w:ascii="StobiSerifPro" w:hAnsi="StobiSerifPro"/>
          <w:i/>
          <w:sz w:val="20"/>
          <w:szCs w:val="20"/>
          <w:lang w:val="mk-MK"/>
        </w:rPr>
        <w:t xml:space="preserve"> регулатива во областа или други сродни области</w:t>
      </w:r>
    </w:p>
    <w:p w:rsidR="0061526C" w:rsidRDefault="0061526C" w:rsidP="0061526C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7.2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Потребни </w:t>
      </w:r>
      <w:proofErr w:type="spellStart"/>
      <w:r>
        <w:rPr>
          <w:rFonts w:ascii="StobiSerifPro" w:hAnsi="StobiSerifPro"/>
          <w:i/>
          <w:sz w:val="20"/>
          <w:szCs w:val="20"/>
          <w:lang w:val="mk-MK"/>
        </w:rPr>
        <w:t>подзаконски</w:t>
      </w:r>
      <w:proofErr w:type="spellEnd"/>
      <w:r>
        <w:rPr>
          <w:rFonts w:ascii="StobiSerifPro" w:hAnsi="StobiSerifPro"/>
          <w:i/>
          <w:sz w:val="20"/>
          <w:szCs w:val="20"/>
          <w:lang w:val="mk-MK"/>
        </w:rPr>
        <w:t xml:space="preserve"> акти и рок за нивно донесување</w:t>
      </w:r>
    </w:p>
    <w:p w:rsidR="0061526C" w:rsidRDefault="0061526C" w:rsidP="0061526C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7.3</w:t>
      </w:r>
      <w:r>
        <w:rPr>
          <w:rFonts w:ascii="StobiSerifPro" w:hAnsi="StobiSerifPro"/>
          <w:i/>
          <w:sz w:val="20"/>
          <w:szCs w:val="20"/>
          <w:lang w:val="mk-MK"/>
        </w:rPr>
        <w:tab/>
        <w:t>Органи на државната управа, државни органи и други органи надлежни за спроведување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7.4</w:t>
      </w:r>
      <w:r>
        <w:rPr>
          <w:rFonts w:ascii="StobiSerifPro" w:hAnsi="StobiSerifPro"/>
          <w:i/>
          <w:sz w:val="20"/>
          <w:szCs w:val="20"/>
          <w:lang w:val="mk-MK"/>
        </w:rPr>
        <w:tab/>
        <w:t>Активности за обезбедување на ефикасно спроведување на предлогот на закон</w:t>
      </w:r>
    </w:p>
    <w:p w:rsidR="0061526C" w:rsidRDefault="0061526C" w:rsidP="0061526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>
        <w:rPr>
          <w:rFonts w:ascii="StobiSerifPro" w:hAnsi="StobiSerifPro"/>
          <w:b/>
          <w:sz w:val="20"/>
          <w:szCs w:val="20"/>
          <w:lang w:val="mk-MK"/>
        </w:rPr>
        <w:t>8.</w:t>
      </w:r>
      <w:r>
        <w:rPr>
          <w:rFonts w:ascii="StobiSerifPro" w:hAnsi="StobiSerifPro"/>
          <w:b/>
          <w:sz w:val="20"/>
          <w:szCs w:val="20"/>
          <w:lang w:val="mk-MK"/>
        </w:rPr>
        <w:tab/>
        <w:t xml:space="preserve">Следење и </w:t>
      </w:r>
      <w:proofErr w:type="spellStart"/>
      <w:r>
        <w:rPr>
          <w:rFonts w:ascii="StobiSerifPro" w:hAnsi="StobiSerifPro"/>
          <w:b/>
          <w:sz w:val="20"/>
          <w:szCs w:val="20"/>
          <w:lang w:val="mk-MK"/>
        </w:rPr>
        <w:t>евалуација</w:t>
      </w:r>
      <w:proofErr w:type="spellEnd"/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>
        <w:rPr>
          <w:rFonts w:ascii="StobiSerifPro" w:hAnsi="StobiSerifPro"/>
          <w:i/>
          <w:sz w:val="20"/>
          <w:szCs w:val="20"/>
          <w:lang w:val="mk-MK"/>
        </w:rPr>
        <w:tab/>
        <w:t xml:space="preserve">Начин на следење на спроведувањето </w:t>
      </w:r>
    </w:p>
    <w:p w:rsidR="0061526C" w:rsidRDefault="0061526C" w:rsidP="0061526C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61526C" w:rsidRDefault="0061526C" w:rsidP="0061526C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8.2</w:t>
      </w:r>
      <w:r>
        <w:rPr>
          <w:rFonts w:ascii="StobiSerifPro" w:hAnsi="StobiSerifPro"/>
          <w:i/>
          <w:sz w:val="20"/>
          <w:szCs w:val="20"/>
          <w:lang w:val="mk-MK"/>
        </w:rPr>
        <w:tab/>
      </w:r>
      <w:proofErr w:type="spellStart"/>
      <w:r>
        <w:rPr>
          <w:rFonts w:ascii="StobiSerifPro" w:hAnsi="StobiSerifPro"/>
          <w:i/>
          <w:sz w:val="20"/>
          <w:szCs w:val="20"/>
          <w:lang w:val="mk-MK"/>
        </w:rPr>
        <w:t>Евалуација</w:t>
      </w:r>
      <w:proofErr w:type="spellEnd"/>
      <w:r>
        <w:rPr>
          <w:rFonts w:ascii="StobiSerifPro" w:hAnsi="StobiSerifPro"/>
          <w:i/>
          <w:sz w:val="20"/>
          <w:szCs w:val="20"/>
          <w:lang w:val="mk-MK"/>
        </w:rPr>
        <w:t xml:space="preserve"> на ефектите од предлогот на закон и рокови </w:t>
      </w:r>
    </w:p>
    <w:p w:rsidR="0061526C" w:rsidRDefault="0061526C" w:rsidP="0061526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9455C" w:rsidRDefault="0059455C"/>
    <w:sectPr w:rsidR="0059455C" w:rsidSect="00594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526C"/>
    <w:rsid w:val="000D2ABA"/>
    <w:rsid w:val="00161111"/>
    <w:rsid w:val="002B7FAF"/>
    <w:rsid w:val="0059455C"/>
    <w:rsid w:val="0061526C"/>
    <w:rsid w:val="0092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character" w:customStyle="1" w:styleId="footnote">
    <w:name w:val="footnote"/>
    <w:basedOn w:val="DefaultParagraphFont"/>
    <w:rsid w:val="0061526C"/>
  </w:style>
  <w:style w:type="paragraph" w:customStyle="1" w:styleId="Normalvovlecen">
    <w:name w:val="Normal vovlecen"/>
    <w:basedOn w:val="Normal"/>
    <w:rsid w:val="0061526C"/>
    <w:pPr>
      <w:spacing w:line="360" w:lineRule="atLeast"/>
      <w:ind w:firstLine="1134"/>
    </w:pPr>
    <w:rPr>
      <w:rFonts w:ascii="Macedonian Tms" w:eastAsia="Calibri" w:hAnsi="Macedonian Tms" w:cs="Macedonian Tms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irenat</dc:creator>
  <cp:keywords/>
  <dc:description/>
  <cp:lastModifiedBy>irenat</cp:lastModifiedBy>
  <cp:revision>4</cp:revision>
  <dcterms:created xsi:type="dcterms:W3CDTF">2015-02-19T11:38:00Z</dcterms:created>
  <dcterms:modified xsi:type="dcterms:W3CDTF">2015-02-23T10:08:00Z</dcterms:modified>
</cp:coreProperties>
</file>