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A" w:rsidRPr="00B405FA" w:rsidRDefault="00B405FA" w:rsidP="00B405FA">
      <w:pPr>
        <w:jc w:val="right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u w:val="single"/>
          <w:lang w:val="mk-MK"/>
        </w:rPr>
        <w:t>Образец бр.1</w:t>
      </w:r>
    </w:p>
    <w:p w:rsidR="00B405FA" w:rsidRPr="00B405FA" w:rsidRDefault="00B405FA" w:rsidP="00B405FA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 xml:space="preserve"> План за спроведување</w:t>
      </w:r>
    </w:p>
    <w:p w:rsidR="00B405FA" w:rsidRPr="00B405FA" w:rsidRDefault="00B405FA" w:rsidP="00B405FA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на проценка на влијание на регулативата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6299"/>
      </w:tblGrid>
      <w:tr w:rsidR="00B405FA" w:rsidRPr="00B405FA" w:rsidTr="001F3A1F">
        <w:tc>
          <w:tcPr>
            <w:tcW w:w="2943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mk-MK" w:eastAsia="nl-NL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Предлог на Закон за изменување и дополнување на</w:t>
            </w:r>
          </w:p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en-US" w:eastAsia="nl-NL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Законот за градење</w:t>
            </w:r>
          </w:p>
        </w:tc>
      </w:tr>
      <w:tr w:rsidR="00B405FA" w:rsidRPr="00B405FA" w:rsidTr="001F3A1F">
        <w:tc>
          <w:tcPr>
            <w:tcW w:w="2943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Министерство за транспорт и врски</w:t>
            </w:r>
          </w:p>
        </w:tc>
      </w:tr>
      <w:tr w:rsidR="00B405FA" w:rsidRPr="00B405FA" w:rsidTr="001F3A1F">
        <w:tc>
          <w:tcPr>
            <w:tcW w:w="2943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Мартин Оџаклиески</w:t>
            </w:r>
          </w:p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3 145 41</w:t>
            </w:r>
            <w:r w:rsidRPr="00B405FA">
              <w:rPr>
                <w:rFonts w:ascii="StobiSerif Regular" w:hAnsi="StobiSerif Regular" w:cs="Arial"/>
                <w:sz w:val="22"/>
                <w:szCs w:val="22"/>
                <w:lang w:val="en-US"/>
              </w:rPr>
              <w:t>3</w:t>
            </w:r>
          </w:p>
        </w:tc>
      </w:tr>
      <w:tr w:rsidR="00B405FA" w:rsidRPr="00B405FA" w:rsidTr="001F3A1F">
        <w:tc>
          <w:tcPr>
            <w:tcW w:w="2943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Февруари 2013</w:t>
            </w:r>
          </w:p>
        </w:tc>
      </w:tr>
      <w:tr w:rsidR="00B405FA" w:rsidRPr="00B405FA" w:rsidTr="001F3A1F">
        <w:tc>
          <w:tcPr>
            <w:tcW w:w="2943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B405FA" w:rsidRPr="00B405FA" w:rsidRDefault="00B405FA" w:rsidP="001F3A1F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B405FA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Нема</w:t>
            </w:r>
          </w:p>
        </w:tc>
      </w:tr>
    </w:tbl>
    <w:p w:rsidR="00B405FA" w:rsidRPr="00B405FA" w:rsidRDefault="00B405FA" w:rsidP="00B405F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B405FA" w:rsidRPr="00B405FA" w:rsidRDefault="00B405FA" w:rsidP="00B4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(забелешка: овој дел е јавен и ќе се објави во Единствениот електронскиот регистар на прописи)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 xml:space="preserve">Кои се главните проблеми? </w:t>
      </w:r>
    </w:p>
    <w:p w:rsidR="00B405FA" w:rsidRPr="00B405FA" w:rsidRDefault="00B405FA" w:rsidP="00B405FA">
      <w:pPr>
        <w:ind w:left="4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ru-RU"/>
        </w:rPr>
        <w:t xml:space="preserve">Согласно Законот за градење се предвидува постапката за издавање на одобрение за градење, почнувајќи од 1 Март 2013 година да се спроведува по електронски пат. Меѓутоа имајќи во предвид </w:t>
      </w:r>
      <w:r w:rsidRPr="00B405FA">
        <w:rPr>
          <w:rFonts w:ascii="StobiSerif Regular" w:hAnsi="StobiSerif Regular" w:cs="Arial"/>
          <w:sz w:val="22"/>
          <w:szCs w:val="22"/>
          <w:lang w:val="mk-MK"/>
        </w:rPr>
        <w:t>ќе дојде до пролонгирање на роковите за воведување на електронска постапка за издавање на одобрение за градење од причини што од страна на Заедницата на единиците на локална самоуправа е утврден подолг рок од предвидениот за изработка и имплементација на електронскиот софтвер за спроведување на електронска постапка за издавање на одобрение. Исто така се предвидуваат и пилот проекти во повеќе општини пред целосна имплементација на овој софтвер, а заради утврдување на неговата функционалност, кои со оглед на престојните локални избори и конститурањето на Советите на единиците на локална самоуправа ќе се пролонгираат а со самото тоа ќе се пролонгира и воведувањето на електронската постапка.</w:t>
      </w:r>
    </w:p>
    <w:p w:rsidR="00B405FA" w:rsidRPr="00B405FA" w:rsidRDefault="00B405FA" w:rsidP="00B405FA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pStyle w:val="ListParagraph"/>
        <w:spacing w:after="200" w:line="276" w:lineRule="auto"/>
        <w:ind w:left="180" w:hanging="18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      </w:t>
      </w: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2.  Кои се можните решенија (опции)? Кои регулаторни или нерегулаторни мерки би можеле да се разгледаат?</w:t>
      </w:r>
    </w:p>
    <w:p w:rsidR="00B405FA" w:rsidRPr="00B405FA" w:rsidRDefault="00B405FA" w:rsidP="00B405FA">
      <w:pPr>
        <w:pStyle w:val="msonormalcxspmiddle"/>
        <w:spacing w:after="200" w:line="276" w:lineRule="auto"/>
        <w:ind w:left="360"/>
        <w:contextualSpacing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B405FA">
        <w:rPr>
          <w:rFonts w:ascii="StobiSerif Regular" w:hAnsi="StobiSerif Regular" w:cs="Arial"/>
          <w:sz w:val="22"/>
          <w:szCs w:val="22"/>
          <w:lang w:val="ru-RU"/>
        </w:rPr>
        <w:t xml:space="preserve">Со предложените решенија постапката за издавање на одобрение за градење </w:t>
      </w:r>
      <w:r w:rsidRPr="00B405FA">
        <w:rPr>
          <w:rFonts w:ascii="StobiSerif Regular" w:hAnsi="StobiSerif Regular" w:cs="Arial"/>
          <w:sz w:val="22"/>
          <w:szCs w:val="22"/>
          <w:lang w:val="mk-MK"/>
        </w:rPr>
        <w:t xml:space="preserve">и комуникација на органите кои издаваат одобрение за градење со Агенцијата за катастар за недвижности при доставувањето на градежното техничката комуникација </w:t>
      </w:r>
      <w:r w:rsidRPr="00B405FA">
        <w:rPr>
          <w:rFonts w:ascii="StobiSerif Regular" w:hAnsi="StobiSerif Regular" w:cs="Arial"/>
          <w:sz w:val="22"/>
          <w:szCs w:val="22"/>
          <w:lang w:val="ru-RU"/>
        </w:rPr>
        <w:t>да започне да се спроведува по електронски пат од 1 јуни 2013 година.</w:t>
      </w:r>
    </w:p>
    <w:p w:rsidR="00B405FA" w:rsidRPr="00B405FA" w:rsidRDefault="00B405FA" w:rsidP="00B405FA">
      <w:pPr>
        <w:spacing w:line="360" w:lineRule="auto"/>
        <w:ind w:firstLine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3.Кои се засегнатите страни кои ќе бидат вклучени во процесот</w:t>
      </w:r>
      <w:r w:rsidRPr="00B405FA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на проценка на влијанието на регулативата?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 xml:space="preserve">    </w:t>
      </w: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</w:t>
      </w:r>
      <w:r w:rsidRPr="00B405FA">
        <w:rPr>
          <w:rFonts w:ascii="StobiSerif Regular" w:hAnsi="StobiSerif Regular" w:cs="Arial"/>
          <w:sz w:val="22"/>
          <w:szCs w:val="22"/>
          <w:lang w:val="mk-MK"/>
        </w:rPr>
        <w:t>Во процесот на проценка на влијанието на регулативата ќе бидат вклучени претставници од надлежни државни органи и заедницата на единици на локална самоуправа.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 xml:space="preserve">Кои информации и податоци се веќе достапни? </w:t>
      </w:r>
    </w:p>
    <w:p w:rsidR="00B405FA" w:rsidRPr="00B405FA" w:rsidRDefault="00B405FA" w:rsidP="00B405FA">
      <w:pPr>
        <w:pStyle w:val="ListParagraph"/>
        <w:spacing w:line="360" w:lineRule="auto"/>
        <w:ind w:left="357" w:firstLine="357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Нема достапни информации.</w:t>
      </w:r>
    </w:p>
    <w:p w:rsidR="00B405FA" w:rsidRPr="00B405FA" w:rsidRDefault="00B405FA" w:rsidP="00B405FA">
      <w:pPr>
        <w:pStyle w:val="ListParagraph"/>
        <w:spacing w:line="360" w:lineRule="auto"/>
        <w:ind w:left="357" w:firstLine="357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 xml:space="preserve">Кои дополнителни информации и податоци треба да се соберат? </w:t>
      </w:r>
    </w:p>
    <w:p w:rsidR="00B405FA" w:rsidRPr="00B405FA" w:rsidRDefault="00B405FA" w:rsidP="00B405FA">
      <w:pPr>
        <w:pStyle w:val="ListParagraph"/>
        <w:spacing w:line="360" w:lineRule="auto"/>
        <w:ind w:left="360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Нема дополнителни информации.</w:t>
      </w:r>
    </w:p>
    <w:p w:rsidR="00B405FA" w:rsidRPr="00B405FA" w:rsidRDefault="00B405FA" w:rsidP="00B405FA">
      <w:pPr>
        <w:pStyle w:val="ListParagraph"/>
        <w:spacing w:after="200" w:line="276" w:lineRule="auto"/>
        <w:ind w:left="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B405FA" w:rsidRPr="00B405FA" w:rsidRDefault="00B405FA" w:rsidP="00B405FA">
      <w:pPr>
        <w:pStyle w:val="ListParagraph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Иницијална.</w:t>
      </w:r>
    </w:p>
    <w:p w:rsidR="00B405FA" w:rsidRPr="00B405FA" w:rsidRDefault="00B405FA" w:rsidP="00B405FA">
      <w:pPr>
        <w:pStyle w:val="ListParagraph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B405FA" w:rsidRPr="00B405FA" w:rsidRDefault="00B405FA" w:rsidP="00B405FA">
      <w:pPr>
        <w:pStyle w:val="ListParagraph"/>
        <w:spacing w:after="200" w:line="276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Не.</w:t>
      </w:r>
    </w:p>
    <w:p w:rsidR="00B405FA" w:rsidRPr="00B405FA" w:rsidRDefault="00B405FA" w:rsidP="00B4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Дел 2: Подетално планирање, вклучително со време и ресурси</w:t>
      </w:r>
    </w:p>
    <w:p w:rsidR="00B405FA" w:rsidRPr="00B405FA" w:rsidRDefault="00B405FA" w:rsidP="00B4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B405FA" w:rsidRPr="00B405FA" w:rsidRDefault="00B405FA" w:rsidP="00B405FA">
      <w:pPr>
        <w:rPr>
          <w:rFonts w:ascii="StobiSerif Regular" w:hAnsi="StobiSerif Regular" w:cs="Arial"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u w:val="single"/>
          <w:lang w:val="mk-MK"/>
        </w:rPr>
        <w:lastRenderedPageBreak/>
        <w:t>В. Временска рамка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Кога ќе започнат активностите за проценка на влијанијата на регулативата?</w:t>
      </w:r>
    </w:p>
    <w:p w:rsidR="00B405FA" w:rsidRPr="00B405FA" w:rsidRDefault="00B405FA" w:rsidP="00B405FA">
      <w:pPr>
        <w:pStyle w:val="ListParagraph"/>
        <w:spacing w:line="360" w:lineRule="auto"/>
        <w:ind w:left="360" w:firstLine="360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Активностите  започнаа во декември  2012 година.</w:t>
      </w:r>
    </w:p>
    <w:p w:rsidR="00B405FA" w:rsidRPr="00B405FA" w:rsidRDefault="00B405FA" w:rsidP="00B405FA">
      <w:pPr>
        <w:pStyle w:val="ListParagraph"/>
        <w:spacing w:line="360" w:lineRule="auto"/>
        <w:ind w:left="360" w:firstLine="360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B405FA" w:rsidRPr="00B405FA" w:rsidRDefault="00B405FA" w:rsidP="00B405FA">
      <w:pPr>
        <w:pStyle w:val="ListParagraph"/>
        <w:spacing w:line="360" w:lineRule="auto"/>
        <w:ind w:left="360" w:firstLine="3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Не се планира вклучување на надворешни консултанти.</w:t>
      </w:r>
    </w:p>
    <w:p w:rsidR="00B405FA" w:rsidRPr="00B405FA" w:rsidRDefault="00B405FA" w:rsidP="00B405FA">
      <w:pPr>
        <w:pStyle w:val="ListParagraph"/>
        <w:jc w:val="both"/>
        <w:rPr>
          <w:rFonts w:ascii="StobiSerif Regular" w:hAnsi="StobiSerif Regular" w:cs="Arial"/>
          <w:color w:val="FF0000"/>
          <w:sz w:val="22"/>
          <w:szCs w:val="22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Кога предлог законот</w:t>
      </w:r>
      <w:r w:rsidRPr="00B405FA" w:rsidDel="007B7EA7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>и проценката на влијанието на регулативата ќе бидат поднесени до Генералниот секретаријат?</w:t>
      </w:r>
    </w:p>
    <w:p w:rsidR="00B405FA" w:rsidRPr="00B405FA" w:rsidRDefault="00B405FA" w:rsidP="00B405FA">
      <w:pPr>
        <w:ind w:left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sz w:val="22"/>
          <w:szCs w:val="22"/>
          <w:lang w:val="mk-MK"/>
        </w:rPr>
        <w:t>Во месец јануари 2013  година</w:t>
      </w:r>
    </w:p>
    <w:p w:rsidR="00B405FA" w:rsidRPr="00B405FA" w:rsidRDefault="00B405FA" w:rsidP="00B405FA">
      <w:pPr>
        <w:ind w:left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u w:val="single"/>
          <w:lang w:val="mk-MK"/>
        </w:rPr>
        <w:t>Г. Ресурси</w:t>
      </w:r>
    </w:p>
    <w:p w:rsidR="00B405FA" w:rsidRPr="00B405FA" w:rsidRDefault="00B405FA" w:rsidP="00B405FA">
      <w:pPr>
        <w:jc w:val="both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B405FA">
        <w:rPr>
          <w:rFonts w:ascii="StobiSerif Regular" w:hAnsi="StobiSerif Regular" w:cs="Arial"/>
          <w:b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 ? </w:t>
      </w:r>
    </w:p>
    <w:p w:rsidR="00B405FA" w:rsidRPr="00B405FA" w:rsidRDefault="00B405FA" w:rsidP="00B405FA">
      <w:pPr>
        <w:ind w:left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B405FA">
        <w:rPr>
          <w:rFonts w:ascii="StobiSerif Regular" w:hAnsi="StobiSerif Regular" w:cs="Arial"/>
          <w:sz w:val="22"/>
          <w:szCs w:val="22"/>
          <w:lang w:val="ru-RU"/>
        </w:rPr>
        <w:t xml:space="preserve">Претставници од Министерството за транспорт и врски, претставници од Заедница на единиците на локална самоуправа, </w:t>
      </w:r>
    </w:p>
    <w:p w:rsidR="00B405FA" w:rsidRPr="00B405FA" w:rsidRDefault="00B405FA" w:rsidP="00B405FA">
      <w:pPr>
        <w:jc w:val="right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jc w:val="right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jc w:val="right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jc w:val="right"/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p w:rsidR="00B405FA" w:rsidRPr="00B405FA" w:rsidRDefault="00B405FA" w:rsidP="00B405FA">
      <w:pPr>
        <w:rPr>
          <w:rFonts w:ascii="StobiSerif Regular" w:hAnsi="StobiSerif Regular" w:cs="Arial"/>
          <w:b/>
          <w:sz w:val="22"/>
          <w:szCs w:val="22"/>
          <w:u w:val="single"/>
          <w:lang w:val="mk-MK"/>
        </w:rPr>
      </w:pPr>
    </w:p>
    <w:sectPr w:rsidR="00B405FA" w:rsidRPr="00B405FA" w:rsidSect="00E9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2CD2"/>
    <w:multiLevelType w:val="hybridMultilevel"/>
    <w:tmpl w:val="6EA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63501"/>
    <w:multiLevelType w:val="hybridMultilevel"/>
    <w:tmpl w:val="514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5FA"/>
    <w:rsid w:val="002124D5"/>
    <w:rsid w:val="0052059C"/>
    <w:rsid w:val="00B405FA"/>
    <w:rsid w:val="00E9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B405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B405FA"/>
    <w:pPr>
      <w:ind w:left="720"/>
    </w:pPr>
    <w:rPr>
      <w:lang w:eastAsia="en-US"/>
    </w:rPr>
  </w:style>
  <w:style w:type="paragraph" w:customStyle="1" w:styleId="msonormalcxspmiddle">
    <w:name w:val="msonormalcxspmiddle"/>
    <w:basedOn w:val="Normal"/>
    <w:rsid w:val="00B405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2</cp:revision>
  <dcterms:created xsi:type="dcterms:W3CDTF">2013-01-18T12:43:00Z</dcterms:created>
  <dcterms:modified xsi:type="dcterms:W3CDTF">2013-01-18T12:43:00Z</dcterms:modified>
</cp:coreProperties>
</file>