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1B" w:rsidRPr="00D46D1A" w:rsidRDefault="007F181B" w:rsidP="007F181B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D46D1A">
        <w:rPr>
          <w:rFonts w:ascii="StobiSerif Regular" w:hAnsi="StobiSerif Regular"/>
          <w:b/>
          <w:sz w:val="22"/>
          <w:szCs w:val="22"/>
          <w:lang w:val="mk-MK"/>
        </w:rPr>
        <w:t>ИЗВЕШТАЈ ЗА ПРОЦЕНКА НА ВЛИЈАНИЕТО НА РЕГУЛАТИВАТА</w:t>
      </w:r>
    </w:p>
    <w:p w:rsidR="007F181B" w:rsidRPr="00D46D1A" w:rsidRDefault="007F181B" w:rsidP="00212EDD">
      <w:pPr>
        <w:rPr>
          <w:rFonts w:ascii="StobiSerif Regular" w:hAnsi="StobiSerif Regular"/>
          <w:b/>
          <w:sz w:val="22"/>
          <w:szCs w:val="22"/>
          <w:lang w:val="mk-MK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196"/>
      </w:tblGrid>
      <w:tr w:rsidR="007F181B" w:rsidRPr="00D46D1A">
        <w:trPr>
          <w:trHeight w:val="622"/>
        </w:trPr>
        <w:tc>
          <w:tcPr>
            <w:tcW w:w="3105" w:type="dxa"/>
          </w:tcPr>
          <w:p w:rsidR="007F181B" w:rsidRPr="00D46D1A" w:rsidRDefault="00C771C6" w:rsidP="00C771C6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>Назив на м</w:t>
            </w:r>
            <w:r w:rsidR="005D0CB8"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>инистерство:</w:t>
            </w:r>
          </w:p>
        </w:tc>
        <w:tc>
          <w:tcPr>
            <w:tcW w:w="6196" w:type="dxa"/>
          </w:tcPr>
          <w:p w:rsidR="006F1327" w:rsidRPr="00D46D1A" w:rsidRDefault="0084697D" w:rsidP="007F6CEE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Министерство за информатичко општество и администрација</w:t>
            </w:r>
          </w:p>
        </w:tc>
      </w:tr>
      <w:tr w:rsidR="007F181B" w:rsidRPr="00D46D1A">
        <w:trPr>
          <w:trHeight w:val="622"/>
        </w:trPr>
        <w:tc>
          <w:tcPr>
            <w:tcW w:w="3105" w:type="dxa"/>
          </w:tcPr>
          <w:p w:rsidR="007F181B" w:rsidRPr="00D46D1A" w:rsidRDefault="005D0CB8" w:rsidP="006F1327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>Назив на предлог</w:t>
            </w:r>
            <w:r w:rsidR="00F66307"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>от</w:t>
            </w:r>
            <w:r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 w:rsidR="00B413F0"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на </w:t>
            </w:r>
            <w:r w:rsidR="006F1327"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>закон</w:t>
            </w:r>
            <w:r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>:</w:t>
            </w:r>
          </w:p>
        </w:tc>
        <w:tc>
          <w:tcPr>
            <w:tcW w:w="6196" w:type="dxa"/>
          </w:tcPr>
          <w:p w:rsidR="006F1327" w:rsidRPr="00D46D1A" w:rsidRDefault="00E16408" w:rsidP="000C2D5C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З</w:t>
            </w:r>
            <w:r w:rsidR="0084697D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акон за </w:t>
            </w:r>
            <w:r w:rsidR="000C2D5C">
              <w:rPr>
                <w:rFonts w:ascii="StobiSerif Regular" w:hAnsi="StobiSerif Regular"/>
                <w:sz w:val="22"/>
                <w:szCs w:val="22"/>
                <w:lang w:val="mk-MK"/>
              </w:rPr>
              <w:t>безбедност на мрежи и информациски системи</w:t>
            </w:r>
          </w:p>
        </w:tc>
      </w:tr>
      <w:tr w:rsidR="007F181B" w:rsidRPr="00D46D1A">
        <w:trPr>
          <w:trHeight w:val="622"/>
        </w:trPr>
        <w:tc>
          <w:tcPr>
            <w:tcW w:w="3105" w:type="dxa"/>
          </w:tcPr>
          <w:p w:rsidR="007F181B" w:rsidRPr="00D46D1A" w:rsidRDefault="007F181B" w:rsidP="007F6CEE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>Одговорно лице и контакт информации:</w:t>
            </w:r>
          </w:p>
        </w:tc>
        <w:tc>
          <w:tcPr>
            <w:tcW w:w="6196" w:type="dxa"/>
          </w:tcPr>
          <w:p w:rsidR="007F181B" w:rsidRDefault="0084697D" w:rsidP="005E48A1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Ана Малцева</w:t>
            </w:r>
          </w:p>
          <w:p w:rsidR="00530FA3" w:rsidRDefault="003055CA" w:rsidP="005E48A1">
            <w:pPr>
              <w:rPr>
                <w:rFonts w:ascii="StobiSerif Regular" w:hAnsi="StobiSerif Regular"/>
                <w:sz w:val="22"/>
                <w:szCs w:val="22"/>
                <w:lang w:val="en-US"/>
              </w:rPr>
            </w:pPr>
            <w:hyperlink r:id="rId10" w:history="1">
              <w:r w:rsidR="00530FA3" w:rsidRPr="002A79DA">
                <w:rPr>
                  <w:rStyle w:val="Hyperlink"/>
                  <w:rFonts w:ascii="StobiSerif Regular" w:hAnsi="StobiSerif Regular"/>
                  <w:sz w:val="22"/>
                  <w:szCs w:val="22"/>
                  <w:lang w:val="en-US"/>
                </w:rPr>
                <w:t>ana.malceva@mioa.gov.mk</w:t>
              </w:r>
            </w:hyperlink>
          </w:p>
          <w:p w:rsidR="00530FA3" w:rsidRPr="00530FA3" w:rsidRDefault="00530FA3" w:rsidP="005E48A1">
            <w:pPr>
              <w:rPr>
                <w:rFonts w:ascii="StobiSerif Regular" w:hAnsi="StobiSerif Regular"/>
                <w:sz w:val="22"/>
                <w:szCs w:val="22"/>
                <w:lang w:val="en-US"/>
              </w:rPr>
            </w:pPr>
          </w:p>
        </w:tc>
      </w:tr>
      <w:tr w:rsidR="00855CE5" w:rsidRPr="00D46D1A" w:rsidTr="0094292C">
        <w:trPr>
          <w:trHeight w:val="724"/>
        </w:trPr>
        <w:tc>
          <w:tcPr>
            <w:tcW w:w="3105" w:type="dxa"/>
            <w:shd w:val="clear" w:color="auto" w:fill="auto"/>
          </w:tcPr>
          <w:p w:rsidR="00855CE5" w:rsidRPr="00D46D1A" w:rsidRDefault="00855CE5" w:rsidP="007F6CEE">
            <w:pPr>
              <w:rPr>
                <w:rFonts w:ascii="StobiSerif Regular" w:hAnsi="StobiSerif Regular"/>
                <w:sz w:val="22"/>
                <w:szCs w:val="22"/>
                <w:highlight w:val="yellow"/>
                <w:lang w:val="mk-MK"/>
              </w:rPr>
            </w:pPr>
            <w:r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>Вид на Извештај</w:t>
            </w:r>
          </w:p>
        </w:tc>
        <w:bookmarkStart w:id="0" w:name="Check11"/>
        <w:tc>
          <w:tcPr>
            <w:tcW w:w="6196" w:type="dxa"/>
            <w:shd w:val="clear" w:color="auto" w:fill="auto"/>
          </w:tcPr>
          <w:p w:rsidR="00855CE5" w:rsidRPr="00D46D1A" w:rsidRDefault="00FA4125" w:rsidP="00107852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27CBC">
              <w:rPr>
                <w:rFonts w:ascii="StobiSerif Regular" w:hAnsi="StobiSerif Regular"/>
              </w:rPr>
              <w:instrText xml:space="preserve"> FORMCHECKBOX </w:instrText>
            </w:r>
            <w:r w:rsidR="003055CA">
              <w:rPr>
                <w:rFonts w:ascii="StobiSerif Regular" w:hAnsi="StobiSerif Regular"/>
              </w:rPr>
            </w:r>
            <w:r w:rsidR="003055CA">
              <w:rPr>
                <w:rFonts w:ascii="StobiSerif Regular" w:hAnsi="StobiSerif Regular"/>
              </w:rPr>
              <w:fldChar w:fldCharType="separate"/>
            </w:r>
            <w:r>
              <w:rPr>
                <w:rFonts w:ascii="StobiSerif Regular" w:hAnsi="StobiSerif Regular"/>
              </w:rPr>
              <w:fldChar w:fldCharType="end"/>
            </w:r>
            <w:bookmarkEnd w:id="0"/>
            <w:r w:rsidR="00855CE5" w:rsidRPr="00D46D1A">
              <w:rPr>
                <w:rFonts w:ascii="StobiSerif Regular" w:hAnsi="StobiSerif Regular"/>
              </w:rPr>
              <w:t>Нацрт</w:t>
            </w:r>
          </w:p>
          <w:bookmarkStart w:id="1" w:name="Check12"/>
          <w:p w:rsidR="00855CE5" w:rsidRPr="00D46D1A" w:rsidRDefault="00FA4125" w:rsidP="00107852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CBC">
              <w:rPr>
                <w:rFonts w:ascii="StobiSerif Regular" w:hAnsi="StobiSerif Regular"/>
              </w:rPr>
              <w:instrText xml:space="preserve"> FORMCHECKBOX </w:instrText>
            </w:r>
            <w:r w:rsidR="003055CA">
              <w:rPr>
                <w:rFonts w:ascii="StobiSerif Regular" w:hAnsi="StobiSerif Regular"/>
              </w:rPr>
            </w:r>
            <w:r w:rsidR="003055CA">
              <w:rPr>
                <w:rFonts w:ascii="StobiSerif Regular" w:hAnsi="StobiSerif Regular"/>
              </w:rPr>
              <w:fldChar w:fldCharType="separate"/>
            </w:r>
            <w:r>
              <w:rPr>
                <w:rFonts w:ascii="StobiSerif Regular" w:hAnsi="StobiSerif Regular"/>
              </w:rPr>
              <w:fldChar w:fldCharType="end"/>
            </w:r>
            <w:bookmarkEnd w:id="1"/>
            <w:r w:rsidR="00B020B6" w:rsidRPr="00D46D1A">
              <w:rPr>
                <w:rFonts w:ascii="StobiSerif Regular" w:hAnsi="StobiSerif Regular"/>
              </w:rPr>
              <w:t xml:space="preserve">Предлог </w:t>
            </w:r>
          </w:p>
          <w:p w:rsidR="00855CE5" w:rsidRPr="00D46D1A" w:rsidRDefault="00855CE5" w:rsidP="0094292C">
            <w:pPr>
              <w:pStyle w:val="ListParagraph"/>
              <w:spacing w:after="0" w:line="240" w:lineRule="auto"/>
              <w:ind w:left="0"/>
              <w:rPr>
                <w:rFonts w:ascii="StobiSerif Regular" w:hAnsi="StobiSerif Regular"/>
              </w:rPr>
            </w:pPr>
          </w:p>
        </w:tc>
      </w:tr>
      <w:tr w:rsidR="007F181B" w:rsidRPr="00D46D1A">
        <w:trPr>
          <w:trHeight w:val="1243"/>
        </w:trPr>
        <w:tc>
          <w:tcPr>
            <w:tcW w:w="3105" w:type="dxa"/>
          </w:tcPr>
          <w:p w:rsidR="007F181B" w:rsidRPr="00D46D1A" w:rsidRDefault="007F181B" w:rsidP="00F66307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>Обврската за подготовка на предлог</w:t>
            </w:r>
            <w:r w:rsidR="00F66307"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>от</w:t>
            </w:r>
            <w:r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 w:rsidR="00B413F0"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на </w:t>
            </w:r>
            <w:r w:rsidR="00C771C6"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закон </w:t>
            </w:r>
            <w:r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>произлегува од:</w:t>
            </w:r>
          </w:p>
        </w:tc>
        <w:tc>
          <w:tcPr>
            <w:tcW w:w="6196" w:type="dxa"/>
          </w:tcPr>
          <w:p w:rsidR="007F181B" w:rsidRPr="00D46D1A" w:rsidRDefault="00FA4125" w:rsidP="00107852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33EEE">
              <w:rPr>
                <w:rFonts w:ascii="StobiSerif Regular" w:hAnsi="StobiSerif Regular"/>
              </w:rPr>
              <w:instrText xml:space="preserve"> FORMCHECKBOX </w:instrText>
            </w:r>
            <w:r w:rsidR="003055CA">
              <w:rPr>
                <w:rFonts w:ascii="StobiSerif Regular" w:hAnsi="StobiSerif Regular"/>
              </w:rPr>
            </w:r>
            <w:r w:rsidR="003055CA">
              <w:rPr>
                <w:rFonts w:ascii="StobiSerif Regular" w:hAnsi="StobiSerif Regular"/>
              </w:rPr>
              <w:fldChar w:fldCharType="separate"/>
            </w:r>
            <w:r>
              <w:rPr>
                <w:rFonts w:ascii="StobiSerif Regular" w:hAnsi="StobiSerif Regular"/>
              </w:rPr>
              <w:fldChar w:fldCharType="end"/>
            </w:r>
            <w:r w:rsidR="007F181B" w:rsidRPr="00D46D1A">
              <w:rPr>
                <w:rFonts w:ascii="StobiSerif Regular" w:hAnsi="StobiSerif Regular"/>
              </w:rPr>
              <w:t>Годишната програма за работа на Владата</w:t>
            </w:r>
            <w:r w:rsidR="001D3748" w:rsidRPr="00D46D1A">
              <w:rPr>
                <w:rFonts w:ascii="StobiSerif Regular" w:hAnsi="StobiSerif Regular"/>
              </w:rPr>
              <w:t xml:space="preserve"> на Република </w:t>
            </w:r>
            <w:r w:rsidR="000C2D5C">
              <w:rPr>
                <w:rFonts w:ascii="StobiSerif Regular" w:hAnsi="StobiSerif Regular"/>
              </w:rPr>
              <w:t>Северна</w:t>
            </w:r>
            <w:r w:rsidR="001D3748" w:rsidRPr="00D46D1A">
              <w:rPr>
                <w:rFonts w:ascii="StobiSerif Regular" w:hAnsi="StobiSerif Regular"/>
              </w:rPr>
              <w:t xml:space="preserve"> Македонија</w:t>
            </w:r>
          </w:p>
          <w:p w:rsidR="007F181B" w:rsidRPr="00D46D1A" w:rsidRDefault="00BB3123" w:rsidP="00107852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4"/>
            <w:r>
              <w:rPr>
                <w:rFonts w:ascii="StobiSerif Regular" w:hAnsi="StobiSerif Regular"/>
                <w:lang w:val="en-US"/>
              </w:rPr>
              <w:instrText xml:space="preserve"> FORMCHECKBOX </w:instrText>
            </w:r>
            <w:r>
              <w:rPr>
                <w:rFonts w:ascii="StobiSerif Regular" w:hAnsi="StobiSerif Regular"/>
                <w:lang w:val="en-US"/>
              </w:rPr>
            </w:r>
            <w:r>
              <w:rPr>
                <w:rFonts w:ascii="StobiSerif Regular" w:hAnsi="StobiSerif Regular"/>
                <w:lang w:val="en-US"/>
              </w:rPr>
              <w:fldChar w:fldCharType="end"/>
            </w:r>
            <w:bookmarkEnd w:id="2"/>
            <w:r w:rsidR="007F181B" w:rsidRPr="00D46D1A">
              <w:rPr>
                <w:rFonts w:ascii="StobiSerif Regular" w:hAnsi="StobiSerif Regular"/>
              </w:rPr>
              <w:t>НПАА</w:t>
            </w:r>
          </w:p>
          <w:p w:rsidR="007F181B" w:rsidRPr="00D46D1A" w:rsidRDefault="00FA4125" w:rsidP="001D3748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/>
              </w:rPr>
            </w:pPr>
            <w:r w:rsidRPr="00D46D1A">
              <w:rPr>
                <w:rFonts w:ascii="StobiSerif Regular" w:hAnsi="StobiSerif Regula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="00107852" w:rsidRPr="00D46D1A">
              <w:rPr>
                <w:rFonts w:ascii="StobiSerif Regular" w:hAnsi="StobiSerif Regular"/>
              </w:rPr>
              <w:instrText xml:space="preserve"> FORMCHECKBOX </w:instrText>
            </w:r>
            <w:r w:rsidR="003055CA">
              <w:rPr>
                <w:rFonts w:ascii="StobiSerif Regular" w:hAnsi="StobiSerif Regular"/>
              </w:rPr>
            </w:r>
            <w:r w:rsidR="003055CA">
              <w:rPr>
                <w:rFonts w:ascii="StobiSerif Regular" w:hAnsi="StobiSerif Regular"/>
              </w:rPr>
              <w:fldChar w:fldCharType="separate"/>
            </w:r>
            <w:r w:rsidRPr="00D46D1A">
              <w:rPr>
                <w:rFonts w:ascii="StobiSerif Regular" w:hAnsi="StobiSerif Regular"/>
              </w:rPr>
              <w:fldChar w:fldCharType="end"/>
            </w:r>
            <w:bookmarkEnd w:id="3"/>
            <w:r w:rsidR="007F181B" w:rsidRPr="00D46D1A">
              <w:rPr>
                <w:rFonts w:ascii="StobiSerif Regular" w:hAnsi="StobiSerif Regular"/>
              </w:rPr>
              <w:t>Заклучок на Владата</w:t>
            </w:r>
            <w:r w:rsidR="001D3748" w:rsidRPr="00D46D1A">
              <w:rPr>
                <w:rFonts w:ascii="StobiSerif Regular" w:hAnsi="StobiSerif Regular"/>
              </w:rPr>
              <w:t xml:space="preserve"> на Република </w:t>
            </w:r>
            <w:r w:rsidR="00BB3123">
              <w:rPr>
                <w:rFonts w:ascii="StobiSerif Regular" w:hAnsi="StobiSerif Regular"/>
              </w:rPr>
              <w:t xml:space="preserve">Северна </w:t>
            </w:r>
            <w:r w:rsidR="001D3748" w:rsidRPr="00D46D1A">
              <w:rPr>
                <w:rFonts w:ascii="StobiSerif Regular" w:hAnsi="StobiSerif Regular"/>
              </w:rPr>
              <w:t>Македонија</w:t>
            </w:r>
          </w:p>
          <w:p w:rsidR="007F181B" w:rsidRPr="00D46D1A" w:rsidRDefault="00FA4125" w:rsidP="00107852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EEE">
              <w:rPr>
                <w:rFonts w:ascii="StobiSerif Regular" w:hAnsi="StobiSerif Regular"/>
              </w:rPr>
              <w:instrText xml:space="preserve"> FORMCHECKBOX </w:instrText>
            </w:r>
            <w:r w:rsidR="003055CA">
              <w:rPr>
                <w:rFonts w:ascii="StobiSerif Regular" w:hAnsi="StobiSerif Regular"/>
              </w:rPr>
            </w:r>
            <w:r w:rsidR="003055CA">
              <w:rPr>
                <w:rFonts w:ascii="StobiSerif Regular" w:hAnsi="StobiSerif Regular"/>
              </w:rPr>
              <w:fldChar w:fldCharType="separate"/>
            </w:r>
            <w:r>
              <w:rPr>
                <w:rFonts w:ascii="StobiSerif Regular" w:hAnsi="StobiSerif Regular"/>
              </w:rPr>
              <w:fldChar w:fldCharType="end"/>
            </w:r>
            <w:r w:rsidR="0056471D" w:rsidRPr="00D46D1A">
              <w:rPr>
                <w:rFonts w:ascii="StobiSerif Regular" w:hAnsi="StobiSerif Regular"/>
                <w:lang w:val="en-US"/>
              </w:rPr>
              <w:t xml:space="preserve"> </w:t>
            </w:r>
            <w:r w:rsidR="0056471D" w:rsidRPr="00D46D1A">
              <w:rPr>
                <w:rFonts w:ascii="StobiSerif Regular" w:hAnsi="StobiSerif Regular"/>
              </w:rPr>
              <w:t>Друго</w:t>
            </w:r>
            <w:r w:rsidR="007F181B" w:rsidRPr="00D46D1A">
              <w:rPr>
                <w:rFonts w:ascii="StobiSerif Regular" w:hAnsi="StobiSerif Regular"/>
              </w:rPr>
              <w:t>_____________________________________</w:t>
            </w:r>
          </w:p>
        </w:tc>
      </w:tr>
      <w:tr w:rsidR="007F181B" w:rsidRPr="00D46D1A">
        <w:trPr>
          <w:trHeight w:val="634"/>
        </w:trPr>
        <w:tc>
          <w:tcPr>
            <w:tcW w:w="3105" w:type="dxa"/>
          </w:tcPr>
          <w:p w:rsidR="007F181B" w:rsidRPr="00D46D1A" w:rsidRDefault="007F181B" w:rsidP="007F6CEE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>Поврзаност со Директивите на ЕУ</w:t>
            </w:r>
          </w:p>
        </w:tc>
        <w:tc>
          <w:tcPr>
            <w:tcW w:w="6196" w:type="dxa"/>
          </w:tcPr>
          <w:p w:rsidR="007F181B" w:rsidRPr="00D46D1A" w:rsidRDefault="00BB3123" w:rsidP="00BB3123">
            <w:pPr>
              <w:pStyle w:val="ListParagraph"/>
              <w:ind w:left="0"/>
              <w:jc w:val="both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Директива</w:t>
            </w:r>
            <w:r w:rsidRPr="00BB3123">
              <w:rPr>
                <w:rFonts w:ascii="StobiSerif Regular" w:hAnsi="StobiSerif Regular"/>
              </w:rPr>
              <w:t xml:space="preserve"> (ЕУ) 2016/1148 на Европскиот парламент и на Советот од 6 јули 2016 година во однос на мерки за висок општ степен на безбедност на мрежа и информациски системи низ </w:t>
            </w:r>
            <w:r>
              <w:rPr>
                <w:rFonts w:ascii="StobiSerif Regular" w:hAnsi="StobiSerif Regular"/>
              </w:rPr>
              <w:t>Унијата, односно НИС Директива</w:t>
            </w:r>
          </w:p>
        </w:tc>
      </w:tr>
      <w:tr w:rsidR="007F181B" w:rsidRPr="00D46D1A">
        <w:trPr>
          <w:trHeight w:val="1865"/>
        </w:trPr>
        <w:tc>
          <w:tcPr>
            <w:tcW w:w="3105" w:type="dxa"/>
          </w:tcPr>
          <w:p w:rsidR="007F181B" w:rsidRPr="00D46D1A" w:rsidRDefault="007F181B" w:rsidP="00F66307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Дали нацрт извештајот содржи информации согласно </w:t>
            </w:r>
            <w:r w:rsidR="00F66307"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>прописите кои се однесуваат на</w:t>
            </w:r>
            <w:r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класифицирани</w:t>
            </w:r>
            <w:r w:rsidR="00F66307"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>те</w:t>
            </w:r>
            <w:r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информации </w:t>
            </w:r>
          </w:p>
        </w:tc>
        <w:tc>
          <w:tcPr>
            <w:tcW w:w="6196" w:type="dxa"/>
          </w:tcPr>
          <w:p w:rsidR="007F181B" w:rsidRPr="00D46D1A" w:rsidRDefault="00FA4125" w:rsidP="00107852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/>
              </w:rPr>
            </w:pPr>
            <w:r w:rsidRPr="00D46D1A">
              <w:rPr>
                <w:rFonts w:ascii="StobiSerif Regular" w:hAnsi="StobiSerif Regular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7"/>
            <w:r w:rsidR="00107852" w:rsidRPr="00D46D1A">
              <w:rPr>
                <w:rFonts w:ascii="StobiSerif Regular" w:hAnsi="StobiSerif Regular"/>
                <w:lang w:val="en-US"/>
              </w:rPr>
              <w:instrText xml:space="preserve"> FORMCHECKBOX </w:instrText>
            </w:r>
            <w:r w:rsidR="003055CA">
              <w:rPr>
                <w:rFonts w:ascii="StobiSerif Regular" w:hAnsi="StobiSerif Regular"/>
                <w:lang w:val="en-US"/>
              </w:rPr>
            </w:r>
            <w:r w:rsidR="003055CA">
              <w:rPr>
                <w:rFonts w:ascii="StobiSerif Regular" w:hAnsi="StobiSerif Regular"/>
                <w:lang w:val="en-US"/>
              </w:rPr>
              <w:fldChar w:fldCharType="separate"/>
            </w:r>
            <w:r w:rsidRPr="00D46D1A">
              <w:rPr>
                <w:rFonts w:ascii="StobiSerif Regular" w:hAnsi="StobiSerif Regular"/>
                <w:lang w:val="en-US"/>
              </w:rPr>
              <w:fldChar w:fldCharType="end"/>
            </w:r>
            <w:bookmarkEnd w:id="4"/>
            <w:r w:rsidR="007F181B" w:rsidRPr="00D46D1A">
              <w:rPr>
                <w:rFonts w:ascii="StobiSerif Regular" w:hAnsi="StobiSerif Regular"/>
              </w:rPr>
              <w:t>Да</w:t>
            </w:r>
          </w:p>
          <w:bookmarkStart w:id="5" w:name="Check18"/>
          <w:p w:rsidR="007F181B" w:rsidRPr="00D46D1A" w:rsidRDefault="00FA4125" w:rsidP="00107852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/>
              </w:rPr>
            </w:pPr>
            <w:r w:rsidRPr="00D46D1A">
              <w:rPr>
                <w:rFonts w:ascii="StobiSerif Regular" w:hAnsi="StobiSerif Regular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00A91" w:rsidRPr="00D46D1A">
              <w:rPr>
                <w:rFonts w:ascii="StobiSerif Regular" w:hAnsi="StobiSerif Regular"/>
                <w:lang w:val="en-US"/>
              </w:rPr>
              <w:instrText xml:space="preserve"> FORMCHECKBOX </w:instrText>
            </w:r>
            <w:r w:rsidR="003055CA">
              <w:rPr>
                <w:rFonts w:ascii="StobiSerif Regular" w:hAnsi="StobiSerif Regular"/>
                <w:lang w:val="en-US"/>
              </w:rPr>
            </w:r>
            <w:r w:rsidR="003055CA">
              <w:rPr>
                <w:rFonts w:ascii="StobiSerif Regular" w:hAnsi="StobiSerif Regular"/>
                <w:lang w:val="en-US"/>
              </w:rPr>
              <w:fldChar w:fldCharType="separate"/>
            </w:r>
            <w:r w:rsidRPr="00D46D1A">
              <w:rPr>
                <w:rFonts w:ascii="StobiSerif Regular" w:hAnsi="StobiSerif Regular"/>
                <w:lang w:val="en-US"/>
              </w:rPr>
              <w:fldChar w:fldCharType="end"/>
            </w:r>
            <w:bookmarkEnd w:id="5"/>
            <w:r w:rsidR="007F181B" w:rsidRPr="00D46D1A">
              <w:rPr>
                <w:rFonts w:ascii="StobiSerif Regular" w:hAnsi="StobiSerif Regular"/>
              </w:rPr>
              <w:t>Не</w:t>
            </w:r>
          </w:p>
        </w:tc>
      </w:tr>
      <w:tr w:rsidR="007F181B" w:rsidRPr="00D46D1A">
        <w:trPr>
          <w:trHeight w:val="939"/>
        </w:trPr>
        <w:tc>
          <w:tcPr>
            <w:tcW w:w="3105" w:type="dxa"/>
          </w:tcPr>
          <w:p w:rsidR="007F181B" w:rsidRPr="00D46D1A" w:rsidRDefault="007F181B" w:rsidP="007F6CEE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196" w:type="dxa"/>
          </w:tcPr>
          <w:p w:rsidR="007F181B" w:rsidRPr="00D46D1A" w:rsidRDefault="00F9541B" w:rsidP="00F9541B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04</w:t>
            </w:r>
            <w:r w:rsidR="004E3A77">
              <w:rPr>
                <w:rFonts w:ascii="StobiSerif Regular" w:hAnsi="StobiSerif Regular"/>
                <w:sz w:val="22"/>
                <w:szCs w:val="22"/>
                <w:lang w:val="mk-MK"/>
              </w:rPr>
              <w:t>.1</w:t>
            </w: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0</w:t>
            </w:r>
            <w:r w:rsidR="004E3A77">
              <w:rPr>
                <w:rFonts w:ascii="StobiSerif Regular" w:hAnsi="StobiSerif Regular"/>
                <w:sz w:val="22"/>
                <w:szCs w:val="22"/>
                <w:lang w:val="mk-MK"/>
              </w:rPr>
              <w:t>.201</w:t>
            </w: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9</w:t>
            </w:r>
            <w:r w:rsidR="004E3A77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година</w:t>
            </w:r>
          </w:p>
        </w:tc>
      </w:tr>
      <w:tr w:rsidR="007F181B" w:rsidRPr="00D46D1A">
        <w:trPr>
          <w:trHeight w:val="691"/>
        </w:trPr>
        <w:tc>
          <w:tcPr>
            <w:tcW w:w="3105" w:type="dxa"/>
          </w:tcPr>
          <w:p w:rsidR="007F181B" w:rsidRPr="00D46D1A" w:rsidRDefault="007F181B" w:rsidP="007F6CEE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>Датум на доставување на нацрт Извештајот до</w:t>
            </w:r>
            <w:r w:rsidR="001D3748"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 w:rsidR="001D3748" w:rsidRPr="00D46D1A">
              <w:rPr>
                <w:rFonts w:ascii="StobiSerif Regular" w:hAnsi="StobiSerif Regular"/>
                <w:sz w:val="22"/>
                <w:szCs w:val="22"/>
                <w:lang w:val="ru-RU"/>
              </w:rPr>
              <w:t>Министерството за информатичко општество и администрација</w:t>
            </w:r>
            <w:r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>:</w:t>
            </w:r>
          </w:p>
        </w:tc>
        <w:tc>
          <w:tcPr>
            <w:tcW w:w="6196" w:type="dxa"/>
          </w:tcPr>
          <w:p w:rsidR="007F181B" w:rsidRPr="00D46D1A" w:rsidRDefault="007F181B" w:rsidP="007F6CEE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7F181B" w:rsidRPr="00D46D1A">
        <w:trPr>
          <w:trHeight w:val="622"/>
        </w:trPr>
        <w:tc>
          <w:tcPr>
            <w:tcW w:w="3105" w:type="dxa"/>
          </w:tcPr>
          <w:p w:rsidR="007F181B" w:rsidRPr="00D46D1A" w:rsidRDefault="007F181B" w:rsidP="00C53BBF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Датум на </w:t>
            </w:r>
            <w:r w:rsidR="00C53BBF"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добивање </w:t>
            </w:r>
            <w:r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на мислењето од </w:t>
            </w:r>
            <w:r w:rsidR="001D3748" w:rsidRPr="00D46D1A">
              <w:rPr>
                <w:rFonts w:ascii="StobiSerif Regular" w:hAnsi="StobiSerif Regular"/>
                <w:sz w:val="22"/>
                <w:szCs w:val="22"/>
                <w:lang w:val="ru-RU"/>
              </w:rPr>
              <w:t>Министерството за информатичко општество и администрација</w:t>
            </w:r>
            <w:r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>:</w:t>
            </w:r>
          </w:p>
        </w:tc>
        <w:tc>
          <w:tcPr>
            <w:tcW w:w="6196" w:type="dxa"/>
          </w:tcPr>
          <w:p w:rsidR="007F181B" w:rsidRPr="00D46D1A" w:rsidRDefault="007F181B" w:rsidP="007F6CEE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7F181B" w:rsidRPr="00D46D1A">
        <w:trPr>
          <w:trHeight w:val="951"/>
        </w:trPr>
        <w:tc>
          <w:tcPr>
            <w:tcW w:w="3105" w:type="dxa"/>
          </w:tcPr>
          <w:p w:rsidR="007F181B" w:rsidRPr="00D46D1A" w:rsidRDefault="007F181B" w:rsidP="00F66307">
            <w:pPr>
              <w:rPr>
                <w:rFonts w:ascii="StobiSerif Regular" w:hAnsi="StobiSerif Regular"/>
                <w:sz w:val="22"/>
                <w:szCs w:val="22"/>
                <w:highlight w:val="yellow"/>
                <w:lang w:val="mk-MK"/>
              </w:rPr>
            </w:pPr>
            <w:r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lastRenderedPageBreak/>
              <w:t>Рок за доставување на предлог</w:t>
            </w:r>
            <w:r w:rsidR="00F66307"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>от</w:t>
            </w:r>
            <w:r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 w:rsidR="00B413F0"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на </w:t>
            </w:r>
            <w:r w:rsidRPr="00D46D1A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закон до Генералниот секретаријат  </w:t>
            </w:r>
          </w:p>
        </w:tc>
        <w:tc>
          <w:tcPr>
            <w:tcW w:w="6196" w:type="dxa"/>
          </w:tcPr>
          <w:p w:rsidR="007F181B" w:rsidRPr="00D46D1A" w:rsidRDefault="007F181B" w:rsidP="0094292C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</w:tbl>
    <w:p w:rsidR="005B3F3C" w:rsidRDefault="005B3F3C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</w:p>
    <w:p w:rsidR="00A93BFD" w:rsidRPr="00D46D1A" w:rsidRDefault="00A93BFD" w:rsidP="00072558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</w:p>
    <w:p w:rsidR="00DD75F6" w:rsidRPr="00D46D1A" w:rsidRDefault="00DD75F6" w:rsidP="00DD75F6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ru-RU"/>
        </w:rPr>
      </w:pPr>
      <w:r w:rsidRPr="00A93BFD">
        <w:rPr>
          <w:rFonts w:ascii="StobiSerif Regular" w:hAnsi="StobiSerif Regular"/>
          <w:b/>
          <w:sz w:val="22"/>
          <w:szCs w:val="22"/>
          <w:lang w:val="mk-MK"/>
        </w:rPr>
        <w:t>1.</w:t>
      </w:r>
      <w:r w:rsidRPr="00A93BFD">
        <w:rPr>
          <w:rFonts w:ascii="StobiSerif Regular" w:hAnsi="StobiSerif Regular"/>
          <w:b/>
          <w:sz w:val="22"/>
          <w:szCs w:val="22"/>
          <w:lang w:val="mk-MK"/>
        </w:rPr>
        <w:tab/>
        <w:t>Опис на состојбите во областа и дефинирање на проблемот</w:t>
      </w:r>
    </w:p>
    <w:p w:rsidR="00DD75F6" w:rsidRPr="00D46D1A" w:rsidRDefault="00DD75F6" w:rsidP="00DD75F6">
      <w:pPr>
        <w:jc w:val="both"/>
        <w:rPr>
          <w:rFonts w:ascii="StobiSerif Regular" w:eastAsia="Calibri" w:hAnsi="StobiSerif Regular" w:cs="Calibri"/>
          <w:b/>
          <w:i/>
          <w:sz w:val="22"/>
          <w:szCs w:val="22"/>
          <w:lang w:val="mk-MK"/>
        </w:rPr>
      </w:pP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>1.1</w:t>
      </w: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ab/>
      </w:r>
      <w:r w:rsidRPr="00D46D1A">
        <w:rPr>
          <w:rFonts w:ascii="StobiSerif Regular" w:eastAsia="Calibri" w:hAnsi="StobiSerif Regular" w:cs="Calibri"/>
          <w:b/>
          <w:i/>
          <w:sz w:val="22"/>
          <w:szCs w:val="22"/>
          <w:lang w:val="mk-MK"/>
        </w:rPr>
        <w:t>Опис на состојбите</w:t>
      </w:r>
    </w:p>
    <w:p w:rsidR="00BB2598" w:rsidRDefault="00A93BFD" w:rsidP="00BB2598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A93BFD">
        <w:rPr>
          <w:rFonts w:ascii="StobiSerif Regular" w:hAnsi="StobiSerif Regular" w:cs="StobiSerif Regular"/>
          <w:sz w:val="22"/>
          <w:szCs w:val="22"/>
          <w:lang w:val="mk-MK"/>
        </w:rPr>
        <w:t xml:space="preserve">Мрежата и информациските системи, а пред сè интернетот, играат суштинска улога во олеснувањето на прекуграничното движење на стоки, услуги и луѓе. Поради таа транснационална природа, значителни нарушувања на овие системи, без разлика дали се намерни или ненамерни и без оглед каде се случуваат, може да влијаат и врз Република </w:t>
      </w:r>
      <w:r w:rsidR="006B7173">
        <w:rPr>
          <w:rFonts w:ascii="StobiSerif Regular" w:hAnsi="StobiSerif Regular" w:cs="StobiSerif Regular"/>
          <w:sz w:val="22"/>
          <w:szCs w:val="22"/>
          <w:lang w:val="mk-MK"/>
        </w:rPr>
        <w:t xml:space="preserve">Северна </w:t>
      </w:r>
      <w:r w:rsidRPr="00A93BFD">
        <w:rPr>
          <w:rFonts w:ascii="StobiSerif Regular" w:hAnsi="StobiSerif Regular" w:cs="StobiSerif Regular"/>
          <w:sz w:val="22"/>
          <w:szCs w:val="22"/>
          <w:lang w:val="mk-MK"/>
        </w:rPr>
        <w:t xml:space="preserve">Македонија. Затоа, безбедноста на мрежните и информациските системи е од суштинско значење за непречено функционирање на внатрешниот пазар. Имајќи предвид дека во Република </w:t>
      </w:r>
      <w:r w:rsidR="006B7173">
        <w:rPr>
          <w:rFonts w:ascii="StobiSerif Regular" w:hAnsi="StobiSerif Regular" w:cs="StobiSerif Regular"/>
          <w:sz w:val="22"/>
          <w:szCs w:val="22"/>
          <w:lang w:val="mk-MK"/>
        </w:rPr>
        <w:t xml:space="preserve">Северна </w:t>
      </w:r>
      <w:r w:rsidRPr="00A93BFD">
        <w:rPr>
          <w:rFonts w:ascii="StobiSerif Regular" w:hAnsi="StobiSerif Regular" w:cs="StobiSerif Regular"/>
          <w:sz w:val="22"/>
          <w:szCs w:val="22"/>
          <w:lang w:val="mk-MK"/>
        </w:rPr>
        <w:t>Македонија отсуствува правна регулатива во оваа област, се наметна потребата за изготвување на овој закон. Дополнително, со истиот се транспонира Директивата (ЕУ) 2016/1148 на Европскиот парламент и на Советот од 6 јули 2016 година во однос на мерки за висок општ степен на безбедност на мрежа и информациски системи низ Унијата, односно НИС Директивата.</w:t>
      </w:r>
    </w:p>
    <w:p w:rsidR="00A93BFD" w:rsidRPr="00D46D1A" w:rsidRDefault="00A93BFD" w:rsidP="00BB2598">
      <w:pPr>
        <w:ind w:firstLine="720"/>
        <w:jc w:val="both"/>
        <w:rPr>
          <w:rFonts w:ascii="StobiSerif Regular" w:hAnsi="StobiSerif Regular" w:cs="Arial"/>
          <w:color w:val="FF0000"/>
          <w:sz w:val="22"/>
          <w:szCs w:val="22"/>
          <w:lang w:val="mk-MK"/>
        </w:rPr>
      </w:pPr>
    </w:p>
    <w:p w:rsidR="00DD75F6" w:rsidRPr="00D46D1A" w:rsidRDefault="00DD75F6" w:rsidP="00DD75F6">
      <w:pPr>
        <w:shd w:val="clear" w:color="auto" w:fill="CCFFFF"/>
        <w:tabs>
          <w:tab w:val="left" w:pos="675"/>
        </w:tabs>
        <w:rPr>
          <w:rFonts w:ascii="StobiSerif Regular" w:hAnsi="StobiSerif Regular" w:cs="Calibri"/>
          <w:b/>
          <w:i/>
          <w:sz w:val="22"/>
          <w:szCs w:val="22"/>
          <w:lang w:val="mk-MK"/>
        </w:rPr>
      </w:pPr>
      <w:r w:rsidRPr="00D46D1A">
        <w:rPr>
          <w:rFonts w:ascii="StobiSerif Regular" w:hAnsi="StobiSerif Regular"/>
          <w:b/>
          <w:sz w:val="22"/>
          <w:szCs w:val="22"/>
          <w:lang w:val="mk-MK"/>
        </w:rPr>
        <w:t xml:space="preserve">2. </w:t>
      </w:r>
      <w:r w:rsidRPr="00D46D1A">
        <w:rPr>
          <w:rFonts w:ascii="StobiSerif Regular" w:hAnsi="StobiSerif Regular"/>
          <w:b/>
          <w:sz w:val="22"/>
          <w:szCs w:val="22"/>
          <w:lang w:val="mk-MK"/>
        </w:rPr>
        <w:tab/>
        <w:t>Цели на предлог регулативата</w:t>
      </w:r>
    </w:p>
    <w:p w:rsidR="00CB165B" w:rsidRDefault="00CB165B" w:rsidP="00DD75F6">
      <w:pPr>
        <w:ind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CB165B" w:rsidRDefault="00CB165B" w:rsidP="00DD75F6">
      <w:pPr>
        <w:ind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CB165B">
        <w:rPr>
          <w:rFonts w:ascii="StobiSerif Regular" w:hAnsi="StobiSerif Regular" w:cs="Arial"/>
          <w:sz w:val="22"/>
          <w:szCs w:val="22"/>
          <w:lang w:val="mk-MK"/>
        </w:rPr>
        <w:t xml:space="preserve">Ефикасно справување со предизвиците на безбедноста на мрежите и информациските системи во Република </w:t>
      </w:r>
      <w:r w:rsidR="006B7173">
        <w:rPr>
          <w:rFonts w:ascii="StobiSerif Regular" w:hAnsi="StobiSerif Regular" w:cs="Arial"/>
          <w:sz w:val="22"/>
          <w:szCs w:val="22"/>
          <w:lang w:val="mk-MK"/>
        </w:rPr>
        <w:t xml:space="preserve">Северна </w:t>
      </w:r>
      <w:r w:rsidRPr="00CB165B">
        <w:rPr>
          <w:rFonts w:ascii="StobiSerif Regular" w:hAnsi="StobiSerif Regular" w:cs="Arial"/>
          <w:sz w:val="22"/>
          <w:szCs w:val="22"/>
          <w:lang w:val="mk-MK"/>
        </w:rPr>
        <w:t>Македонија, во смисла на заеднички минимални капацитети за градење и планирање, размена на информации, соработка и заеднички безбедносни барања од областа на ИКТ.</w:t>
      </w:r>
    </w:p>
    <w:p w:rsidR="00CB165B" w:rsidRPr="00D46D1A" w:rsidRDefault="00CB165B" w:rsidP="00DD75F6">
      <w:pPr>
        <w:ind w:firstLine="36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:rsidR="00DD75F6" w:rsidRPr="00D46D1A" w:rsidRDefault="00DD75F6" w:rsidP="00DD75F6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D46D1A">
        <w:rPr>
          <w:rFonts w:ascii="StobiSerif Regular" w:hAnsi="StobiSerif Regular"/>
          <w:b/>
          <w:sz w:val="22"/>
          <w:szCs w:val="22"/>
          <w:lang w:val="mk-MK"/>
        </w:rPr>
        <w:t>3.</w:t>
      </w:r>
      <w:r w:rsidRPr="00D46D1A">
        <w:rPr>
          <w:rFonts w:ascii="StobiSerif Regular" w:hAnsi="StobiSerif Regular"/>
          <w:b/>
          <w:sz w:val="22"/>
          <w:szCs w:val="22"/>
          <w:lang w:val="mk-MK"/>
        </w:rPr>
        <w:tab/>
        <w:t>Можни решенија (опции)</w:t>
      </w:r>
    </w:p>
    <w:p w:rsidR="00DD75F6" w:rsidRPr="00D46D1A" w:rsidRDefault="00DD75F6" w:rsidP="00202190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D46D1A">
        <w:rPr>
          <w:rFonts w:ascii="StobiSerif Regular" w:hAnsi="StobiSerif Regular"/>
          <w:b/>
          <w:sz w:val="22"/>
          <w:szCs w:val="22"/>
          <w:lang w:val="mk-MK"/>
        </w:rPr>
        <w:t>Проценка на влијанијата на регулативата</w:t>
      </w:r>
    </w:p>
    <w:p w:rsidR="00DD75F6" w:rsidRPr="00D46D1A" w:rsidRDefault="00DD75F6" w:rsidP="00DD75F6">
      <w:pPr>
        <w:jc w:val="both"/>
        <w:rPr>
          <w:rFonts w:ascii="StobiSerif Regular" w:hAnsi="StobiSerif Regular"/>
          <w:b/>
          <w:i/>
          <w:sz w:val="22"/>
          <w:szCs w:val="22"/>
          <w:lang w:val="mk-MK"/>
        </w:rPr>
      </w:pPr>
      <w:r w:rsidRPr="00D46D1A">
        <w:rPr>
          <w:rFonts w:ascii="StobiSerif Regular" w:hAnsi="StobiSerif Regular"/>
          <w:sz w:val="22"/>
          <w:szCs w:val="22"/>
          <w:lang w:val="mk-MK"/>
        </w:rPr>
        <w:tab/>
      </w: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>Можни позитивни и негативни влијанија од секоја од опциите:</w:t>
      </w:r>
    </w:p>
    <w:p w:rsidR="00DD75F6" w:rsidRPr="00D46D1A" w:rsidRDefault="00DD75F6" w:rsidP="00DD75F6">
      <w:pPr>
        <w:ind w:firstLine="720"/>
        <w:jc w:val="both"/>
        <w:rPr>
          <w:rFonts w:ascii="StobiSerif Regular" w:hAnsi="StobiSerif Regular"/>
          <w:b/>
          <w:i/>
          <w:sz w:val="22"/>
          <w:szCs w:val="22"/>
          <w:lang w:val="mk-MK"/>
        </w:rPr>
      </w:pP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>4.1</w:t>
      </w: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ab/>
        <w:t xml:space="preserve">Економски влијанија </w:t>
      </w:r>
    </w:p>
    <w:p w:rsidR="00DD75F6" w:rsidRPr="00D46D1A" w:rsidRDefault="00DD75F6" w:rsidP="00DD75F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46D1A">
        <w:rPr>
          <w:rFonts w:ascii="StobiSerif Regular" w:hAnsi="StobiSerif Regular"/>
          <w:i/>
          <w:sz w:val="22"/>
          <w:szCs w:val="22"/>
          <w:lang w:val="mk-MK"/>
        </w:rPr>
        <w:tab/>
      </w:r>
      <w:r w:rsidRPr="00D46D1A">
        <w:rPr>
          <w:rFonts w:ascii="StobiSerif Regular" w:hAnsi="StobiSerif Regular"/>
          <w:sz w:val="22"/>
          <w:szCs w:val="22"/>
          <w:lang w:val="mk-MK"/>
        </w:rPr>
        <w:t xml:space="preserve">Понудената опција </w:t>
      </w:r>
      <w:r w:rsidR="00A1365D">
        <w:rPr>
          <w:rFonts w:ascii="StobiSerif Regular" w:hAnsi="StobiSerif Regular"/>
          <w:sz w:val="22"/>
          <w:szCs w:val="22"/>
          <w:lang w:val="mk-MK"/>
        </w:rPr>
        <w:t>не би требало</w:t>
      </w:r>
      <w:r w:rsidRPr="00D46D1A">
        <w:rPr>
          <w:rFonts w:ascii="StobiSerif Regular" w:hAnsi="StobiSerif Regular"/>
          <w:sz w:val="22"/>
          <w:szCs w:val="22"/>
          <w:lang w:val="mk-MK"/>
        </w:rPr>
        <w:t xml:space="preserve"> да предизвика трошоци за економијата во областа на </w:t>
      </w:r>
      <w:r w:rsidR="00474557">
        <w:rPr>
          <w:rFonts w:ascii="StobiSerif Regular" w:hAnsi="StobiSerif Regular"/>
          <w:sz w:val="22"/>
          <w:szCs w:val="22"/>
          <w:lang w:val="mk-MK"/>
        </w:rPr>
        <w:t xml:space="preserve">вработувањето и конкурентноста и </w:t>
      </w:r>
      <w:r w:rsidRPr="00474557">
        <w:rPr>
          <w:rFonts w:ascii="StobiSerif Regular" w:hAnsi="StobiSerif Regular"/>
          <w:sz w:val="22"/>
          <w:szCs w:val="22"/>
          <w:lang w:val="mk-MK"/>
        </w:rPr>
        <w:t>нема да има влијание врз малите и средни претпријатија и други економски субјекти.</w:t>
      </w:r>
      <w:r w:rsidRPr="00D46D1A">
        <w:rPr>
          <w:rFonts w:ascii="StobiSerif Regular" w:hAnsi="StobiSerif Regular"/>
          <w:sz w:val="22"/>
          <w:szCs w:val="22"/>
          <w:lang w:val="mk-MK"/>
        </w:rPr>
        <w:t xml:space="preserve">  </w:t>
      </w:r>
    </w:p>
    <w:p w:rsidR="00DD75F6" w:rsidRPr="00D46D1A" w:rsidRDefault="00DD75F6" w:rsidP="00DD75F6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:rsidR="00DD75F6" w:rsidRPr="00D46D1A" w:rsidRDefault="00DD75F6" w:rsidP="00DD75F6">
      <w:pPr>
        <w:numPr>
          <w:ilvl w:val="8"/>
          <w:numId w:val="6"/>
        </w:numPr>
        <w:jc w:val="both"/>
        <w:rPr>
          <w:rFonts w:ascii="StobiSerif Regular" w:hAnsi="StobiSerif Regular"/>
          <w:b/>
          <w:i/>
          <w:sz w:val="22"/>
          <w:szCs w:val="22"/>
          <w:lang w:val="mk-MK"/>
        </w:rPr>
      </w:pPr>
      <w:r w:rsidRPr="00D46D1A">
        <w:rPr>
          <w:rFonts w:ascii="StobiSerif Regular" w:hAnsi="StobiSerif Regular"/>
          <w:b/>
          <w:i/>
          <w:sz w:val="22"/>
          <w:szCs w:val="22"/>
          <w:lang w:val="en-US"/>
        </w:rPr>
        <w:t xml:space="preserve">4.2  </w:t>
      </w: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 xml:space="preserve">Фискални влијанија </w:t>
      </w:r>
    </w:p>
    <w:p w:rsidR="00DD75F6" w:rsidRPr="00D46D1A" w:rsidRDefault="00DD75F6" w:rsidP="00DD75F6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46D1A">
        <w:rPr>
          <w:rFonts w:ascii="StobiSerif Regular" w:hAnsi="StobiSerif Regular"/>
          <w:sz w:val="22"/>
          <w:szCs w:val="22"/>
          <w:lang w:val="mk-MK"/>
        </w:rPr>
        <w:t xml:space="preserve">За усвојување на предложениот закон се потребни дополнителни фискални средства. </w:t>
      </w:r>
    </w:p>
    <w:p w:rsidR="002010C1" w:rsidRPr="00D46D1A" w:rsidRDefault="002010C1" w:rsidP="00BB2598">
      <w:pPr>
        <w:jc w:val="both"/>
        <w:rPr>
          <w:rFonts w:ascii="StobiSerif Regular" w:hAnsi="StobiSerif Regular"/>
          <w:b/>
          <w:i/>
          <w:sz w:val="22"/>
          <w:szCs w:val="22"/>
          <w:lang w:val="mk-MK"/>
        </w:rPr>
      </w:pPr>
    </w:p>
    <w:p w:rsidR="00DD75F6" w:rsidRPr="00D46D1A" w:rsidRDefault="00BB2598" w:rsidP="00BB2598">
      <w:pPr>
        <w:jc w:val="both"/>
        <w:rPr>
          <w:rFonts w:ascii="StobiSerif Regular" w:hAnsi="StobiSerif Regular"/>
          <w:b/>
          <w:i/>
          <w:sz w:val="22"/>
          <w:szCs w:val="22"/>
          <w:lang w:val="mk-MK"/>
        </w:rPr>
      </w:pP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 xml:space="preserve">      4.3  </w:t>
      </w:r>
      <w:r w:rsidR="00DD75F6" w:rsidRPr="00D46D1A">
        <w:rPr>
          <w:rFonts w:ascii="StobiSerif Regular" w:hAnsi="StobiSerif Regular"/>
          <w:b/>
          <w:i/>
          <w:sz w:val="22"/>
          <w:szCs w:val="22"/>
          <w:lang w:val="mk-MK"/>
        </w:rPr>
        <w:t xml:space="preserve">Социјални влијанија </w:t>
      </w:r>
    </w:p>
    <w:p w:rsidR="00DD75F6" w:rsidRPr="00D46D1A" w:rsidRDefault="00DD75F6" w:rsidP="00DD75F6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D46D1A">
        <w:rPr>
          <w:rFonts w:ascii="StobiSerif Regular" w:hAnsi="StobiSerif Regular"/>
          <w:sz w:val="22"/>
          <w:szCs w:val="22"/>
          <w:lang w:val="mk-MK"/>
        </w:rPr>
        <w:t xml:space="preserve">Предложените </w:t>
      </w:r>
      <w:r w:rsidR="00474557">
        <w:rPr>
          <w:rFonts w:ascii="StobiSerif Regular" w:hAnsi="StobiSerif Regular"/>
          <w:sz w:val="22"/>
          <w:szCs w:val="22"/>
          <w:lang w:val="mk-MK"/>
        </w:rPr>
        <w:t>решенија</w:t>
      </w:r>
      <w:r w:rsidRPr="00D46D1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3321A">
        <w:rPr>
          <w:rFonts w:ascii="StobiSerif Regular" w:hAnsi="StobiSerif Regular"/>
          <w:sz w:val="22"/>
          <w:szCs w:val="22"/>
          <w:lang w:val="mk-MK"/>
        </w:rPr>
        <w:t>ќе</w:t>
      </w:r>
      <w:r w:rsidRPr="00D46D1A">
        <w:rPr>
          <w:rFonts w:ascii="StobiSerif Regular" w:hAnsi="StobiSerif Regular"/>
          <w:sz w:val="22"/>
          <w:szCs w:val="22"/>
          <w:lang w:val="mk-MK"/>
        </w:rPr>
        <w:t xml:space="preserve"> влијааат врз заштитата и уна</w:t>
      </w:r>
      <w:r w:rsidR="0093321A">
        <w:rPr>
          <w:rFonts w:ascii="StobiSerif Regular" w:hAnsi="StobiSerif Regular"/>
          <w:sz w:val="22"/>
          <w:szCs w:val="22"/>
          <w:lang w:val="mk-MK"/>
        </w:rPr>
        <w:t xml:space="preserve">предувањето на човековите права, во смисла на обезбедување на мерки за заштита на лични податоци кои </w:t>
      </w:r>
      <w:r w:rsidR="00235EB2">
        <w:rPr>
          <w:rFonts w:ascii="StobiSerif Regular" w:hAnsi="StobiSerif Regular"/>
          <w:sz w:val="22"/>
          <w:szCs w:val="22"/>
          <w:lang w:val="mk-MK"/>
        </w:rPr>
        <w:t xml:space="preserve">би можело да </w:t>
      </w:r>
      <w:r w:rsidR="0093321A">
        <w:rPr>
          <w:rFonts w:ascii="StobiSerif Regular" w:hAnsi="StobiSerif Regular"/>
          <w:sz w:val="22"/>
          <w:szCs w:val="22"/>
          <w:lang w:val="mk-MK"/>
        </w:rPr>
        <w:t>се разменуваат со користење на информациско комуникациските технологии</w:t>
      </w:r>
      <w:r w:rsidRPr="00D46D1A"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DD75F6" w:rsidRPr="00531CA7" w:rsidRDefault="00DD75F6" w:rsidP="00DD75F6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ru-RU"/>
        </w:rPr>
      </w:pPr>
    </w:p>
    <w:p w:rsidR="00DD75F6" w:rsidRPr="00D46D1A" w:rsidRDefault="00BB2598" w:rsidP="00BB2598">
      <w:pPr>
        <w:jc w:val="both"/>
        <w:rPr>
          <w:rFonts w:ascii="StobiSerif Regular" w:hAnsi="StobiSerif Regular"/>
          <w:b/>
          <w:i/>
          <w:sz w:val="22"/>
          <w:szCs w:val="22"/>
          <w:lang w:val="mk-MK"/>
        </w:rPr>
      </w:pPr>
      <w:r w:rsidRPr="00D46D1A">
        <w:rPr>
          <w:rFonts w:ascii="StobiSerif Regular" w:hAnsi="StobiSerif Regular"/>
          <w:i/>
          <w:sz w:val="22"/>
          <w:szCs w:val="22"/>
          <w:lang w:val="mk-MK"/>
        </w:rPr>
        <w:lastRenderedPageBreak/>
        <w:t xml:space="preserve">   </w:t>
      </w: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 xml:space="preserve">4.4      </w:t>
      </w:r>
      <w:r w:rsidR="00DD75F6" w:rsidRPr="00D46D1A">
        <w:rPr>
          <w:rFonts w:ascii="StobiSerif Regular" w:hAnsi="StobiSerif Regular"/>
          <w:b/>
          <w:i/>
          <w:sz w:val="22"/>
          <w:szCs w:val="22"/>
          <w:lang w:val="mk-MK"/>
        </w:rPr>
        <w:t xml:space="preserve">Влијанија врз животната средина </w:t>
      </w:r>
    </w:p>
    <w:p w:rsidR="00DD75F6" w:rsidRPr="00D46D1A" w:rsidRDefault="00DD75F6" w:rsidP="00DD75F6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46D1A">
        <w:rPr>
          <w:rFonts w:ascii="StobiSerif Regular" w:hAnsi="StobiSerif Regular"/>
          <w:sz w:val="22"/>
          <w:szCs w:val="22"/>
          <w:lang w:val="mk-MK"/>
        </w:rPr>
        <w:t xml:space="preserve">Со предложените решенија нема да се влијае врз воздухот, почвата, нема да има ефект на стаклена градина, бучава, био-диверзитет, а со тоа што нема влијание врз наведените делови на природата, нема да има ниту директно или индиректно влијание врз здравјето на луѓето.  </w:t>
      </w:r>
    </w:p>
    <w:p w:rsidR="00DD75F6" w:rsidRPr="00D46D1A" w:rsidRDefault="00DD75F6" w:rsidP="00DD75F6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:rsidR="00DD75F6" w:rsidRPr="00D46D1A" w:rsidRDefault="00DD75F6" w:rsidP="00DD75F6">
      <w:pPr>
        <w:ind w:firstLine="720"/>
        <w:jc w:val="both"/>
        <w:rPr>
          <w:rFonts w:ascii="StobiSerif Regular" w:hAnsi="StobiSerif Regular"/>
          <w:b/>
          <w:i/>
          <w:sz w:val="22"/>
          <w:szCs w:val="22"/>
          <w:lang w:val="mk-MK"/>
        </w:rPr>
      </w:pP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>4.5</w:t>
      </w: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ab/>
        <w:t>Админи</w:t>
      </w:r>
      <w:r w:rsidR="00235EB2">
        <w:rPr>
          <w:rFonts w:ascii="StobiSerif Regular" w:hAnsi="StobiSerif Regular"/>
          <w:b/>
          <w:i/>
          <w:sz w:val="22"/>
          <w:szCs w:val="22"/>
          <w:lang w:val="mk-MK"/>
        </w:rPr>
        <w:t xml:space="preserve">стративни влијанија и трошоци </w:t>
      </w:r>
    </w:p>
    <w:p w:rsidR="00DD75F6" w:rsidRPr="00D46D1A" w:rsidRDefault="00DD75F6" w:rsidP="00D46D1A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D46D1A">
        <w:rPr>
          <w:rFonts w:ascii="StobiSerif Regular" w:hAnsi="StobiSerif Regular"/>
          <w:i/>
          <w:sz w:val="22"/>
          <w:szCs w:val="22"/>
          <w:lang w:val="mk-MK"/>
        </w:rPr>
        <w:tab/>
      </w:r>
      <w:r w:rsidRPr="00D46D1A">
        <w:rPr>
          <w:rFonts w:ascii="StobiSerif Regular" w:hAnsi="StobiSerif Regular"/>
          <w:b/>
          <w:sz w:val="22"/>
          <w:szCs w:val="22"/>
          <w:lang w:val="mk-MK"/>
        </w:rPr>
        <w:t>а) трошоци за спроведување</w:t>
      </w:r>
    </w:p>
    <w:p w:rsidR="00DD75F6" w:rsidRPr="00D46D1A" w:rsidRDefault="00DD75F6" w:rsidP="00DD75F6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46D1A">
        <w:rPr>
          <w:rFonts w:ascii="StobiSerif Regular" w:hAnsi="StobiSerif Regular"/>
          <w:sz w:val="22"/>
          <w:szCs w:val="22"/>
          <w:lang w:val="mk-MK"/>
        </w:rPr>
        <w:t xml:space="preserve">За имплементација на наведениот закон, се потребни нови човечки ресурси и нивна обука, </w:t>
      </w:r>
      <w:r w:rsidR="00A1365D">
        <w:rPr>
          <w:rFonts w:ascii="StobiSerif Regular" w:hAnsi="StobiSerif Regular"/>
          <w:sz w:val="22"/>
          <w:szCs w:val="22"/>
          <w:lang w:val="mk-MK"/>
        </w:rPr>
        <w:t>а можно е да се јави потреба и</w:t>
      </w:r>
      <w:r w:rsidRPr="00D46D1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1365D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Pr="00D46D1A">
        <w:rPr>
          <w:rFonts w:ascii="StobiSerif Regular" w:hAnsi="StobiSerif Regular"/>
          <w:sz w:val="22"/>
          <w:szCs w:val="22"/>
          <w:lang w:val="mk-MK"/>
        </w:rPr>
        <w:t xml:space="preserve">дополнителни инвестиции во канцелариски простор, опрема и слично.   </w:t>
      </w:r>
    </w:p>
    <w:p w:rsidR="00DD75F6" w:rsidRPr="00D46D1A" w:rsidRDefault="00DD75F6" w:rsidP="00DD75F6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:rsidR="00DD75F6" w:rsidRPr="00D46D1A" w:rsidRDefault="00DD75F6" w:rsidP="00DD75F6">
      <w:pPr>
        <w:ind w:left="720"/>
        <w:jc w:val="both"/>
        <w:rPr>
          <w:rFonts w:ascii="StobiSerif Regular" w:hAnsi="StobiSerif Regular"/>
          <w:b/>
          <w:i/>
          <w:sz w:val="22"/>
          <w:szCs w:val="22"/>
          <w:lang w:val="mk-MK"/>
        </w:rPr>
      </w:pP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>б)</w:t>
      </w:r>
      <w:r w:rsidR="00BB2598" w:rsidRPr="00D46D1A">
        <w:rPr>
          <w:rFonts w:ascii="StobiSerif Regular" w:hAnsi="StobiSerif Regular"/>
          <w:b/>
          <w:i/>
          <w:sz w:val="22"/>
          <w:szCs w:val="22"/>
          <w:lang w:val="mk-MK"/>
        </w:rPr>
        <w:t xml:space="preserve"> </w:t>
      </w: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 xml:space="preserve">трошоци за почитување на регулативата </w:t>
      </w:r>
    </w:p>
    <w:p w:rsidR="00DD75F6" w:rsidRPr="00D46D1A" w:rsidRDefault="00DD75F6" w:rsidP="00DD75F6">
      <w:pPr>
        <w:jc w:val="both"/>
        <w:rPr>
          <w:rFonts w:ascii="StobiSerif Regular" w:hAnsi="StobiSerif Regular" w:cs="Calibri"/>
          <w:i/>
          <w:iCs/>
          <w:sz w:val="22"/>
          <w:szCs w:val="22"/>
          <w:lang w:val="mk-MK"/>
        </w:rPr>
      </w:pPr>
      <w:r w:rsidRPr="00D46D1A">
        <w:rPr>
          <w:rFonts w:ascii="StobiSerif Regular" w:hAnsi="StobiSerif Regular"/>
          <w:i/>
          <w:sz w:val="22"/>
          <w:szCs w:val="22"/>
          <w:lang w:val="mk-MK"/>
        </w:rPr>
        <w:tab/>
      </w:r>
      <w:r w:rsidRPr="00D46D1A">
        <w:rPr>
          <w:rFonts w:ascii="StobiSerif Regular" w:hAnsi="StobiSerif Regular"/>
          <w:sz w:val="22"/>
          <w:szCs w:val="22"/>
          <w:lang w:val="mk-MK"/>
        </w:rPr>
        <w:t xml:space="preserve">Со предложените законски решенија </w:t>
      </w:r>
      <w:r w:rsidRPr="00D46D1A">
        <w:rPr>
          <w:rFonts w:ascii="StobiSerif Regular" w:hAnsi="StobiSerif Regular" w:cs="Calibri"/>
          <w:iCs/>
          <w:sz w:val="22"/>
          <w:szCs w:val="22"/>
          <w:lang w:val="mk-MK"/>
        </w:rPr>
        <w:t xml:space="preserve">не се </w:t>
      </w:r>
      <w:r w:rsidR="00235EB2">
        <w:rPr>
          <w:rFonts w:ascii="StobiSerif Regular" w:hAnsi="StobiSerif Regular" w:cs="Calibri"/>
          <w:iCs/>
          <w:sz w:val="22"/>
          <w:szCs w:val="22"/>
          <w:lang w:val="mk-MK"/>
        </w:rPr>
        <w:t>очекува</w:t>
      </w:r>
      <w:r w:rsidRPr="00D46D1A">
        <w:rPr>
          <w:rFonts w:ascii="StobiSerif Regular" w:hAnsi="StobiSerif Regular" w:cs="Calibri"/>
          <w:iCs/>
          <w:sz w:val="22"/>
          <w:szCs w:val="22"/>
          <w:lang w:val="mk-MK"/>
        </w:rPr>
        <w:t xml:space="preserve"> воведување на нови административни оптоварувања, формалности и трошоци, односно не се предвидени нови трошоци за издавање на лиценци, дозволи и друго за правните и физичките лица, со што не се влијае врз конкурентноста. </w:t>
      </w:r>
    </w:p>
    <w:p w:rsidR="00DD75F6" w:rsidRPr="00D46D1A" w:rsidRDefault="00DD75F6" w:rsidP="00DD75F6">
      <w:pPr>
        <w:tabs>
          <w:tab w:val="left" w:pos="675"/>
        </w:tabs>
        <w:rPr>
          <w:rFonts w:ascii="StobiSerif Regular" w:hAnsi="StobiSerif Regular" w:cs="Calibri"/>
          <w:i/>
          <w:iCs/>
          <w:sz w:val="22"/>
          <w:szCs w:val="22"/>
          <w:lang w:val="mk-MK"/>
        </w:rPr>
      </w:pPr>
    </w:p>
    <w:p w:rsidR="00DD75F6" w:rsidRPr="00D46D1A" w:rsidRDefault="00DD75F6" w:rsidP="00DD75F6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D46D1A">
        <w:rPr>
          <w:rFonts w:ascii="StobiSerif Regular" w:hAnsi="StobiSerif Regular"/>
          <w:b/>
          <w:sz w:val="22"/>
          <w:szCs w:val="22"/>
          <w:lang w:val="mk-MK"/>
        </w:rPr>
        <w:t>5.</w:t>
      </w:r>
      <w:r w:rsidRPr="00D46D1A">
        <w:rPr>
          <w:rFonts w:ascii="StobiSerif Regular" w:hAnsi="StobiSerif Regular"/>
          <w:b/>
          <w:sz w:val="22"/>
          <w:szCs w:val="22"/>
          <w:lang w:val="mk-MK"/>
        </w:rPr>
        <w:tab/>
        <w:t>Консултации</w:t>
      </w:r>
    </w:p>
    <w:p w:rsidR="00DD75F6" w:rsidRDefault="00DD75F6" w:rsidP="00DD75F6">
      <w:pPr>
        <w:ind w:firstLine="720"/>
        <w:jc w:val="both"/>
        <w:rPr>
          <w:rFonts w:ascii="StobiSerif Regular" w:hAnsi="StobiSerif Regular"/>
          <w:b/>
          <w:i/>
          <w:sz w:val="22"/>
          <w:szCs w:val="22"/>
          <w:lang w:val="mk-MK"/>
        </w:rPr>
      </w:pP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>5.1</w:t>
      </w: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ab/>
        <w:t xml:space="preserve">Засегнати страни и начин на вклучување </w:t>
      </w:r>
    </w:p>
    <w:p w:rsidR="00FF4AEF" w:rsidRPr="00D46D1A" w:rsidRDefault="00FF4AEF" w:rsidP="00DD75F6">
      <w:pPr>
        <w:ind w:firstLine="720"/>
        <w:jc w:val="both"/>
        <w:rPr>
          <w:rFonts w:ascii="StobiSerif Regular" w:hAnsi="StobiSerif Regular"/>
          <w:b/>
          <w:i/>
          <w:sz w:val="22"/>
          <w:szCs w:val="22"/>
          <w:lang w:val="mk-MK"/>
        </w:rPr>
      </w:pPr>
    </w:p>
    <w:p w:rsidR="00FF4AEF" w:rsidRDefault="00BB2598" w:rsidP="00FF4AEF">
      <w:pPr>
        <w:tabs>
          <w:tab w:val="left" w:pos="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46D1A">
        <w:rPr>
          <w:rFonts w:ascii="StobiSerif Regular" w:hAnsi="StobiSerif Regular" w:cs="Arial"/>
          <w:sz w:val="22"/>
          <w:szCs w:val="22"/>
          <w:lang w:val="mk-MK"/>
        </w:rPr>
        <w:tab/>
      </w:r>
      <w:r w:rsidR="00FF4AEF" w:rsidRPr="00FF4AEF">
        <w:rPr>
          <w:rFonts w:ascii="StobiSerif Regular" w:hAnsi="StobiSerif Regular" w:cs="Arial"/>
          <w:sz w:val="22"/>
          <w:szCs w:val="22"/>
          <w:lang w:val="mk-MK"/>
        </w:rPr>
        <w:t>Транспонирањето на НИС директивата, односно Законот за безбедност на мрежи и информациски системи произлегува од веќе усвоената Национална стратегија за сајбер безбедност на Република Македонија</w:t>
      </w:r>
      <w:r w:rsidR="00364142">
        <w:rPr>
          <w:rFonts w:ascii="StobiSerif Regular" w:hAnsi="StobiSerif Regular" w:cs="Arial"/>
          <w:sz w:val="22"/>
          <w:szCs w:val="22"/>
          <w:lang w:val="mk-MK"/>
        </w:rPr>
        <w:t xml:space="preserve"> (2018-2022)</w:t>
      </w:r>
      <w:r w:rsidR="00FF4AEF" w:rsidRPr="00FF4AEF">
        <w:rPr>
          <w:rFonts w:ascii="StobiSerif Regular" w:hAnsi="StobiSerif Regular" w:cs="Arial"/>
          <w:sz w:val="22"/>
          <w:szCs w:val="22"/>
          <w:lang w:val="mk-MK"/>
        </w:rPr>
        <w:t xml:space="preserve">. </w:t>
      </w:r>
      <w:r w:rsidR="00FF4AEF">
        <w:rPr>
          <w:rFonts w:ascii="StobiSerif Regular" w:hAnsi="StobiSerif Regular" w:cs="Arial"/>
          <w:sz w:val="22"/>
          <w:szCs w:val="22"/>
          <w:lang w:val="mk-MK"/>
        </w:rPr>
        <w:t xml:space="preserve">Оттука, </w:t>
      </w:r>
      <w:r w:rsidR="00FF4AEF" w:rsidRPr="00FF4AEF">
        <w:rPr>
          <w:rFonts w:ascii="StobiSerif Regular" w:hAnsi="StobiSerif Regular" w:cs="Arial"/>
          <w:sz w:val="22"/>
          <w:szCs w:val="22"/>
          <w:lang w:val="mk-MK"/>
        </w:rPr>
        <w:t>работната група задолжена за спроведување на активностите кои</w:t>
      </w:r>
      <w:r w:rsidR="00FF4AEF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="00FF4AEF" w:rsidRPr="00FF4AEF">
        <w:rPr>
          <w:rFonts w:ascii="StobiSerif Regular" w:hAnsi="StobiSerif Regular" w:cs="Arial"/>
          <w:sz w:val="22"/>
          <w:szCs w:val="22"/>
          <w:lang w:val="mk-MK"/>
        </w:rPr>
        <w:t>произлегуваат од стратешките документи за сајбер безбедност</w:t>
      </w:r>
      <w:r w:rsidR="00FF4AEF">
        <w:rPr>
          <w:rFonts w:ascii="StobiSerif Regular" w:hAnsi="StobiSerif Regular" w:cs="Arial"/>
          <w:sz w:val="22"/>
          <w:szCs w:val="22"/>
          <w:lang w:val="mk-MK"/>
        </w:rPr>
        <w:t xml:space="preserve"> е вклучена во процесот на подготовка</w:t>
      </w:r>
      <w:r w:rsidR="00364142">
        <w:rPr>
          <w:rFonts w:ascii="StobiSerif Regular" w:hAnsi="StobiSerif Regular" w:cs="Arial"/>
          <w:sz w:val="22"/>
          <w:szCs w:val="22"/>
          <w:lang w:val="mk-MK"/>
        </w:rPr>
        <w:t>та</w:t>
      </w:r>
      <w:r w:rsidR="00FF4AEF">
        <w:rPr>
          <w:rFonts w:ascii="StobiSerif Regular" w:hAnsi="StobiSerif Regular" w:cs="Arial"/>
          <w:sz w:val="22"/>
          <w:szCs w:val="22"/>
          <w:lang w:val="mk-MK"/>
        </w:rPr>
        <w:t xml:space="preserve"> на овој предлог закон.  </w:t>
      </w:r>
    </w:p>
    <w:p w:rsidR="002010C1" w:rsidRDefault="00474557" w:rsidP="00202190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</w:t>
      </w:r>
    </w:p>
    <w:p w:rsidR="00DD75F6" w:rsidRPr="00D46D1A" w:rsidRDefault="00DD75F6" w:rsidP="002010C1">
      <w:pPr>
        <w:tabs>
          <w:tab w:val="left" w:pos="540"/>
        </w:tabs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 xml:space="preserve">Преглед на добиените и вградените мислења </w:t>
      </w:r>
    </w:p>
    <w:p w:rsidR="006816C4" w:rsidRPr="006816C4" w:rsidRDefault="006816C4" w:rsidP="006816C4">
      <w:pPr>
        <w:autoSpaceDE w:val="0"/>
        <w:spacing w:line="240" w:lineRule="atLeast"/>
        <w:ind w:firstLine="720"/>
        <w:jc w:val="both"/>
        <w:rPr>
          <w:rFonts w:ascii="StobiSerif Regular" w:hAnsi="StobiSerif Regular" w:cs="StobiSerif Regular"/>
          <w:color w:val="000000"/>
          <w:sz w:val="22"/>
          <w:szCs w:val="22"/>
          <w:lang w:val="ru-RU"/>
        </w:rPr>
      </w:pPr>
    </w:p>
    <w:p w:rsidR="00DD75F6" w:rsidRDefault="00DD75F6" w:rsidP="00DD75F6">
      <w:pPr>
        <w:ind w:firstLine="720"/>
        <w:jc w:val="both"/>
        <w:rPr>
          <w:rFonts w:ascii="StobiSerif Regular" w:hAnsi="StobiSerif Regular"/>
          <w:b/>
          <w:i/>
          <w:sz w:val="22"/>
          <w:szCs w:val="22"/>
          <w:lang w:val="mk-MK"/>
        </w:rPr>
      </w:pP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>5.3</w:t>
      </w: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ab/>
        <w:t xml:space="preserve">Мислењата кои не биле земени предвид и зошто </w:t>
      </w:r>
    </w:p>
    <w:p w:rsidR="00364142" w:rsidRDefault="00364142" w:rsidP="00DD75F6">
      <w:pPr>
        <w:ind w:firstLine="720"/>
        <w:jc w:val="both"/>
        <w:rPr>
          <w:rFonts w:ascii="StobiSerif Regular" w:hAnsi="StobiSerif Regular"/>
          <w:b/>
          <w:i/>
          <w:sz w:val="22"/>
          <w:szCs w:val="22"/>
          <w:lang w:val="mk-MK"/>
        </w:rPr>
      </w:pPr>
    </w:p>
    <w:p w:rsidR="009A6201" w:rsidRPr="00474557" w:rsidRDefault="009A6201" w:rsidP="00DD75F6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ru-RU"/>
        </w:rPr>
      </w:pPr>
    </w:p>
    <w:p w:rsidR="00DD75F6" w:rsidRPr="00D46D1A" w:rsidRDefault="00DD75F6" w:rsidP="00DD75F6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D46D1A">
        <w:rPr>
          <w:rFonts w:ascii="StobiSerif Regular" w:hAnsi="StobiSerif Regular"/>
          <w:b/>
          <w:sz w:val="22"/>
          <w:szCs w:val="22"/>
          <w:lang w:val="mk-MK"/>
        </w:rPr>
        <w:t xml:space="preserve">6. </w:t>
      </w:r>
      <w:r w:rsidRPr="00D46D1A">
        <w:rPr>
          <w:rFonts w:ascii="StobiSerif Regular" w:hAnsi="StobiSerif Regular"/>
          <w:b/>
          <w:sz w:val="22"/>
          <w:szCs w:val="22"/>
          <w:lang w:val="mk-MK"/>
        </w:rPr>
        <w:tab/>
        <w:t>Заклучоци и препорачано решение</w:t>
      </w:r>
    </w:p>
    <w:p w:rsidR="00D46D1A" w:rsidRDefault="00DD75F6" w:rsidP="00DD75F6">
      <w:pPr>
        <w:ind w:left="720"/>
        <w:jc w:val="both"/>
        <w:rPr>
          <w:rFonts w:ascii="StobiSerif Regular" w:hAnsi="StobiSerif Regular"/>
          <w:b/>
          <w:i/>
          <w:sz w:val="22"/>
          <w:szCs w:val="22"/>
          <w:lang w:val="mk-MK"/>
        </w:rPr>
      </w:pP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>6.1</w:t>
      </w: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ab/>
        <w:t xml:space="preserve">Споредбен преглед на позитивните и негативните влијанија на </w:t>
      </w:r>
    </w:p>
    <w:p w:rsidR="00DD75F6" w:rsidRPr="00D46D1A" w:rsidRDefault="00DD75F6" w:rsidP="00D46D1A">
      <w:pPr>
        <w:jc w:val="both"/>
        <w:rPr>
          <w:rFonts w:ascii="StobiSerif Regular" w:hAnsi="StobiSerif Regular"/>
          <w:b/>
          <w:i/>
          <w:sz w:val="22"/>
          <w:szCs w:val="22"/>
          <w:lang w:val="mk-MK"/>
        </w:rPr>
      </w:pP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>можните решенија (опции)</w:t>
      </w:r>
    </w:p>
    <w:p w:rsidR="00691D25" w:rsidRDefault="00691D25" w:rsidP="00DD75F6">
      <w:pPr>
        <w:ind w:firstLine="720"/>
        <w:jc w:val="both"/>
        <w:rPr>
          <w:rFonts w:ascii="StobiSerif Regular" w:hAnsi="StobiSerif Regular"/>
          <w:sz w:val="22"/>
          <w:szCs w:val="22"/>
          <w:lang w:val="sl-SI"/>
        </w:rPr>
      </w:pPr>
      <w:r w:rsidRPr="00691D25">
        <w:rPr>
          <w:rFonts w:ascii="StobiSerif Regular" w:hAnsi="StobiSerif Regular"/>
          <w:sz w:val="22"/>
          <w:szCs w:val="22"/>
          <w:lang w:val="sl-SI"/>
        </w:rPr>
        <w:t xml:space="preserve">Целта на овој закон е обезбедување високо заедничко ниво на безбедност и заштита на мрежи и информациски системи заради непрекинато функционирање на внатрешниот пазар, превенција на сајбер безбедносни инциденти или кризи, како и развој на брза и ефективна оперативна соработка за заштита на мрежи и информациски системи. </w:t>
      </w:r>
    </w:p>
    <w:p w:rsidR="00DD75F6" w:rsidRPr="00B35585" w:rsidRDefault="002010C1" w:rsidP="00DD75F6">
      <w:pPr>
        <w:ind w:firstLine="720"/>
        <w:jc w:val="both"/>
        <w:rPr>
          <w:rFonts w:ascii="StobiSerif Regular" w:hAnsi="StobiSerif Regular" w:cs="Times New Roman 852"/>
          <w:sz w:val="22"/>
          <w:szCs w:val="22"/>
          <w:lang w:val="mk-MK"/>
        </w:rPr>
      </w:pPr>
      <w:r w:rsidRPr="00B35585">
        <w:rPr>
          <w:rFonts w:ascii="StobiSerif Regular" w:hAnsi="StobiSerif Regular" w:cs="Times New Roman 852"/>
          <w:sz w:val="22"/>
          <w:szCs w:val="22"/>
          <w:lang w:val="mk-MK"/>
        </w:rPr>
        <w:t xml:space="preserve"> </w:t>
      </w:r>
    </w:p>
    <w:p w:rsidR="00D46D1A" w:rsidRPr="00B35585" w:rsidRDefault="00DD75F6" w:rsidP="00D46D1A">
      <w:pPr>
        <w:numPr>
          <w:ilvl w:val="1"/>
          <w:numId w:val="12"/>
        </w:numPr>
        <w:jc w:val="both"/>
        <w:rPr>
          <w:rFonts w:ascii="StobiSerif Regular" w:hAnsi="StobiSerif Regular"/>
          <w:b/>
          <w:i/>
          <w:sz w:val="22"/>
          <w:szCs w:val="22"/>
          <w:lang w:val="mk-MK"/>
        </w:rPr>
      </w:pPr>
      <w:r w:rsidRPr="00B35585">
        <w:rPr>
          <w:rFonts w:ascii="StobiSerif Regular" w:hAnsi="StobiSerif Regular"/>
          <w:b/>
          <w:i/>
          <w:sz w:val="22"/>
          <w:szCs w:val="22"/>
          <w:lang w:val="mk-MK"/>
        </w:rPr>
        <w:t xml:space="preserve">Ризици во спроведувањето и примената на секое од можните </w:t>
      </w:r>
    </w:p>
    <w:p w:rsidR="00DD75F6" w:rsidRPr="00D46D1A" w:rsidRDefault="00DD75F6" w:rsidP="00D46D1A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>решенија (опции</w:t>
      </w:r>
      <w:r w:rsidRPr="00D46D1A">
        <w:rPr>
          <w:rFonts w:ascii="StobiSerif Regular" w:hAnsi="StobiSerif Regular"/>
          <w:i/>
          <w:sz w:val="22"/>
          <w:szCs w:val="22"/>
          <w:lang w:val="mk-MK"/>
        </w:rPr>
        <w:t>)</w:t>
      </w:r>
    </w:p>
    <w:p w:rsidR="00DD75F6" w:rsidRDefault="00DD75F6" w:rsidP="00DD75F6">
      <w:pPr>
        <w:tabs>
          <w:tab w:val="left" w:pos="675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D46D1A">
        <w:rPr>
          <w:rFonts w:ascii="StobiSerif Regular" w:hAnsi="StobiSerif Regular"/>
          <w:i/>
          <w:sz w:val="22"/>
          <w:szCs w:val="22"/>
          <w:lang w:val="mk-MK"/>
        </w:rPr>
        <w:lastRenderedPageBreak/>
        <w:tab/>
      </w:r>
      <w:r w:rsidRPr="00D46D1A">
        <w:rPr>
          <w:rFonts w:ascii="StobiSerif Regular" w:hAnsi="StobiSerif Regular"/>
          <w:sz w:val="22"/>
          <w:szCs w:val="22"/>
          <w:lang w:val="mk-MK"/>
        </w:rPr>
        <w:t>При спроведувањето и примената на предложените законски решенија не постојат ризици.</w:t>
      </w:r>
    </w:p>
    <w:p w:rsidR="008B2089" w:rsidRPr="00D46D1A" w:rsidRDefault="008B2089" w:rsidP="00DD75F6">
      <w:pPr>
        <w:tabs>
          <w:tab w:val="left" w:pos="675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D75F6" w:rsidRPr="002010C1" w:rsidRDefault="00DD75F6" w:rsidP="00D46D1A">
      <w:pPr>
        <w:tabs>
          <w:tab w:val="left" w:pos="675"/>
        </w:tabs>
        <w:jc w:val="both"/>
        <w:rPr>
          <w:rFonts w:ascii="StobiSerif Regular" w:hAnsi="StobiSerif Regular"/>
          <w:b/>
          <w:i/>
          <w:sz w:val="22"/>
          <w:szCs w:val="22"/>
          <w:lang w:val="mk-MK"/>
        </w:rPr>
      </w:pPr>
      <w:r w:rsidRPr="00D46D1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46D1A">
        <w:rPr>
          <w:rFonts w:ascii="StobiSerif Regular" w:hAnsi="StobiSerif Regular"/>
          <w:sz w:val="22"/>
          <w:szCs w:val="22"/>
          <w:lang w:val="mk-MK"/>
        </w:rPr>
        <w:tab/>
      </w: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>6.3</w:t>
      </w: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ab/>
        <w:t>Препорачано решение со образложение</w:t>
      </w:r>
    </w:p>
    <w:p w:rsidR="00951644" w:rsidRPr="005A40F9" w:rsidRDefault="002010C1" w:rsidP="000B690A">
      <w:pPr>
        <w:jc w:val="both"/>
        <w:rPr>
          <w:rFonts w:ascii="StobiSerif Regular" w:hAnsi="StobiSerif Regular"/>
          <w:b/>
          <w:sz w:val="22"/>
          <w:szCs w:val="22"/>
          <w:lang w:val="ru-RU"/>
        </w:rPr>
      </w:pPr>
      <w:r w:rsidRPr="002010C1">
        <w:rPr>
          <w:rFonts w:ascii="StobiSerif Regular" w:hAnsi="StobiSerif Regular" w:cs="Arial"/>
          <w:sz w:val="22"/>
          <w:szCs w:val="22"/>
          <w:lang w:val="mk-MK"/>
        </w:rPr>
        <w:tab/>
      </w:r>
      <w:r w:rsidR="000B690A">
        <w:rPr>
          <w:rFonts w:ascii="StobiSerif Regular" w:hAnsi="StobiSerif Regular" w:cs="StobiSerif Regular"/>
          <w:sz w:val="22"/>
          <w:szCs w:val="22"/>
          <w:lang w:val="ru-RU"/>
        </w:rPr>
        <w:t xml:space="preserve">Усвојување на предлог законот за безбедност на мрежи и информациски системи. </w:t>
      </w:r>
    </w:p>
    <w:p w:rsidR="00BC718F" w:rsidRPr="00C922C0" w:rsidRDefault="00BC718F" w:rsidP="00BC718F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</w:p>
    <w:p w:rsidR="00DD75F6" w:rsidRPr="00D46D1A" w:rsidRDefault="00DD75F6" w:rsidP="00DD75F6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D46D1A">
        <w:rPr>
          <w:rFonts w:ascii="StobiSerif Regular" w:hAnsi="StobiSerif Regular"/>
          <w:b/>
          <w:sz w:val="22"/>
          <w:szCs w:val="22"/>
          <w:lang w:val="mk-MK"/>
        </w:rPr>
        <w:t>7.</w:t>
      </w:r>
      <w:r w:rsidRPr="00D46D1A">
        <w:rPr>
          <w:rFonts w:ascii="StobiSerif Regular" w:hAnsi="StobiSerif Regular"/>
          <w:b/>
          <w:sz w:val="22"/>
          <w:szCs w:val="22"/>
          <w:lang w:val="mk-MK"/>
        </w:rPr>
        <w:tab/>
        <w:t>Спроведување на препорачаното решение</w:t>
      </w:r>
    </w:p>
    <w:p w:rsidR="00D46D1A" w:rsidRDefault="00DD75F6" w:rsidP="00DD75F6">
      <w:pPr>
        <w:ind w:left="720"/>
        <w:jc w:val="both"/>
        <w:rPr>
          <w:rFonts w:ascii="StobiSerif Regular" w:hAnsi="StobiSerif Regular"/>
          <w:b/>
          <w:i/>
          <w:sz w:val="22"/>
          <w:szCs w:val="22"/>
          <w:lang w:val="mk-MK"/>
        </w:rPr>
      </w:pP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>7.1</w:t>
      </w: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ab/>
        <w:t xml:space="preserve">Потреба од менување на закони и подзаконска регулатива во </w:t>
      </w:r>
    </w:p>
    <w:p w:rsidR="00DD75F6" w:rsidRPr="00D46D1A" w:rsidRDefault="00DD75F6" w:rsidP="00997E1C">
      <w:pPr>
        <w:jc w:val="both"/>
        <w:rPr>
          <w:rFonts w:ascii="StobiSerif Regular" w:hAnsi="StobiSerif Regular"/>
          <w:b/>
          <w:i/>
          <w:sz w:val="22"/>
          <w:szCs w:val="22"/>
          <w:lang w:val="mk-MK"/>
        </w:rPr>
      </w:pP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>областа</w:t>
      </w:r>
      <w:r w:rsidR="00D46D1A">
        <w:rPr>
          <w:rFonts w:ascii="StobiSerif Regular" w:hAnsi="StobiSerif Regular"/>
          <w:b/>
          <w:i/>
          <w:sz w:val="22"/>
          <w:szCs w:val="22"/>
          <w:lang w:val="mk-MK"/>
        </w:rPr>
        <w:t xml:space="preserve"> </w:t>
      </w: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>или други сродни области</w:t>
      </w:r>
    </w:p>
    <w:p w:rsidR="00951644" w:rsidRPr="00951644" w:rsidRDefault="00DD75F6" w:rsidP="0026755B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951644">
        <w:rPr>
          <w:rFonts w:ascii="StobiSerif Regular" w:hAnsi="StobiSerif Regular"/>
          <w:sz w:val="22"/>
          <w:szCs w:val="22"/>
          <w:lang w:val="mk-MK"/>
        </w:rPr>
        <w:t xml:space="preserve">Со донесување на предметниот закон, </w:t>
      </w:r>
      <w:r w:rsidR="00951644" w:rsidRPr="00951644">
        <w:rPr>
          <w:rFonts w:ascii="StobiSerif Regular" w:hAnsi="StobiSerif Regular"/>
          <w:sz w:val="22"/>
          <w:szCs w:val="22"/>
          <w:lang w:val="mk-MK"/>
        </w:rPr>
        <w:t xml:space="preserve">а со цел обезбедување унифицираност и конзистентност во правниот систем на Република </w:t>
      </w:r>
      <w:r w:rsidR="000B690A">
        <w:rPr>
          <w:rFonts w:ascii="StobiSerif Regular" w:hAnsi="StobiSerif Regular"/>
          <w:sz w:val="22"/>
          <w:szCs w:val="22"/>
          <w:lang w:val="mk-MK"/>
        </w:rPr>
        <w:t xml:space="preserve">Северна </w:t>
      </w:r>
      <w:r w:rsidR="00951644" w:rsidRPr="00951644">
        <w:rPr>
          <w:rFonts w:ascii="StobiSerif Regular" w:hAnsi="StobiSerif Regular"/>
          <w:sz w:val="22"/>
          <w:szCs w:val="22"/>
          <w:lang w:val="mk-MK"/>
        </w:rPr>
        <w:t xml:space="preserve">Македонија, </w:t>
      </w:r>
      <w:r w:rsidR="000B690A">
        <w:rPr>
          <w:rFonts w:ascii="StobiSerif Regular" w:hAnsi="StobiSerif Regular"/>
          <w:sz w:val="22"/>
          <w:szCs w:val="22"/>
          <w:lang w:val="mk-MK"/>
        </w:rPr>
        <w:t>можни се измени во Законот за електронските комуникации.</w:t>
      </w:r>
    </w:p>
    <w:p w:rsidR="0026755B" w:rsidRDefault="0026755B" w:rsidP="0026755B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D75F6" w:rsidRPr="0026755B" w:rsidRDefault="00DD75F6" w:rsidP="00DD75F6">
      <w:pPr>
        <w:ind w:left="720"/>
        <w:jc w:val="both"/>
        <w:rPr>
          <w:rFonts w:ascii="StobiSerif Regular" w:hAnsi="StobiSerif Regular"/>
          <w:b/>
          <w:i/>
          <w:sz w:val="22"/>
          <w:szCs w:val="22"/>
          <w:lang w:val="mk-MK"/>
        </w:rPr>
      </w:pPr>
      <w:r w:rsidRPr="0026755B">
        <w:rPr>
          <w:rFonts w:ascii="StobiSerif Regular" w:hAnsi="StobiSerif Regular"/>
          <w:b/>
          <w:i/>
          <w:sz w:val="22"/>
          <w:szCs w:val="22"/>
          <w:lang w:val="mk-MK"/>
        </w:rPr>
        <w:t>7.2</w:t>
      </w:r>
      <w:r w:rsidRPr="0026755B">
        <w:rPr>
          <w:rFonts w:ascii="StobiSerif Regular" w:hAnsi="StobiSerif Regular"/>
          <w:b/>
          <w:i/>
          <w:sz w:val="22"/>
          <w:szCs w:val="22"/>
          <w:lang w:val="mk-MK"/>
        </w:rPr>
        <w:tab/>
        <w:t>Потребни подзаконски акти и рок за нивно донесување</w:t>
      </w:r>
    </w:p>
    <w:p w:rsidR="0026755B" w:rsidRDefault="0026755B" w:rsidP="0026755B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91D25" w:rsidRDefault="00691D25" w:rsidP="0026755B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Дополнително ќе бидат утврдени</w:t>
      </w:r>
    </w:p>
    <w:p w:rsidR="00691D25" w:rsidRPr="0026755B" w:rsidRDefault="00691D25" w:rsidP="0026755B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D75F6" w:rsidRPr="00D46D1A" w:rsidRDefault="00DD75F6" w:rsidP="00997E1C">
      <w:pPr>
        <w:ind w:firstLine="720"/>
        <w:jc w:val="both"/>
        <w:rPr>
          <w:rFonts w:ascii="StobiSerif Regular" w:hAnsi="StobiSerif Regular"/>
          <w:b/>
          <w:i/>
          <w:sz w:val="22"/>
          <w:szCs w:val="22"/>
          <w:lang w:val="mk-MK"/>
        </w:rPr>
      </w:pP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>7.3</w:t>
      </w:r>
      <w:r w:rsidRPr="00D46D1A">
        <w:rPr>
          <w:rFonts w:ascii="StobiSerif Regular" w:hAnsi="StobiSerif Regular"/>
          <w:b/>
          <w:i/>
          <w:sz w:val="22"/>
          <w:szCs w:val="22"/>
          <w:lang w:val="mk-MK"/>
        </w:rPr>
        <w:tab/>
        <w:t>Органи на државната управа, државни органи и други органи надлежни за спроведување</w:t>
      </w:r>
    </w:p>
    <w:p w:rsidR="00691D25" w:rsidRDefault="00D51DBA" w:rsidP="00691D25">
      <w:pPr>
        <w:tabs>
          <w:tab w:val="left" w:pos="675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</w:p>
    <w:p w:rsidR="00691D25" w:rsidRPr="00691D25" w:rsidRDefault="00691D25" w:rsidP="00691D25">
      <w:pPr>
        <w:tabs>
          <w:tab w:val="left" w:pos="675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691D25">
        <w:rPr>
          <w:rFonts w:ascii="StobiSerif Regular" w:hAnsi="StobiSerif Regular"/>
          <w:sz w:val="22"/>
          <w:szCs w:val="22"/>
          <w:lang w:val="mk-MK"/>
        </w:rPr>
        <w:t>Одредбите на овој закон се применуваат на работата на органите на државната управа и единиците на локалната самоуправа, судовите, јавните обвинителства и државното правобранителство и правни лица на кои со закон им е доверено да вршат јавни овластувања.</w:t>
      </w:r>
    </w:p>
    <w:p w:rsidR="00691D25" w:rsidRDefault="00691D25" w:rsidP="00691D25">
      <w:pPr>
        <w:tabs>
          <w:tab w:val="left" w:pos="675"/>
        </w:tabs>
        <w:jc w:val="both"/>
        <w:rPr>
          <w:rFonts w:ascii="StobiSerif Regular" w:hAnsi="StobiSerif Regular"/>
          <w:b/>
          <w:i/>
          <w:sz w:val="22"/>
          <w:szCs w:val="22"/>
          <w:lang w:val="mk-MK"/>
        </w:rPr>
      </w:pPr>
    </w:p>
    <w:p w:rsidR="00DD75F6" w:rsidRPr="00D46D1A" w:rsidRDefault="00691D25" w:rsidP="00691D25">
      <w:pPr>
        <w:tabs>
          <w:tab w:val="left" w:pos="675"/>
        </w:tabs>
        <w:jc w:val="both"/>
        <w:rPr>
          <w:rFonts w:ascii="StobiSerif Regular" w:hAnsi="StobiSerif Regular"/>
          <w:b/>
          <w:i/>
          <w:sz w:val="22"/>
          <w:szCs w:val="22"/>
          <w:lang w:val="mk-MK"/>
        </w:rPr>
      </w:pPr>
      <w:r>
        <w:rPr>
          <w:rFonts w:ascii="StobiSerif Regular" w:hAnsi="StobiSerif Regular"/>
          <w:b/>
          <w:i/>
          <w:sz w:val="22"/>
          <w:szCs w:val="22"/>
          <w:lang w:val="mk-MK"/>
        </w:rPr>
        <w:tab/>
      </w:r>
      <w:r w:rsidR="00997E1C" w:rsidRPr="00D46D1A">
        <w:rPr>
          <w:rFonts w:ascii="StobiSerif Regular" w:hAnsi="StobiSerif Regular"/>
          <w:b/>
          <w:i/>
          <w:sz w:val="22"/>
          <w:szCs w:val="22"/>
          <w:lang w:val="mk-MK"/>
        </w:rPr>
        <w:t xml:space="preserve">7.4 </w:t>
      </w:r>
      <w:r w:rsidR="00DD75F6" w:rsidRPr="00D46D1A">
        <w:rPr>
          <w:rFonts w:ascii="StobiSerif Regular" w:hAnsi="StobiSerif Regular"/>
          <w:b/>
          <w:i/>
          <w:sz w:val="22"/>
          <w:szCs w:val="22"/>
          <w:lang w:val="mk-MK"/>
        </w:rPr>
        <w:t>Активности за обезбедување на ефикасно спроведување на предлогот на закон</w:t>
      </w:r>
    </w:p>
    <w:p w:rsidR="00DD75F6" w:rsidRDefault="00DD75F6" w:rsidP="00DD75F6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46D1A">
        <w:rPr>
          <w:rFonts w:ascii="StobiSerif Regular" w:hAnsi="StobiSerif Regular"/>
          <w:sz w:val="22"/>
          <w:szCs w:val="22"/>
          <w:lang w:val="mk-MK"/>
        </w:rPr>
        <w:t xml:space="preserve">Министерството за </w:t>
      </w:r>
      <w:r w:rsidR="00623BFC">
        <w:rPr>
          <w:rFonts w:ascii="StobiSerif Regular" w:hAnsi="StobiSerif Regular"/>
          <w:sz w:val="22"/>
          <w:szCs w:val="22"/>
          <w:lang w:val="mk-MK"/>
        </w:rPr>
        <w:t>информатичко општество и администрација</w:t>
      </w:r>
      <w:r w:rsidRPr="00D46D1A">
        <w:rPr>
          <w:rFonts w:ascii="StobiSerif Regular" w:hAnsi="StobiSerif Regular"/>
          <w:sz w:val="22"/>
          <w:szCs w:val="22"/>
          <w:lang w:val="mk-MK"/>
        </w:rPr>
        <w:t xml:space="preserve"> ќе преземе активности за целосна имплементација на предметните решенија. </w:t>
      </w:r>
    </w:p>
    <w:p w:rsidR="00623BFC" w:rsidRPr="00D46D1A" w:rsidRDefault="00623BFC" w:rsidP="00DD75F6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003EC" w:rsidRPr="00474557" w:rsidRDefault="00B003EC" w:rsidP="00DD75F6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ru-RU"/>
        </w:rPr>
      </w:pPr>
    </w:p>
    <w:p w:rsidR="00DD75F6" w:rsidRPr="00D46D1A" w:rsidRDefault="00DD75F6" w:rsidP="00DD75F6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D46D1A">
        <w:rPr>
          <w:rFonts w:ascii="StobiSerif Regular" w:hAnsi="StobiSerif Regular"/>
          <w:b/>
          <w:sz w:val="22"/>
          <w:szCs w:val="22"/>
          <w:lang w:val="mk-MK"/>
        </w:rPr>
        <w:t>8.</w:t>
      </w:r>
      <w:r w:rsidRPr="00D46D1A">
        <w:rPr>
          <w:rFonts w:ascii="StobiSerif Regular" w:hAnsi="StobiSerif Regular"/>
          <w:b/>
          <w:sz w:val="22"/>
          <w:szCs w:val="22"/>
          <w:lang w:val="mk-MK"/>
        </w:rPr>
        <w:tab/>
        <w:t>Следење и евалуација</w:t>
      </w:r>
    </w:p>
    <w:p w:rsidR="006F28EA" w:rsidRPr="00D46D1A" w:rsidRDefault="00B35585" w:rsidP="00B35585">
      <w:pPr>
        <w:numPr>
          <w:ilvl w:val="1"/>
          <w:numId w:val="1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b/>
          <w:i/>
          <w:sz w:val="22"/>
          <w:szCs w:val="22"/>
          <w:lang w:val="mk-MK"/>
        </w:rPr>
        <w:t xml:space="preserve"> </w:t>
      </w:r>
      <w:r w:rsidR="00DD75F6" w:rsidRPr="00D46D1A">
        <w:rPr>
          <w:rFonts w:ascii="StobiSerif Regular" w:hAnsi="StobiSerif Regular"/>
          <w:b/>
          <w:i/>
          <w:sz w:val="22"/>
          <w:szCs w:val="22"/>
          <w:lang w:val="mk-MK"/>
        </w:rPr>
        <w:t>Начин на следење на спроведувањето</w:t>
      </w:r>
      <w:r w:rsidR="00DD75F6" w:rsidRPr="00D46D1A">
        <w:rPr>
          <w:rFonts w:ascii="StobiSerif Regular" w:hAnsi="StobiSerif Regular"/>
          <w:i/>
          <w:sz w:val="22"/>
          <w:szCs w:val="22"/>
          <w:lang w:val="mk-MK"/>
        </w:rPr>
        <w:t xml:space="preserve"> </w:t>
      </w:r>
    </w:p>
    <w:p w:rsidR="00364142" w:rsidRDefault="00364142" w:rsidP="006F28EA">
      <w:pPr>
        <w:ind w:firstLine="285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D75F6" w:rsidRPr="00D46D1A" w:rsidRDefault="00DD75F6" w:rsidP="006F28EA">
      <w:pPr>
        <w:ind w:firstLine="285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46D1A">
        <w:rPr>
          <w:rFonts w:ascii="StobiSerif Regular" w:hAnsi="StobiSerif Regular"/>
          <w:sz w:val="22"/>
          <w:szCs w:val="22"/>
          <w:lang w:val="mk-MK"/>
        </w:rPr>
        <w:t xml:space="preserve">Резултатите од предложените законски решенија ќе се следат преку </w:t>
      </w:r>
      <w:r w:rsidR="009A316E">
        <w:rPr>
          <w:rFonts w:ascii="StobiSerif Regular" w:hAnsi="StobiSerif Regular"/>
          <w:sz w:val="22"/>
          <w:szCs w:val="22"/>
          <w:lang w:val="mk-MK"/>
        </w:rPr>
        <w:t>континуирано следење на примената на предложениот закон</w:t>
      </w:r>
      <w:r w:rsidR="009A316E" w:rsidRPr="009A316E">
        <w:rPr>
          <w:rFonts w:ascii="StobiSerif Regular" w:hAnsi="StobiSerif Regular"/>
          <w:sz w:val="22"/>
          <w:szCs w:val="22"/>
          <w:lang w:val="mk-MK"/>
        </w:rPr>
        <w:t>.</w:t>
      </w:r>
      <w:r w:rsidRPr="00D46D1A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364142" w:rsidRDefault="00DD75F6" w:rsidP="00B35585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D46D1A">
        <w:rPr>
          <w:rFonts w:ascii="StobiSerif Regular" w:hAnsi="StobiSerif Regular"/>
          <w:sz w:val="22"/>
          <w:szCs w:val="22"/>
          <w:lang w:val="mk-MK"/>
        </w:rPr>
        <w:t xml:space="preserve">       </w:t>
      </w:r>
      <w:r w:rsidRPr="00D46D1A">
        <w:rPr>
          <w:rFonts w:ascii="StobiSerif Regular" w:hAnsi="StobiSerif Regular"/>
          <w:i/>
          <w:sz w:val="22"/>
          <w:szCs w:val="22"/>
          <w:lang w:val="mk-MK"/>
        </w:rPr>
        <w:t xml:space="preserve"> </w:t>
      </w:r>
    </w:p>
    <w:p w:rsidR="006F28EA" w:rsidRPr="00D46D1A" w:rsidRDefault="00364142" w:rsidP="00364142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>
        <w:rPr>
          <w:rFonts w:ascii="StobiSerif Regular" w:hAnsi="StobiSerif Regular"/>
          <w:b/>
          <w:i/>
          <w:sz w:val="22"/>
          <w:szCs w:val="22"/>
          <w:lang w:val="mk-MK"/>
        </w:rPr>
        <w:t xml:space="preserve">8.2. </w:t>
      </w:r>
      <w:r w:rsidR="00DD75F6" w:rsidRPr="00D46D1A">
        <w:rPr>
          <w:rFonts w:ascii="StobiSerif Regular" w:hAnsi="StobiSerif Regular"/>
          <w:b/>
          <w:i/>
          <w:sz w:val="22"/>
          <w:szCs w:val="22"/>
          <w:lang w:val="mk-MK"/>
        </w:rPr>
        <w:t>Евалуација на ефектите од предлогот на закон и рокови</w:t>
      </w:r>
      <w:r w:rsidR="00DD75F6" w:rsidRPr="00D46D1A">
        <w:rPr>
          <w:rFonts w:ascii="StobiSerif Regular" w:hAnsi="StobiSerif Regular"/>
          <w:i/>
          <w:sz w:val="22"/>
          <w:szCs w:val="22"/>
          <w:lang w:val="mk-MK"/>
        </w:rPr>
        <w:t xml:space="preserve"> </w:t>
      </w:r>
    </w:p>
    <w:p w:rsidR="00364142" w:rsidRDefault="00364142" w:rsidP="006F28EA">
      <w:pPr>
        <w:ind w:firstLine="285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D75F6" w:rsidRPr="00D46D1A" w:rsidRDefault="00DD75F6" w:rsidP="006F28EA">
      <w:pPr>
        <w:ind w:firstLine="285"/>
        <w:jc w:val="both"/>
        <w:rPr>
          <w:rFonts w:ascii="StobiSerif Regular" w:hAnsi="StobiSerif Regular"/>
          <w:sz w:val="22"/>
          <w:szCs w:val="22"/>
          <w:lang w:val="mk-MK"/>
        </w:rPr>
      </w:pPr>
      <w:bookmarkStart w:id="6" w:name="_GoBack"/>
      <w:bookmarkEnd w:id="6"/>
      <w:r w:rsidRPr="00D46D1A">
        <w:rPr>
          <w:rFonts w:ascii="StobiSerif Regular" w:hAnsi="StobiSerif Regular"/>
          <w:sz w:val="22"/>
          <w:szCs w:val="22"/>
          <w:lang w:val="mk-MK"/>
        </w:rPr>
        <w:t xml:space="preserve">Резултатите од предложените законски решенија ќе се следат преку </w:t>
      </w:r>
      <w:r w:rsidR="009A316E">
        <w:rPr>
          <w:rFonts w:ascii="StobiSerif Regular" w:hAnsi="StobiSerif Regular"/>
          <w:sz w:val="22"/>
          <w:szCs w:val="22"/>
          <w:lang w:val="mk-MK"/>
        </w:rPr>
        <w:t>континуирано следење на примената на предложениот закон</w:t>
      </w:r>
      <w:r w:rsidR="009A316E" w:rsidRPr="009A316E">
        <w:rPr>
          <w:rFonts w:ascii="StobiSerif Regular" w:hAnsi="StobiSerif Regular"/>
          <w:sz w:val="22"/>
          <w:szCs w:val="22"/>
          <w:lang w:val="mk-MK"/>
        </w:rPr>
        <w:t>.</w:t>
      </w:r>
      <w:r w:rsidRPr="00D46D1A">
        <w:rPr>
          <w:rFonts w:ascii="StobiSerif Regular" w:hAnsi="StobiSerif Regular"/>
          <w:sz w:val="22"/>
          <w:szCs w:val="22"/>
          <w:lang w:val="mk-MK"/>
        </w:rPr>
        <w:t xml:space="preserve">    </w:t>
      </w:r>
    </w:p>
    <w:sectPr w:rsidR="00DD75F6" w:rsidRPr="00D46D1A" w:rsidSect="006528B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CA" w:rsidRDefault="003055CA" w:rsidP="005D078B">
      <w:r>
        <w:separator/>
      </w:r>
    </w:p>
  </w:endnote>
  <w:endnote w:type="continuationSeparator" w:id="0">
    <w:p w:rsidR="003055CA" w:rsidRDefault="003055CA" w:rsidP="005D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 852">
    <w:charset w:val="CC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23" w:rsidRDefault="003055CA">
    <w:pPr>
      <w:pStyle w:val="Footer"/>
      <w:jc w:val="right"/>
    </w:pP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 w:rsidR="00364142">
      <w:rPr>
        <w:noProof/>
      </w:rPr>
      <w:t>4</w:t>
    </w:r>
    <w:r>
      <w:rPr>
        <w:noProof/>
      </w:rPr>
      <w:fldChar w:fldCharType="end"/>
    </w:r>
  </w:p>
  <w:p w:rsidR="00D64A23" w:rsidRDefault="00D64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CA" w:rsidRDefault="003055CA" w:rsidP="005D078B">
      <w:r>
        <w:separator/>
      </w:r>
    </w:p>
  </w:footnote>
  <w:footnote w:type="continuationSeparator" w:id="0">
    <w:p w:rsidR="003055CA" w:rsidRDefault="003055CA" w:rsidP="005D0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703"/>
    <w:multiLevelType w:val="multilevel"/>
    <w:tmpl w:val="519E8BC6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3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  <w:b/>
        <w:i/>
      </w:rPr>
    </w:lvl>
  </w:abstractNum>
  <w:abstractNum w:abstractNumId="1" w15:restartNumberingAfterBreak="0">
    <w:nsid w:val="1D016FB7"/>
    <w:multiLevelType w:val="multilevel"/>
    <w:tmpl w:val="0A0475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  <w:b/>
        <w:i/>
      </w:rPr>
    </w:lvl>
  </w:abstractNum>
  <w:abstractNum w:abstractNumId="2" w15:restartNumberingAfterBreak="0">
    <w:nsid w:val="20115A9A"/>
    <w:multiLevelType w:val="hybridMultilevel"/>
    <w:tmpl w:val="1736CF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232A"/>
    <w:multiLevelType w:val="hybridMultilevel"/>
    <w:tmpl w:val="7B529EC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14BF3"/>
    <w:multiLevelType w:val="hybridMultilevel"/>
    <w:tmpl w:val="2C587FC4"/>
    <w:lvl w:ilvl="0" w:tplc="5266948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61CB3"/>
    <w:multiLevelType w:val="multilevel"/>
    <w:tmpl w:val="DC38CC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4146599E"/>
    <w:multiLevelType w:val="multilevel"/>
    <w:tmpl w:val="9A1A79F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8DE2FE6"/>
    <w:multiLevelType w:val="multilevel"/>
    <w:tmpl w:val="7E04BC1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54B859FF"/>
    <w:multiLevelType w:val="multilevel"/>
    <w:tmpl w:val="A33A99F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5DBA641E"/>
    <w:multiLevelType w:val="multilevel"/>
    <w:tmpl w:val="1736C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67D05"/>
    <w:multiLevelType w:val="multilevel"/>
    <w:tmpl w:val="03D4444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/>
      </w:rPr>
    </w:lvl>
  </w:abstractNum>
  <w:abstractNum w:abstractNumId="11" w15:restartNumberingAfterBreak="0">
    <w:nsid w:val="783D0F5C"/>
    <w:multiLevelType w:val="hybridMultilevel"/>
    <w:tmpl w:val="698452C0"/>
    <w:lvl w:ilvl="0" w:tplc="0ECC22E8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8A066CA4">
      <w:numFmt w:val="none"/>
      <w:lvlText w:val=""/>
      <w:lvlJc w:val="left"/>
      <w:pPr>
        <w:tabs>
          <w:tab w:val="num" w:pos="360"/>
        </w:tabs>
      </w:pPr>
    </w:lvl>
    <w:lvl w:ilvl="2" w:tplc="49A81A30">
      <w:numFmt w:val="none"/>
      <w:lvlText w:val=""/>
      <w:lvlJc w:val="left"/>
      <w:pPr>
        <w:tabs>
          <w:tab w:val="num" w:pos="360"/>
        </w:tabs>
      </w:pPr>
    </w:lvl>
    <w:lvl w:ilvl="3" w:tplc="F4809C9A">
      <w:numFmt w:val="none"/>
      <w:lvlText w:val=""/>
      <w:lvlJc w:val="left"/>
      <w:pPr>
        <w:tabs>
          <w:tab w:val="num" w:pos="360"/>
        </w:tabs>
      </w:pPr>
    </w:lvl>
    <w:lvl w:ilvl="4" w:tplc="5F6C3DB2">
      <w:numFmt w:val="none"/>
      <w:lvlText w:val=""/>
      <w:lvlJc w:val="left"/>
      <w:pPr>
        <w:tabs>
          <w:tab w:val="num" w:pos="360"/>
        </w:tabs>
      </w:pPr>
    </w:lvl>
    <w:lvl w:ilvl="5" w:tplc="2FA885E8">
      <w:numFmt w:val="none"/>
      <w:lvlText w:val=""/>
      <w:lvlJc w:val="left"/>
      <w:pPr>
        <w:tabs>
          <w:tab w:val="num" w:pos="360"/>
        </w:tabs>
      </w:pPr>
    </w:lvl>
    <w:lvl w:ilvl="6" w:tplc="87A415B6">
      <w:numFmt w:val="none"/>
      <w:lvlText w:val=""/>
      <w:lvlJc w:val="left"/>
      <w:pPr>
        <w:tabs>
          <w:tab w:val="num" w:pos="360"/>
        </w:tabs>
      </w:pPr>
    </w:lvl>
    <w:lvl w:ilvl="7" w:tplc="6D9EB596">
      <w:numFmt w:val="none"/>
      <w:lvlText w:val=""/>
      <w:lvlJc w:val="left"/>
      <w:pPr>
        <w:tabs>
          <w:tab w:val="num" w:pos="360"/>
        </w:tabs>
      </w:pPr>
    </w:lvl>
    <w:lvl w:ilvl="8" w:tplc="D9FC31B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F303438"/>
    <w:multiLevelType w:val="hybridMultilevel"/>
    <w:tmpl w:val="166EDAF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116"/>
    <w:rsid w:val="0001421C"/>
    <w:rsid w:val="00015512"/>
    <w:rsid w:val="000202C8"/>
    <w:rsid w:val="00032B01"/>
    <w:rsid w:val="000352F4"/>
    <w:rsid w:val="000439E4"/>
    <w:rsid w:val="000463DD"/>
    <w:rsid w:val="0005368C"/>
    <w:rsid w:val="00055516"/>
    <w:rsid w:val="00055922"/>
    <w:rsid w:val="00061B9B"/>
    <w:rsid w:val="00062E73"/>
    <w:rsid w:val="000633D7"/>
    <w:rsid w:val="00064707"/>
    <w:rsid w:val="00067008"/>
    <w:rsid w:val="00072558"/>
    <w:rsid w:val="0007343E"/>
    <w:rsid w:val="00076855"/>
    <w:rsid w:val="00085B49"/>
    <w:rsid w:val="00091A6F"/>
    <w:rsid w:val="00094081"/>
    <w:rsid w:val="00095712"/>
    <w:rsid w:val="000A3993"/>
    <w:rsid w:val="000A3C86"/>
    <w:rsid w:val="000B690A"/>
    <w:rsid w:val="000C2D5C"/>
    <w:rsid w:val="000D0C68"/>
    <w:rsid w:val="000D23C0"/>
    <w:rsid w:val="000D2DF3"/>
    <w:rsid w:val="000D58B0"/>
    <w:rsid w:val="000E0336"/>
    <w:rsid w:val="000E3BC1"/>
    <w:rsid w:val="00107852"/>
    <w:rsid w:val="00110E5A"/>
    <w:rsid w:val="00111200"/>
    <w:rsid w:val="001146F4"/>
    <w:rsid w:val="00126DE5"/>
    <w:rsid w:val="00130A68"/>
    <w:rsid w:val="00132CE0"/>
    <w:rsid w:val="00137B8A"/>
    <w:rsid w:val="0014146F"/>
    <w:rsid w:val="001421BA"/>
    <w:rsid w:val="001476F9"/>
    <w:rsid w:val="00156B47"/>
    <w:rsid w:val="00160D2F"/>
    <w:rsid w:val="00161DCF"/>
    <w:rsid w:val="00162DAA"/>
    <w:rsid w:val="0016466A"/>
    <w:rsid w:val="00170F32"/>
    <w:rsid w:val="00175B40"/>
    <w:rsid w:val="00175F64"/>
    <w:rsid w:val="001836AA"/>
    <w:rsid w:val="001852B4"/>
    <w:rsid w:val="00187194"/>
    <w:rsid w:val="001964B8"/>
    <w:rsid w:val="001A2D55"/>
    <w:rsid w:val="001A4C39"/>
    <w:rsid w:val="001A69EF"/>
    <w:rsid w:val="001B0E2D"/>
    <w:rsid w:val="001B51EC"/>
    <w:rsid w:val="001C388E"/>
    <w:rsid w:val="001D3748"/>
    <w:rsid w:val="001D3EC3"/>
    <w:rsid w:val="001D4555"/>
    <w:rsid w:val="001E23BC"/>
    <w:rsid w:val="001E7452"/>
    <w:rsid w:val="002010C1"/>
    <w:rsid w:val="00202190"/>
    <w:rsid w:val="00207476"/>
    <w:rsid w:val="00212EDD"/>
    <w:rsid w:val="002159EA"/>
    <w:rsid w:val="00221332"/>
    <w:rsid w:val="00234966"/>
    <w:rsid w:val="00235145"/>
    <w:rsid w:val="00235EB2"/>
    <w:rsid w:val="00237A30"/>
    <w:rsid w:val="002419C8"/>
    <w:rsid w:val="002449C0"/>
    <w:rsid w:val="00256462"/>
    <w:rsid w:val="00265FE8"/>
    <w:rsid w:val="002661AB"/>
    <w:rsid w:val="0026755B"/>
    <w:rsid w:val="00277512"/>
    <w:rsid w:val="00280DA2"/>
    <w:rsid w:val="00281F79"/>
    <w:rsid w:val="00284F9C"/>
    <w:rsid w:val="00292CC6"/>
    <w:rsid w:val="00297CE3"/>
    <w:rsid w:val="002A1D41"/>
    <w:rsid w:val="002A633B"/>
    <w:rsid w:val="002A7CB6"/>
    <w:rsid w:val="002A7ED0"/>
    <w:rsid w:val="002C64BE"/>
    <w:rsid w:val="002D0621"/>
    <w:rsid w:val="002F32BE"/>
    <w:rsid w:val="003055CA"/>
    <w:rsid w:val="0032408F"/>
    <w:rsid w:val="00331E38"/>
    <w:rsid w:val="003361B3"/>
    <w:rsid w:val="003563AF"/>
    <w:rsid w:val="00360BAA"/>
    <w:rsid w:val="00364142"/>
    <w:rsid w:val="00364A45"/>
    <w:rsid w:val="003702F3"/>
    <w:rsid w:val="003B3CC1"/>
    <w:rsid w:val="003B51DC"/>
    <w:rsid w:val="003B53E6"/>
    <w:rsid w:val="003C0C5D"/>
    <w:rsid w:val="003D5A8E"/>
    <w:rsid w:val="003E0EF9"/>
    <w:rsid w:val="003E1B7F"/>
    <w:rsid w:val="003F0406"/>
    <w:rsid w:val="00417E88"/>
    <w:rsid w:val="0042602D"/>
    <w:rsid w:val="004433CB"/>
    <w:rsid w:val="004461D8"/>
    <w:rsid w:val="00446535"/>
    <w:rsid w:val="004550B7"/>
    <w:rsid w:val="00455DB3"/>
    <w:rsid w:val="004628D6"/>
    <w:rsid w:val="0046334E"/>
    <w:rsid w:val="00465D8D"/>
    <w:rsid w:val="00474557"/>
    <w:rsid w:val="00482CD6"/>
    <w:rsid w:val="00484181"/>
    <w:rsid w:val="004873FD"/>
    <w:rsid w:val="0049117A"/>
    <w:rsid w:val="0049749E"/>
    <w:rsid w:val="004A0D61"/>
    <w:rsid w:val="004A4C8B"/>
    <w:rsid w:val="004B09FF"/>
    <w:rsid w:val="004B79FB"/>
    <w:rsid w:val="004D2B8B"/>
    <w:rsid w:val="004D5A51"/>
    <w:rsid w:val="004E063F"/>
    <w:rsid w:val="004E25C6"/>
    <w:rsid w:val="004E3A77"/>
    <w:rsid w:val="004F384F"/>
    <w:rsid w:val="00501DD6"/>
    <w:rsid w:val="00507ADB"/>
    <w:rsid w:val="00512FB8"/>
    <w:rsid w:val="005148F8"/>
    <w:rsid w:val="00530FA3"/>
    <w:rsid w:val="00531474"/>
    <w:rsid w:val="00531CA7"/>
    <w:rsid w:val="00533977"/>
    <w:rsid w:val="005359CD"/>
    <w:rsid w:val="00553A01"/>
    <w:rsid w:val="0056471D"/>
    <w:rsid w:val="00566B4B"/>
    <w:rsid w:val="005918AE"/>
    <w:rsid w:val="00591C8C"/>
    <w:rsid w:val="005A2F24"/>
    <w:rsid w:val="005A7F54"/>
    <w:rsid w:val="005B390D"/>
    <w:rsid w:val="005B3F3C"/>
    <w:rsid w:val="005C0380"/>
    <w:rsid w:val="005C1761"/>
    <w:rsid w:val="005D078B"/>
    <w:rsid w:val="005D0CB8"/>
    <w:rsid w:val="005D512E"/>
    <w:rsid w:val="005E0620"/>
    <w:rsid w:val="005E48A1"/>
    <w:rsid w:val="005F40B5"/>
    <w:rsid w:val="00602363"/>
    <w:rsid w:val="006025C6"/>
    <w:rsid w:val="00605AC4"/>
    <w:rsid w:val="00623BFC"/>
    <w:rsid w:val="0062524F"/>
    <w:rsid w:val="00627CBC"/>
    <w:rsid w:val="00631C96"/>
    <w:rsid w:val="0063477A"/>
    <w:rsid w:val="006366E0"/>
    <w:rsid w:val="00636D21"/>
    <w:rsid w:val="00641361"/>
    <w:rsid w:val="006417A1"/>
    <w:rsid w:val="00645F3E"/>
    <w:rsid w:val="006528BA"/>
    <w:rsid w:val="0066032B"/>
    <w:rsid w:val="00670EE1"/>
    <w:rsid w:val="00674B51"/>
    <w:rsid w:val="0067554A"/>
    <w:rsid w:val="006816C4"/>
    <w:rsid w:val="006817AD"/>
    <w:rsid w:val="0068473F"/>
    <w:rsid w:val="00691D25"/>
    <w:rsid w:val="00692E09"/>
    <w:rsid w:val="0069726B"/>
    <w:rsid w:val="006A1297"/>
    <w:rsid w:val="006A2250"/>
    <w:rsid w:val="006A386D"/>
    <w:rsid w:val="006A5FBC"/>
    <w:rsid w:val="006A6E3B"/>
    <w:rsid w:val="006B7173"/>
    <w:rsid w:val="006C3F95"/>
    <w:rsid w:val="006E7399"/>
    <w:rsid w:val="006F1327"/>
    <w:rsid w:val="006F28EA"/>
    <w:rsid w:val="006F3A1E"/>
    <w:rsid w:val="006F3F28"/>
    <w:rsid w:val="006F6A5D"/>
    <w:rsid w:val="0070790F"/>
    <w:rsid w:val="00715237"/>
    <w:rsid w:val="00715DB1"/>
    <w:rsid w:val="007252AC"/>
    <w:rsid w:val="00753914"/>
    <w:rsid w:val="007547E6"/>
    <w:rsid w:val="007603C1"/>
    <w:rsid w:val="007603DB"/>
    <w:rsid w:val="00767BDE"/>
    <w:rsid w:val="00781C95"/>
    <w:rsid w:val="007908C0"/>
    <w:rsid w:val="00792E92"/>
    <w:rsid w:val="007B47AF"/>
    <w:rsid w:val="007C088F"/>
    <w:rsid w:val="007C3DD1"/>
    <w:rsid w:val="007D072F"/>
    <w:rsid w:val="007E1A92"/>
    <w:rsid w:val="007E23DA"/>
    <w:rsid w:val="007E3305"/>
    <w:rsid w:val="007E6A7A"/>
    <w:rsid w:val="007F181B"/>
    <w:rsid w:val="007F6CEE"/>
    <w:rsid w:val="008063DE"/>
    <w:rsid w:val="00807B23"/>
    <w:rsid w:val="00810526"/>
    <w:rsid w:val="00814F7C"/>
    <w:rsid w:val="0081643D"/>
    <w:rsid w:val="00821018"/>
    <w:rsid w:val="008260E4"/>
    <w:rsid w:val="00836C90"/>
    <w:rsid w:val="0084697D"/>
    <w:rsid w:val="00847D05"/>
    <w:rsid w:val="00855CE5"/>
    <w:rsid w:val="008611DF"/>
    <w:rsid w:val="0087764B"/>
    <w:rsid w:val="008808D7"/>
    <w:rsid w:val="008833BE"/>
    <w:rsid w:val="00887D15"/>
    <w:rsid w:val="00893725"/>
    <w:rsid w:val="00894DF8"/>
    <w:rsid w:val="00895372"/>
    <w:rsid w:val="008A1BE0"/>
    <w:rsid w:val="008B0EC9"/>
    <w:rsid w:val="008B2089"/>
    <w:rsid w:val="008C3EB0"/>
    <w:rsid w:val="008D2090"/>
    <w:rsid w:val="008D4415"/>
    <w:rsid w:val="008E0654"/>
    <w:rsid w:val="008E15DA"/>
    <w:rsid w:val="008E1840"/>
    <w:rsid w:val="008E1BE8"/>
    <w:rsid w:val="008E6951"/>
    <w:rsid w:val="008F3740"/>
    <w:rsid w:val="00902B99"/>
    <w:rsid w:val="0090303C"/>
    <w:rsid w:val="00904F61"/>
    <w:rsid w:val="0091332C"/>
    <w:rsid w:val="009234AE"/>
    <w:rsid w:val="009318F9"/>
    <w:rsid w:val="0093321A"/>
    <w:rsid w:val="009340C9"/>
    <w:rsid w:val="009369BE"/>
    <w:rsid w:val="0094292C"/>
    <w:rsid w:val="00942E0B"/>
    <w:rsid w:val="00946798"/>
    <w:rsid w:val="00951644"/>
    <w:rsid w:val="0095520D"/>
    <w:rsid w:val="0097159F"/>
    <w:rsid w:val="009725F3"/>
    <w:rsid w:val="00973CBD"/>
    <w:rsid w:val="009828BF"/>
    <w:rsid w:val="00983FD7"/>
    <w:rsid w:val="00991E21"/>
    <w:rsid w:val="00997E1C"/>
    <w:rsid w:val="009A09B8"/>
    <w:rsid w:val="009A316E"/>
    <w:rsid w:val="009A6201"/>
    <w:rsid w:val="009B3092"/>
    <w:rsid w:val="009C2EE5"/>
    <w:rsid w:val="009C3116"/>
    <w:rsid w:val="009C5DF0"/>
    <w:rsid w:val="009E0C3F"/>
    <w:rsid w:val="009E6967"/>
    <w:rsid w:val="009F408C"/>
    <w:rsid w:val="009F562C"/>
    <w:rsid w:val="009F5772"/>
    <w:rsid w:val="00A07197"/>
    <w:rsid w:val="00A106B3"/>
    <w:rsid w:val="00A1365D"/>
    <w:rsid w:val="00A17D6B"/>
    <w:rsid w:val="00A22142"/>
    <w:rsid w:val="00A33EEE"/>
    <w:rsid w:val="00A36F04"/>
    <w:rsid w:val="00A436B2"/>
    <w:rsid w:val="00A4639C"/>
    <w:rsid w:val="00A5132C"/>
    <w:rsid w:val="00A5719F"/>
    <w:rsid w:val="00A7750E"/>
    <w:rsid w:val="00A84E3C"/>
    <w:rsid w:val="00A855D7"/>
    <w:rsid w:val="00A93BFD"/>
    <w:rsid w:val="00A94CAB"/>
    <w:rsid w:val="00AA678E"/>
    <w:rsid w:val="00AD3D6A"/>
    <w:rsid w:val="00AE2604"/>
    <w:rsid w:val="00AE5E1B"/>
    <w:rsid w:val="00AF02DD"/>
    <w:rsid w:val="00AF6305"/>
    <w:rsid w:val="00B003EC"/>
    <w:rsid w:val="00B020B6"/>
    <w:rsid w:val="00B03D61"/>
    <w:rsid w:val="00B1215B"/>
    <w:rsid w:val="00B21EA7"/>
    <w:rsid w:val="00B22971"/>
    <w:rsid w:val="00B25FB1"/>
    <w:rsid w:val="00B262AC"/>
    <w:rsid w:val="00B30D2E"/>
    <w:rsid w:val="00B34C53"/>
    <w:rsid w:val="00B35585"/>
    <w:rsid w:val="00B413F0"/>
    <w:rsid w:val="00B53720"/>
    <w:rsid w:val="00B62F42"/>
    <w:rsid w:val="00B71118"/>
    <w:rsid w:val="00B73551"/>
    <w:rsid w:val="00B763E7"/>
    <w:rsid w:val="00B773E8"/>
    <w:rsid w:val="00B839B3"/>
    <w:rsid w:val="00B86F35"/>
    <w:rsid w:val="00B92652"/>
    <w:rsid w:val="00BA0DB9"/>
    <w:rsid w:val="00BB13A3"/>
    <w:rsid w:val="00BB2598"/>
    <w:rsid w:val="00BB3123"/>
    <w:rsid w:val="00BB4C59"/>
    <w:rsid w:val="00BB78A8"/>
    <w:rsid w:val="00BC1F12"/>
    <w:rsid w:val="00BC718F"/>
    <w:rsid w:val="00BD0268"/>
    <w:rsid w:val="00BE38D9"/>
    <w:rsid w:val="00BE4ECB"/>
    <w:rsid w:val="00BF057C"/>
    <w:rsid w:val="00BF15BB"/>
    <w:rsid w:val="00C04368"/>
    <w:rsid w:val="00C1070B"/>
    <w:rsid w:val="00C11672"/>
    <w:rsid w:val="00C15677"/>
    <w:rsid w:val="00C41016"/>
    <w:rsid w:val="00C51940"/>
    <w:rsid w:val="00C53BBF"/>
    <w:rsid w:val="00C53E27"/>
    <w:rsid w:val="00C54C8F"/>
    <w:rsid w:val="00C60F2E"/>
    <w:rsid w:val="00C72F10"/>
    <w:rsid w:val="00C748FF"/>
    <w:rsid w:val="00C771C6"/>
    <w:rsid w:val="00C81A9A"/>
    <w:rsid w:val="00C83C0D"/>
    <w:rsid w:val="00C90B6A"/>
    <w:rsid w:val="00C91923"/>
    <w:rsid w:val="00C92D38"/>
    <w:rsid w:val="00C9512E"/>
    <w:rsid w:val="00C95479"/>
    <w:rsid w:val="00C966BD"/>
    <w:rsid w:val="00CA0DB7"/>
    <w:rsid w:val="00CA6E2A"/>
    <w:rsid w:val="00CB1448"/>
    <w:rsid w:val="00CB165B"/>
    <w:rsid w:val="00CB16F6"/>
    <w:rsid w:val="00CC2D48"/>
    <w:rsid w:val="00CC42E3"/>
    <w:rsid w:val="00CD558F"/>
    <w:rsid w:val="00CE286F"/>
    <w:rsid w:val="00CF785A"/>
    <w:rsid w:val="00D03074"/>
    <w:rsid w:val="00D100CE"/>
    <w:rsid w:val="00D14155"/>
    <w:rsid w:val="00D16012"/>
    <w:rsid w:val="00D22484"/>
    <w:rsid w:val="00D445B8"/>
    <w:rsid w:val="00D46D1A"/>
    <w:rsid w:val="00D50A39"/>
    <w:rsid w:val="00D51DBA"/>
    <w:rsid w:val="00D56D75"/>
    <w:rsid w:val="00D57D60"/>
    <w:rsid w:val="00D64541"/>
    <w:rsid w:val="00D64A23"/>
    <w:rsid w:val="00D675F4"/>
    <w:rsid w:val="00D742F3"/>
    <w:rsid w:val="00D8668E"/>
    <w:rsid w:val="00D94BB8"/>
    <w:rsid w:val="00D960D8"/>
    <w:rsid w:val="00DA27B7"/>
    <w:rsid w:val="00DA6A84"/>
    <w:rsid w:val="00DB50A6"/>
    <w:rsid w:val="00DC1A79"/>
    <w:rsid w:val="00DC2CEF"/>
    <w:rsid w:val="00DC4158"/>
    <w:rsid w:val="00DD62A1"/>
    <w:rsid w:val="00DD75F6"/>
    <w:rsid w:val="00DE49F3"/>
    <w:rsid w:val="00DF0B26"/>
    <w:rsid w:val="00DF57FE"/>
    <w:rsid w:val="00E00A91"/>
    <w:rsid w:val="00E04154"/>
    <w:rsid w:val="00E057E1"/>
    <w:rsid w:val="00E15938"/>
    <w:rsid w:val="00E16408"/>
    <w:rsid w:val="00E17C31"/>
    <w:rsid w:val="00E36E71"/>
    <w:rsid w:val="00E45EAB"/>
    <w:rsid w:val="00E515F2"/>
    <w:rsid w:val="00E57F21"/>
    <w:rsid w:val="00E62DC4"/>
    <w:rsid w:val="00E62FBA"/>
    <w:rsid w:val="00E75594"/>
    <w:rsid w:val="00E82D9E"/>
    <w:rsid w:val="00EA347C"/>
    <w:rsid w:val="00EA6C46"/>
    <w:rsid w:val="00EB2768"/>
    <w:rsid w:val="00EB7E86"/>
    <w:rsid w:val="00EE12C3"/>
    <w:rsid w:val="00EF0488"/>
    <w:rsid w:val="00EF0734"/>
    <w:rsid w:val="00F008E3"/>
    <w:rsid w:val="00F043AE"/>
    <w:rsid w:val="00F06AA8"/>
    <w:rsid w:val="00F17080"/>
    <w:rsid w:val="00F17A07"/>
    <w:rsid w:val="00F26D0B"/>
    <w:rsid w:val="00F26E11"/>
    <w:rsid w:val="00F36119"/>
    <w:rsid w:val="00F4475A"/>
    <w:rsid w:val="00F534F6"/>
    <w:rsid w:val="00F57166"/>
    <w:rsid w:val="00F66307"/>
    <w:rsid w:val="00F71094"/>
    <w:rsid w:val="00F72070"/>
    <w:rsid w:val="00F7722E"/>
    <w:rsid w:val="00F92A0F"/>
    <w:rsid w:val="00F9541B"/>
    <w:rsid w:val="00FA4125"/>
    <w:rsid w:val="00FA6014"/>
    <w:rsid w:val="00FB156D"/>
    <w:rsid w:val="00FC1B7E"/>
    <w:rsid w:val="00FC2C07"/>
    <w:rsid w:val="00FC5A5B"/>
    <w:rsid w:val="00FC6D59"/>
    <w:rsid w:val="00FD3A03"/>
    <w:rsid w:val="00FD7BEF"/>
    <w:rsid w:val="00FE5879"/>
    <w:rsid w:val="00FE6594"/>
    <w:rsid w:val="00FF030B"/>
    <w:rsid w:val="00FF3FFF"/>
    <w:rsid w:val="00FF4AEF"/>
    <w:rsid w:val="00FF55D2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E6CE"/>
  <w15:docId w15:val="{E5FCDBF5-013C-44D4-B865-87BBFA5D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1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C3116"/>
    <w:pPr>
      <w:jc w:val="both"/>
    </w:pPr>
    <w:rPr>
      <w:rFonts w:ascii="Arial" w:hAnsi="Arial" w:cs="Arial"/>
      <w:lang w:val="mk-MK"/>
    </w:rPr>
  </w:style>
  <w:style w:type="character" w:customStyle="1" w:styleId="BodyText3Char">
    <w:name w:val="Body Text 3 Char"/>
    <w:link w:val="BodyText3"/>
    <w:rsid w:val="009C311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D07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D07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07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78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F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customStyle="1" w:styleId="Default">
    <w:name w:val="Default"/>
    <w:rsid w:val="007F6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B7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8A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78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8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78A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78A8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semiHidden/>
    <w:rsid w:val="0049749E"/>
    <w:pPr>
      <w:spacing w:before="100" w:beforeAutospacing="1" w:after="100" w:afterAutospacing="1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30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348">
          <w:marLeft w:val="0"/>
          <w:marRight w:val="0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6C6C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6888">
          <w:marLeft w:val="0"/>
          <w:marRight w:val="0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6C6C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078">
          <w:marLeft w:val="0"/>
          <w:marRight w:val="0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6C6C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7149">
          <w:marLeft w:val="0"/>
          <w:marRight w:val="0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6C6C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na.malceva@mioa.gov.m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FDD899F6D1C2004AB67F1923B88DCB90" ma:contentTypeVersion="" ma:contentTypeDescription="" ma:contentTypeScope="" ma:versionID="3ddb9f6315d13e21e3aae910734de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ProtocolNumberIn xmlns="http://schemas.microsoft.com/sharepoint/v3" xsi:nil="true"/>
    <DocumentTypeId xmlns="http://schemas.microsoft.com/sharepoint/v3">27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56D750-16FF-4CE3-881C-71BAF18BD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503EE-0989-45F6-88BA-9C0BA2033AE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39D8515-A3A9-4872-B90E-7BAC62C08A83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Нацрт извештеј за ПВР</vt:lpstr>
    </vt:vector>
  </TitlesOfParts>
  <Company>Microsoft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закон за измени и дополнувања на Законот за електронските комуникации</dc:title>
  <cp:lastModifiedBy>Ana Malceva</cp:lastModifiedBy>
  <cp:revision>22</cp:revision>
  <cp:lastPrinted>2015-09-02T10:36:00Z</cp:lastPrinted>
  <dcterms:created xsi:type="dcterms:W3CDTF">2017-11-24T23:45:00Z</dcterms:created>
  <dcterms:modified xsi:type="dcterms:W3CDTF">2019-10-04T10:23:00Z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>i:0e.t|e-vlada.mk sts|ana.malceva</vt:lpwstr>
  </property>
  <property fmtid="{D5CDD505-2E9C-101B-9397-08002B2CF9AE}" pid="3" name="Title">
    <vt:lpwstr>Нацрт извештеј за ПВР</vt:lpwstr>
  </property>
  <property fmtid="{D5CDD505-2E9C-101B-9397-08002B2CF9AE}" pid="4" name="ModifiedBy">
    <vt:lpwstr>i:0e.t|e-vlada.mk sts|ana.malceva</vt:lpwstr>
  </property>
  <property fmtid="{D5CDD505-2E9C-101B-9397-08002B2CF9AE}" pid="5" name="ContentTypeId">
    <vt:lpwstr>0x01010086FCDBBC86574C7ABFC9FD714B80DE6C00FDD899F6D1C2004AB67F1923B88DCB90</vt:lpwstr>
  </property>
</Properties>
</file>