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EF41" w14:textId="4286587E" w:rsidR="00187F5B" w:rsidRDefault="00187F5B" w:rsidP="007F181B">
      <w:pPr>
        <w:jc w:val="center"/>
        <w:rPr>
          <w:rFonts w:ascii="Arial" w:hAnsi="Arial"/>
          <w:b/>
          <w:lang w:val="mk-MK"/>
        </w:rPr>
      </w:pPr>
    </w:p>
    <w:p w14:paraId="36FDA5AD" w14:textId="77777777" w:rsidR="00887870" w:rsidRPr="00FD2AA6" w:rsidRDefault="00887870" w:rsidP="007F181B">
      <w:pPr>
        <w:jc w:val="center"/>
        <w:rPr>
          <w:rFonts w:ascii="Arial" w:hAnsi="Arial"/>
          <w:b/>
          <w:lang w:val="mk-MK"/>
        </w:rPr>
      </w:pPr>
      <w:bookmarkStart w:id="0" w:name="_GoBack"/>
      <w:bookmarkEnd w:id="0"/>
    </w:p>
    <w:p w14:paraId="0EE1ECB5" w14:textId="7324B6A0" w:rsidR="00187F5B" w:rsidRPr="00FD2AA6" w:rsidRDefault="001A0C66" w:rsidP="007F181B">
      <w:pPr>
        <w:jc w:val="center"/>
        <w:rPr>
          <w:rFonts w:ascii="Arial" w:hAnsi="Arial"/>
          <w:b/>
          <w:lang w:val="mk-MK"/>
        </w:rPr>
      </w:pPr>
      <w:r w:rsidRPr="00FD2AA6">
        <w:rPr>
          <w:rFonts w:ascii="Arial" w:hAnsi="Arial"/>
          <w:b/>
          <w:lang w:val="mk-MK"/>
        </w:rPr>
        <w:t>НАЦРТ</w:t>
      </w:r>
      <w:r w:rsidR="00124240" w:rsidRPr="00FD2AA6">
        <w:rPr>
          <w:rFonts w:ascii="Arial" w:hAnsi="Arial"/>
          <w:b/>
          <w:lang w:val="mk-MK"/>
        </w:rPr>
        <w:t xml:space="preserve"> </w:t>
      </w:r>
      <w:r w:rsidR="000A6B7B" w:rsidRPr="00FD2AA6">
        <w:rPr>
          <w:rFonts w:ascii="Arial" w:hAnsi="Arial"/>
          <w:b/>
          <w:lang w:val="mk-MK"/>
        </w:rPr>
        <w:t>ИЗВЕШТАЈ ЗА ПРОЦЕНКА НА ВЛИЈАНИЕТО НА РЕГУЛАТИВАТА</w:t>
      </w:r>
    </w:p>
    <w:p w14:paraId="0C428F4F" w14:textId="77777777" w:rsidR="0087764B" w:rsidRPr="00FD2AA6" w:rsidRDefault="0087764B" w:rsidP="002D2F0A">
      <w:pPr>
        <w:ind w:left="284"/>
        <w:jc w:val="center"/>
        <w:rPr>
          <w:rFonts w:ascii="Arial" w:hAnsi="Arial"/>
          <w:b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926"/>
      </w:tblGrid>
      <w:tr w:rsidR="007F181B" w:rsidRPr="00FD2AA6" w14:paraId="7DD291F9" w14:textId="77777777" w:rsidTr="00187F5B">
        <w:trPr>
          <w:trHeight w:val="287"/>
        </w:trPr>
        <w:tc>
          <w:tcPr>
            <w:tcW w:w="3105" w:type="dxa"/>
            <w:shd w:val="clear" w:color="auto" w:fill="FBD4B4"/>
          </w:tcPr>
          <w:p w14:paraId="70807BF9" w14:textId="77777777" w:rsidR="007F181B" w:rsidRPr="00FD2AA6" w:rsidRDefault="00C771C6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Назив на м</w:t>
            </w:r>
            <w:r w:rsidR="005D0CB8" w:rsidRPr="00FD2AA6">
              <w:rPr>
                <w:rFonts w:ascii="Arial" w:hAnsi="Arial"/>
                <w:sz w:val="22"/>
                <w:szCs w:val="22"/>
                <w:lang w:val="mk-MK"/>
              </w:rPr>
              <w:t>инистерство:</w:t>
            </w:r>
          </w:p>
        </w:tc>
        <w:tc>
          <w:tcPr>
            <w:tcW w:w="6926" w:type="dxa"/>
          </w:tcPr>
          <w:p w14:paraId="0C20FB18" w14:textId="77777777" w:rsidR="006F1327" w:rsidRPr="00FD2AA6" w:rsidRDefault="00A9174B" w:rsidP="007F6CEE">
            <w:pPr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Министерство за здравство</w:t>
            </w:r>
          </w:p>
          <w:p w14:paraId="684D701A" w14:textId="77777777" w:rsidR="00EF65EE" w:rsidRPr="00FD2AA6" w:rsidRDefault="00EF65EE" w:rsidP="007F6CEE">
            <w:pPr>
              <w:rPr>
                <w:rFonts w:ascii="Arial" w:hAnsi="Arial"/>
                <w:sz w:val="22"/>
                <w:szCs w:val="22"/>
                <w:lang w:val="mk-MK"/>
              </w:rPr>
            </w:pPr>
          </w:p>
        </w:tc>
      </w:tr>
      <w:tr w:rsidR="007F181B" w:rsidRPr="00FD2AA6" w14:paraId="03C3E97A" w14:textId="77777777" w:rsidTr="00187F5B">
        <w:trPr>
          <w:trHeight w:val="622"/>
        </w:trPr>
        <w:tc>
          <w:tcPr>
            <w:tcW w:w="3105" w:type="dxa"/>
            <w:shd w:val="clear" w:color="auto" w:fill="FBD4B4"/>
          </w:tcPr>
          <w:p w14:paraId="1236F951" w14:textId="77777777" w:rsidR="007F181B" w:rsidRPr="00FD2AA6" w:rsidRDefault="005D0CB8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Назив на предлог</w:t>
            </w:r>
            <w:r w:rsidR="00F66307" w:rsidRPr="00FD2AA6">
              <w:rPr>
                <w:rFonts w:ascii="Arial" w:hAnsi="Arial"/>
                <w:sz w:val="22"/>
                <w:szCs w:val="22"/>
                <w:lang w:val="mk-MK"/>
              </w:rPr>
              <w:t>от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 </w:t>
            </w:r>
            <w:r w:rsidR="00B413F0"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на </w:t>
            </w:r>
            <w:r w:rsidR="006F1327" w:rsidRPr="00FD2AA6">
              <w:rPr>
                <w:rFonts w:ascii="Arial" w:hAnsi="Arial"/>
                <w:sz w:val="22"/>
                <w:szCs w:val="22"/>
                <w:lang w:val="mk-MK"/>
              </w:rPr>
              <w:t>закон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620755A4" w14:textId="77777777" w:rsidR="007F181B" w:rsidRPr="00FD2AA6" w:rsidRDefault="007F181B" w:rsidP="007F6CEE">
            <w:pPr>
              <w:rPr>
                <w:rFonts w:ascii="Arial" w:hAnsi="Arial"/>
                <w:sz w:val="22"/>
                <w:szCs w:val="22"/>
                <w:lang w:val="mk-MK"/>
              </w:rPr>
            </w:pPr>
          </w:p>
          <w:p w14:paraId="4E6D5DC7" w14:textId="051F7C2C" w:rsidR="00EF65EE" w:rsidRPr="00FD2AA6" w:rsidRDefault="00A9174B" w:rsidP="007F6CEE">
            <w:pPr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Предлог Закон за</w:t>
            </w:r>
            <w:r w:rsidR="001A0C66"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 лекарска дејност</w:t>
            </w:r>
          </w:p>
          <w:p w14:paraId="54B37608" w14:textId="77777777" w:rsidR="00EF65EE" w:rsidRPr="00FD2AA6" w:rsidRDefault="00EF65EE" w:rsidP="007F6CEE">
            <w:pPr>
              <w:rPr>
                <w:rFonts w:ascii="Arial" w:hAnsi="Arial"/>
                <w:sz w:val="22"/>
                <w:szCs w:val="22"/>
                <w:lang w:val="mk-MK"/>
              </w:rPr>
            </w:pPr>
          </w:p>
        </w:tc>
      </w:tr>
      <w:tr w:rsidR="007F181B" w:rsidRPr="00FD2AA6" w14:paraId="59B274A7" w14:textId="77777777" w:rsidTr="00187F5B">
        <w:trPr>
          <w:trHeight w:val="435"/>
        </w:trPr>
        <w:tc>
          <w:tcPr>
            <w:tcW w:w="3105" w:type="dxa"/>
            <w:shd w:val="clear" w:color="auto" w:fill="FBD4B4"/>
          </w:tcPr>
          <w:p w14:paraId="0DE09543" w14:textId="77777777" w:rsidR="007F181B" w:rsidRPr="00FD2AA6" w:rsidRDefault="007F181B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Одговорно лице и контакт информации:</w:t>
            </w:r>
          </w:p>
        </w:tc>
        <w:tc>
          <w:tcPr>
            <w:tcW w:w="6926" w:type="dxa"/>
          </w:tcPr>
          <w:p w14:paraId="7BCAD7B2" w14:textId="77777777" w:rsidR="007F181B" w:rsidRPr="00FD2AA6" w:rsidRDefault="007F181B" w:rsidP="007F6CEE">
            <w:pPr>
              <w:rPr>
                <w:rFonts w:ascii="Arial" w:hAnsi="Arial"/>
                <w:sz w:val="22"/>
                <w:szCs w:val="22"/>
                <w:lang w:val="mk-MK"/>
              </w:rPr>
            </w:pPr>
          </w:p>
          <w:p w14:paraId="2FC1B5E3" w14:textId="77777777" w:rsidR="00A9174B" w:rsidRPr="00FD2AA6" w:rsidRDefault="00A9174B" w:rsidP="00A9174B">
            <w:pPr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м-р Ангелина Бачановиќ</w:t>
            </w:r>
          </w:p>
          <w:p w14:paraId="356B806F" w14:textId="77777777" w:rsidR="00A9174B" w:rsidRPr="00FD2AA6" w:rsidRDefault="008B2C06" w:rsidP="00A9174B">
            <w:pPr>
              <w:rPr>
                <w:rFonts w:ascii="Arial" w:hAnsi="Arial"/>
                <w:sz w:val="22"/>
                <w:szCs w:val="22"/>
                <w:lang w:val="mk-MK"/>
              </w:rPr>
            </w:pPr>
            <w:hyperlink r:id="rId11" w:history="1">
              <w:r w:rsidR="00A9174B" w:rsidRPr="00FD2AA6">
                <w:rPr>
                  <w:rStyle w:val="Hyperlink"/>
                  <w:rFonts w:ascii="Arial" w:hAnsi="Arial"/>
                  <w:sz w:val="22"/>
                  <w:szCs w:val="22"/>
                  <w:lang w:val="mk-MK"/>
                </w:rPr>
                <w:t>angelina.bacanovik@zdravstvo.gov.mk</w:t>
              </w:r>
            </w:hyperlink>
          </w:p>
          <w:p w14:paraId="782AFA49" w14:textId="77777777" w:rsidR="00A9174B" w:rsidRPr="00FD2AA6" w:rsidRDefault="00A9174B" w:rsidP="00A9174B">
            <w:pPr>
              <w:rPr>
                <w:rFonts w:ascii="Arial" w:hAnsi="Arial"/>
                <w:sz w:val="22"/>
                <w:szCs w:val="22"/>
                <w:lang w:val="mk-MK"/>
              </w:rPr>
            </w:pPr>
          </w:p>
          <w:p w14:paraId="40320339" w14:textId="77777777" w:rsidR="00EF65EE" w:rsidRPr="00FD2AA6" w:rsidRDefault="00EF65EE" w:rsidP="001A0C66">
            <w:pPr>
              <w:rPr>
                <w:rFonts w:ascii="Arial" w:hAnsi="Arial"/>
                <w:sz w:val="22"/>
                <w:szCs w:val="22"/>
                <w:lang w:val="mk-MK"/>
              </w:rPr>
            </w:pPr>
          </w:p>
        </w:tc>
      </w:tr>
      <w:tr w:rsidR="00855CE5" w:rsidRPr="00FD2AA6" w14:paraId="76E9CAB4" w14:textId="77777777" w:rsidTr="00187F5B">
        <w:trPr>
          <w:trHeight w:val="458"/>
        </w:trPr>
        <w:tc>
          <w:tcPr>
            <w:tcW w:w="3105" w:type="dxa"/>
            <w:shd w:val="clear" w:color="auto" w:fill="FBD4B4"/>
          </w:tcPr>
          <w:p w14:paraId="2E32076E" w14:textId="77777777" w:rsidR="00EF65EE" w:rsidRPr="00FD2AA6" w:rsidRDefault="00EF65EE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</w:p>
          <w:p w14:paraId="5053DBDB" w14:textId="77777777" w:rsidR="00855CE5" w:rsidRPr="00FD2AA6" w:rsidRDefault="00855CE5" w:rsidP="00187F5B">
            <w:pPr>
              <w:jc w:val="center"/>
              <w:rPr>
                <w:rFonts w:ascii="Arial" w:hAnsi="Arial"/>
                <w:sz w:val="22"/>
                <w:szCs w:val="22"/>
                <w:highlight w:val="yellow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Вид на Извештај</w:t>
            </w:r>
            <w:r w:rsidR="00EF65EE" w:rsidRPr="00FD2AA6">
              <w:rPr>
                <w:rFonts w:ascii="Arial" w:hAnsi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  <w:shd w:val="clear" w:color="auto" w:fill="auto"/>
          </w:tcPr>
          <w:p w14:paraId="3C2632AE" w14:textId="29776269" w:rsidR="00EF65EE" w:rsidRPr="00FD2AA6" w:rsidRDefault="00E45C16" w:rsidP="00EF65EE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  <w:r w:rsidRPr="00FD2AA6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2"/>
            <w:r w:rsidRPr="00FD2AA6">
              <w:rPr>
                <w:rFonts w:ascii="Arial" w:hAnsi="Arial"/>
              </w:rPr>
              <w:instrText xml:space="preserve"> FORMCHECKBOX </w:instrText>
            </w:r>
            <w:r w:rsidR="008B2C06">
              <w:rPr>
                <w:rFonts w:ascii="Arial" w:hAnsi="Arial"/>
              </w:rPr>
            </w:r>
            <w:r w:rsidR="008B2C06">
              <w:rPr>
                <w:rFonts w:ascii="Arial" w:hAnsi="Arial"/>
              </w:rPr>
              <w:fldChar w:fldCharType="separate"/>
            </w:r>
            <w:r w:rsidRPr="00FD2AA6">
              <w:rPr>
                <w:rFonts w:ascii="Arial" w:hAnsi="Arial"/>
              </w:rPr>
              <w:fldChar w:fldCharType="end"/>
            </w:r>
            <w:bookmarkEnd w:id="1"/>
            <w:r w:rsidR="00A9174B" w:rsidRPr="00FD2AA6">
              <w:rPr>
                <w:rFonts w:ascii="Arial" w:hAnsi="Arial"/>
              </w:rPr>
              <w:t xml:space="preserve">Нацрт </w:t>
            </w:r>
          </w:p>
          <w:p w14:paraId="20731A0D" w14:textId="6E03F914" w:rsidR="00855CE5" w:rsidRPr="00FD2AA6" w:rsidRDefault="00E45C16" w:rsidP="00EF65EE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  <w:r w:rsidRPr="00FD2AA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D2AA6">
              <w:rPr>
                <w:rFonts w:ascii="Arial" w:hAnsi="Arial"/>
              </w:rPr>
              <w:instrText xml:space="preserve"> FORMCHECKBOX </w:instrText>
            </w:r>
            <w:r w:rsidR="008B2C06">
              <w:rPr>
                <w:rFonts w:ascii="Arial" w:hAnsi="Arial"/>
              </w:rPr>
            </w:r>
            <w:r w:rsidR="008B2C06">
              <w:rPr>
                <w:rFonts w:ascii="Arial" w:hAnsi="Arial"/>
              </w:rPr>
              <w:fldChar w:fldCharType="separate"/>
            </w:r>
            <w:r w:rsidRPr="00FD2AA6">
              <w:rPr>
                <w:rFonts w:ascii="Arial" w:hAnsi="Arial"/>
              </w:rPr>
              <w:fldChar w:fldCharType="end"/>
            </w:r>
            <w:r w:rsidR="00B020B6" w:rsidRPr="00FD2AA6">
              <w:rPr>
                <w:rFonts w:ascii="Arial" w:hAnsi="Arial"/>
              </w:rPr>
              <w:t xml:space="preserve">Предлог </w:t>
            </w:r>
          </w:p>
          <w:p w14:paraId="7ABB1A38" w14:textId="77777777" w:rsidR="00EF65EE" w:rsidRPr="00FD2AA6" w:rsidRDefault="00EF65EE" w:rsidP="00EF65EE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</w:p>
        </w:tc>
      </w:tr>
      <w:tr w:rsidR="007F181B" w:rsidRPr="00FD2AA6" w14:paraId="603E4E54" w14:textId="77777777" w:rsidTr="00187F5B">
        <w:trPr>
          <w:trHeight w:val="1243"/>
        </w:trPr>
        <w:tc>
          <w:tcPr>
            <w:tcW w:w="3105" w:type="dxa"/>
            <w:shd w:val="clear" w:color="auto" w:fill="FBD4B4"/>
          </w:tcPr>
          <w:p w14:paraId="02125F0B" w14:textId="77777777" w:rsidR="00EF65EE" w:rsidRPr="00FD2AA6" w:rsidRDefault="00EF65EE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</w:p>
          <w:p w14:paraId="15D4E205" w14:textId="77777777" w:rsidR="00EF65EE" w:rsidRPr="00FD2AA6" w:rsidRDefault="00EF65EE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</w:p>
          <w:p w14:paraId="22EF9610" w14:textId="77777777" w:rsidR="007F181B" w:rsidRPr="00FD2AA6" w:rsidRDefault="007F181B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Обврската за подготовка на предлог</w:t>
            </w:r>
            <w:r w:rsidR="00F66307" w:rsidRPr="00FD2AA6">
              <w:rPr>
                <w:rFonts w:ascii="Arial" w:hAnsi="Arial"/>
                <w:sz w:val="22"/>
                <w:szCs w:val="22"/>
                <w:lang w:val="mk-MK"/>
              </w:rPr>
              <w:t>от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 </w:t>
            </w:r>
            <w:r w:rsidR="00B413F0"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на </w:t>
            </w:r>
            <w:r w:rsidR="00C771C6"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закон 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>произлегува од:</w:t>
            </w:r>
          </w:p>
        </w:tc>
        <w:tc>
          <w:tcPr>
            <w:tcW w:w="6926" w:type="dxa"/>
          </w:tcPr>
          <w:p w14:paraId="5C5CAFCA" w14:textId="3EBA2E89" w:rsidR="007F181B" w:rsidRPr="00FD2AA6" w:rsidRDefault="001A0C66" w:rsidP="00EF65EE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  <w:r w:rsidRPr="00FD2AA6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A6">
              <w:rPr>
                <w:rFonts w:ascii="Arial" w:hAnsi="Arial"/>
              </w:rPr>
              <w:instrText xml:space="preserve"> FORMCHECKBOX </w:instrText>
            </w:r>
            <w:r w:rsidR="008B2C06">
              <w:rPr>
                <w:rFonts w:ascii="Arial" w:hAnsi="Arial"/>
              </w:rPr>
            </w:r>
            <w:r w:rsidR="008B2C06">
              <w:rPr>
                <w:rFonts w:ascii="Arial" w:hAnsi="Arial"/>
              </w:rPr>
              <w:fldChar w:fldCharType="separate"/>
            </w:r>
            <w:r w:rsidRPr="00FD2AA6">
              <w:rPr>
                <w:rFonts w:ascii="Arial" w:hAnsi="Arial"/>
              </w:rPr>
              <w:fldChar w:fldCharType="end"/>
            </w:r>
            <w:r w:rsidR="00FD2AA6">
              <w:rPr>
                <w:rFonts w:ascii="Arial" w:hAnsi="Arial"/>
              </w:rPr>
              <w:t xml:space="preserve"> </w:t>
            </w:r>
            <w:r w:rsidR="00187F5B" w:rsidRPr="00FD2AA6">
              <w:rPr>
                <w:rFonts w:ascii="Arial" w:hAnsi="Arial"/>
              </w:rPr>
              <w:t>Годишна п</w:t>
            </w:r>
            <w:r w:rsidR="007F181B" w:rsidRPr="00FD2AA6">
              <w:rPr>
                <w:rFonts w:ascii="Arial" w:hAnsi="Arial"/>
              </w:rPr>
              <w:t>рограма за работа на Владата</w:t>
            </w:r>
            <w:r w:rsidR="001D3748" w:rsidRPr="00FD2AA6">
              <w:rPr>
                <w:rFonts w:ascii="Arial" w:hAnsi="Arial"/>
              </w:rPr>
              <w:t xml:space="preserve"> на Република</w:t>
            </w:r>
            <w:r w:rsidR="00EF65EE" w:rsidRPr="00FD2AA6">
              <w:rPr>
                <w:rFonts w:ascii="Arial" w:hAnsi="Arial"/>
              </w:rPr>
              <w:t xml:space="preserve"> Северна</w:t>
            </w:r>
            <w:r w:rsidR="00187F5B" w:rsidRPr="00FD2AA6">
              <w:rPr>
                <w:rFonts w:ascii="Arial" w:hAnsi="Arial"/>
              </w:rPr>
              <w:t xml:space="preserve"> </w:t>
            </w:r>
            <w:r w:rsidR="001D3748" w:rsidRPr="00FD2AA6">
              <w:rPr>
                <w:rFonts w:ascii="Arial" w:hAnsi="Arial"/>
              </w:rPr>
              <w:t>Македонија</w:t>
            </w:r>
          </w:p>
          <w:p w14:paraId="64603A38" w14:textId="70BD4E1E" w:rsidR="007F181B" w:rsidRPr="00FD2AA6" w:rsidRDefault="001A0C66" w:rsidP="00EF65EE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  <w:r w:rsidRPr="00FD2AA6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A6">
              <w:rPr>
                <w:rFonts w:ascii="Arial" w:hAnsi="Arial"/>
              </w:rPr>
              <w:instrText xml:space="preserve"> FORMCHECKBOX </w:instrText>
            </w:r>
            <w:r w:rsidR="008B2C06">
              <w:rPr>
                <w:rFonts w:ascii="Arial" w:hAnsi="Arial"/>
              </w:rPr>
            </w:r>
            <w:r w:rsidR="008B2C06">
              <w:rPr>
                <w:rFonts w:ascii="Arial" w:hAnsi="Arial"/>
              </w:rPr>
              <w:fldChar w:fldCharType="separate"/>
            </w:r>
            <w:r w:rsidRPr="00FD2AA6">
              <w:rPr>
                <w:rFonts w:ascii="Arial" w:hAnsi="Arial"/>
              </w:rPr>
              <w:fldChar w:fldCharType="end"/>
            </w:r>
            <w:r w:rsidR="00FD2AA6">
              <w:rPr>
                <w:rFonts w:ascii="Arial" w:hAnsi="Arial"/>
              </w:rPr>
              <w:t xml:space="preserve"> </w:t>
            </w:r>
            <w:r w:rsidR="007F181B" w:rsidRPr="00FD2AA6">
              <w:rPr>
                <w:rFonts w:ascii="Arial" w:hAnsi="Arial"/>
              </w:rPr>
              <w:t>НПАА</w:t>
            </w:r>
          </w:p>
          <w:p w14:paraId="3E7DB1C6" w14:textId="77777777" w:rsidR="007F181B" w:rsidRPr="00FD2AA6" w:rsidRDefault="0041785E" w:rsidP="00EF65EE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  <w:r w:rsidRPr="00FD2AA6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="00107852" w:rsidRPr="00FD2AA6">
              <w:rPr>
                <w:rFonts w:ascii="Arial" w:hAnsi="Arial"/>
              </w:rPr>
              <w:instrText xml:space="preserve"> FORMCHECKBOX </w:instrText>
            </w:r>
            <w:r w:rsidR="008B2C06">
              <w:rPr>
                <w:rFonts w:ascii="Arial" w:hAnsi="Arial"/>
              </w:rPr>
            </w:r>
            <w:r w:rsidR="008B2C06">
              <w:rPr>
                <w:rFonts w:ascii="Arial" w:hAnsi="Arial"/>
              </w:rPr>
              <w:fldChar w:fldCharType="separate"/>
            </w:r>
            <w:r w:rsidRPr="00FD2AA6">
              <w:rPr>
                <w:rFonts w:ascii="Arial" w:hAnsi="Arial"/>
              </w:rPr>
              <w:fldChar w:fldCharType="end"/>
            </w:r>
            <w:bookmarkEnd w:id="2"/>
            <w:r w:rsidR="00EF65EE" w:rsidRPr="00FD2AA6">
              <w:rPr>
                <w:rFonts w:ascii="Arial" w:hAnsi="Arial"/>
              </w:rPr>
              <w:t xml:space="preserve"> </w:t>
            </w:r>
            <w:r w:rsidR="007F181B" w:rsidRPr="00FD2AA6">
              <w:rPr>
                <w:rFonts w:ascii="Arial" w:hAnsi="Arial"/>
              </w:rPr>
              <w:t>Заклучок на Владата</w:t>
            </w:r>
            <w:r w:rsidR="001D3748" w:rsidRPr="00FD2AA6">
              <w:rPr>
                <w:rFonts w:ascii="Arial" w:hAnsi="Arial"/>
              </w:rPr>
              <w:t xml:space="preserve"> на Република </w:t>
            </w:r>
            <w:r w:rsidR="00EF65EE" w:rsidRPr="00FD2AA6">
              <w:rPr>
                <w:rFonts w:ascii="Arial" w:hAnsi="Arial"/>
              </w:rPr>
              <w:t xml:space="preserve">Северна </w:t>
            </w:r>
            <w:r w:rsidR="001D3748" w:rsidRPr="00FD2AA6">
              <w:rPr>
                <w:rFonts w:ascii="Arial" w:hAnsi="Arial"/>
              </w:rPr>
              <w:t>Македонија</w:t>
            </w:r>
          </w:p>
          <w:p w14:paraId="34BD60FB" w14:textId="77777777" w:rsidR="007F181B" w:rsidRPr="00FD2AA6" w:rsidRDefault="0041785E" w:rsidP="00EF65EE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  <w:r w:rsidRPr="00FD2AA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107852" w:rsidRPr="00FD2AA6">
              <w:rPr>
                <w:rFonts w:ascii="Arial" w:hAnsi="Arial"/>
              </w:rPr>
              <w:instrText xml:space="preserve"> FORMCHECKBOX </w:instrText>
            </w:r>
            <w:r w:rsidR="008B2C06">
              <w:rPr>
                <w:rFonts w:ascii="Arial" w:hAnsi="Arial"/>
              </w:rPr>
            </w:r>
            <w:r w:rsidR="008B2C06">
              <w:rPr>
                <w:rFonts w:ascii="Arial" w:hAnsi="Arial"/>
              </w:rPr>
              <w:fldChar w:fldCharType="separate"/>
            </w:r>
            <w:r w:rsidRPr="00FD2AA6">
              <w:rPr>
                <w:rFonts w:ascii="Arial" w:hAnsi="Arial"/>
              </w:rPr>
              <w:fldChar w:fldCharType="end"/>
            </w:r>
            <w:bookmarkEnd w:id="3"/>
            <w:r w:rsidR="007F181B" w:rsidRPr="00FD2AA6">
              <w:rPr>
                <w:rFonts w:ascii="Arial" w:hAnsi="Arial"/>
              </w:rPr>
              <w:t>Друго _____________________________________</w:t>
            </w:r>
          </w:p>
        </w:tc>
      </w:tr>
      <w:tr w:rsidR="007F181B" w:rsidRPr="00FD2AA6" w14:paraId="6EBF4732" w14:textId="77777777" w:rsidTr="00187F5B">
        <w:trPr>
          <w:trHeight w:val="634"/>
        </w:trPr>
        <w:tc>
          <w:tcPr>
            <w:tcW w:w="3105" w:type="dxa"/>
            <w:shd w:val="clear" w:color="auto" w:fill="FBD4B4"/>
          </w:tcPr>
          <w:p w14:paraId="514FE1DA" w14:textId="77777777" w:rsidR="007F181B" w:rsidRPr="00FD2AA6" w:rsidRDefault="007F181B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Поврзаност со Директивите на ЕУ</w:t>
            </w:r>
            <w:r w:rsidR="00EF65EE" w:rsidRPr="00FD2AA6">
              <w:rPr>
                <w:rFonts w:ascii="Arial" w:hAnsi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00985346" w14:textId="77777777" w:rsidR="007F181B" w:rsidRPr="00FD2AA6" w:rsidRDefault="00A9174B" w:rsidP="00EF65EE">
            <w:pPr>
              <w:pStyle w:val="ListParagraph"/>
              <w:ind w:left="23"/>
              <w:rPr>
                <w:rFonts w:ascii="Arial" w:hAnsi="Arial"/>
              </w:rPr>
            </w:pPr>
            <w:proofErr w:type="spellStart"/>
            <w:r w:rsidRPr="00FD2AA6">
              <w:rPr>
                <w:rFonts w:ascii="Arial" w:hAnsi="Arial"/>
              </w:rPr>
              <w:t>He</w:t>
            </w:r>
            <w:proofErr w:type="spellEnd"/>
          </w:p>
        </w:tc>
      </w:tr>
      <w:tr w:rsidR="007F181B" w:rsidRPr="00FD2AA6" w14:paraId="4BC90186" w14:textId="77777777" w:rsidTr="00E45C16">
        <w:trPr>
          <w:trHeight w:val="918"/>
        </w:trPr>
        <w:tc>
          <w:tcPr>
            <w:tcW w:w="3105" w:type="dxa"/>
            <w:shd w:val="clear" w:color="auto" w:fill="FBD4B4"/>
          </w:tcPr>
          <w:p w14:paraId="3B1B2DCB" w14:textId="77777777" w:rsidR="007F181B" w:rsidRPr="00FD2AA6" w:rsidRDefault="007F181B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Дали нацрт извештајот содржи информации согласно </w:t>
            </w:r>
            <w:r w:rsidR="00F66307" w:rsidRPr="00FD2AA6">
              <w:rPr>
                <w:rFonts w:ascii="Arial" w:hAnsi="Arial"/>
                <w:sz w:val="22"/>
                <w:szCs w:val="22"/>
                <w:lang w:val="mk-MK"/>
              </w:rPr>
              <w:t>прописите кои се однесуваат на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 класифицирани</w:t>
            </w:r>
            <w:r w:rsidR="00F66307" w:rsidRPr="00FD2AA6">
              <w:rPr>
                <w:rFonts w:ascii="Arial" w:hAnsi="Arial"/>
                <w:sz w:val="22"/>
                <w:szCs w:val="22"/>
                <w:lang w:val="mk-MK"/>
              </w:rPr>
              <w:t>те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 информации</w:t>
            </w:r>
            <w:r w:rsidR="00EF65EE" w:rsidRPr="00FD2AA6">
              <w:rPr>
                <w:rFonts w:ascii="Arial" w:hAnsi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1CB8A807" w14:textId="77777777" w:rsidR="007F181B" w:rsidRPr="00FD2AA6" w:rsidRDefault="0041785E" w:rsidP="00EF65EE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  <w:r w:rsidRPr="00FD2AA6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7"/>
            <w:r w:rsidR="00107852" w:rsidRPr="00FD2AA6">
              <w:rPr>
                <w:rFonts w:ascii="Arial" w:hAnsi="Arial"/>
              </w:rPr>
              <w:instrText xml:space="preserve"> FORMCHECKBOX </w:instrText>
            </w:r>
            <w:r w:rsidR="008B2C06">
              <w:rPr>
                <w:rFonts w:ascii="Arial" w:hAnsi="Arial"/>
              </w:rPr>
            </w:r>
            <w:r w:rsidR="008B2C06">
              <w:rPr>
                <w:rFonts w:ascii="Arial" w:hAnsi="Arial"/>
              </w:rPr>
              <w:fldChar w:fldCharType="separate"/>
            </w:r>
            <w:r w:rsidRPr="00FD2AA6">
              <w:rPr>
                <w:rFonts w:ascii="Arial" w:hAnsi="Arial"/>
              </w:rPr>
              <w:fldChar w:fldCharType="end"/>
            </w:r>
            <w:bookmarkEnd w:id="4"/>
            <w:r w:rsidR="007F181B" w:rsidRPr="00FD2AA6">
              <w:rPr>
                <w:rFonts w:ascii="Arial" w:hAnsi="Arial"/>
              </w:rPr>
              <w:t>Да</w:t>
            </w:r>
          </w:p>
          <w:p w14:paraId="366FECDF" w14:textId="77777777" w:rsidR="00EF65EE" w:rsidRPr="00FD2AA6" w:rsidRDefault="00EF65EE" w:rsidP="00EF65EE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</w:p>
          <w:p w14:paraId="7EDEFE26" w14:textId="77777777" w:rsidR="007F181B" w:rsidRPr="00FD2AA6" w:rsidRDefault="0041785E" w:rsidP="00A9174B">
            <w:pPr>
              <w:pStyle w:val="ListParagraph"/>
              <w:spacing w:after="0" w:line="240" w:lineRule="auto"/>
              <w:ind w:left="23"/>
              <w:rPr>
                <w:rFonts w:ascii="Arial" w:hAnsi="Arial"/>
              </w:rPr>
            </w:pPr>
            <w:r w:rsidRPr="00FD2AA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174B" w:rsidRPr="00FD2AA6">
              <w:rPr>
                <w:rFonts w:ascii="Arial" w:hAnsi="Arial"/>
              </w:rPr>
              <w:instrText xml:space="preserve"> FORMCHECKBOX </w:instrText>
            </w:r>
            <w:r w:rsidR="008B2C06">
              <w:rPr>
                <w:rFonts w:ascii="Arial" w:hAnsi="Arial"/>
              </w:rPr>
            </w:r>
            <w:r w:rsidR="008B2C06">
              <w:rPr>
                <w:rFonts w:ascii="Arial" w:hAnsi="Arial"/>
              </w:rPr>
              <w:fldChar w:fldCharType="separate"/>
            </w:r>
            <w:r w:rsidRPr="00FD2AA6">
              <w:rPr>
                <w:rFonts w:ascii="Arial" w:hAnsi="Arial"/>
              </w:rPr>
              <w:fldChar w:fldCharType="end"/>
            </w:r>
            <w:r w:rsidR="007F181B" w:rsidRPr="00FD2AA6">
              <w:rPr>
                <w:rFonts w:ascii="Arial" w:hAnsi="Arial"/>
              </w:rPr>
              <w:t>Не</w:t>
            </w:r>
          </w:p>
        </w:tc>
      </w:tr>
      <w:tr w:rsidR="007F181B" w:rsidRPr="00FD2AA6" w14:paraId="53EA4152" w14:textId="77777777" w:rsidTr="00187F5B">
        <w:trPr>
          <w:trHeight w:val="551"/>
        </w:trPr>
        <w:tc>
          <w:tcPr>
            <w:tcW w:w="3105" w:type="dxa"/>
            <w:shd w:val="clear" w:color="auto" w:fill="FBD4B4"/>
          </w:tcPr>
          <w:p w14:paraId="794C461F" w14:textId="77777777" w:rsidR="007F181B" w:rsidRPr="00FD2AA6" w:rsidRDefault="007F181B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926" w:type="dxa"/>
          </w:tcPr>
          <w:p w14:paraId="7E2B084C" w14:textId="7C99CDA6" w:rsidR="007F181B" w:rsidRPr="00FD2AA6" w:rsidRDefault="007F181B" w:rsidP="007F6CEE">
            <w:pPr>
              <w:rPr>
                <w:rFonts w:ascii="Arial" w:hAnsi="Arial"/>
                <w:color w:val="FF0000"/>
                <w:sz w:val="22"/>
                <w:szCs w:val="22"/>
                <w:lang w:val="mk-MK"/>
              </w:rPr>
            </w:pPr>
          </w:p>
        </w:tc>
      </w:tr>
      <w:tr w:rsidR="007F181B" w:rsidRPr="00FD2AA6" w14:paraId="61F5C42A" w14:textId="77777777" w:rsidTr="00187F5B">
        <w:trPr>
          <w:trHeight w:val="691"/>
        </w:trPr>
        <w:tc>
          <w:tcPr>
            <w:tcW w:w="3105" w:type="dxa"/>
            <w:shd w:val="clear" w:color="auto" w:fill="FBD4B4"/>
          </w:tcPr>
          <w:p w14:paraId="5CD8CE6A" w14:textId="77777777" w:rsidR="007F181B" w:rsidRPr="00FD2AA6" w:rsidRDefault="007F181B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Датум на доставување на нацрт Извештајот до</w:t>
            </w:r>
            <w:r w:rsidR="001D3748"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 Министерството за информатичко општество и администрација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04739A5E" w14:textId="33735683" w:rsidR="007F181B" w:rsidRPr="00FD2AA6" w:rsidRDefault="007F181B" w:rsidP="007F6CEE">
            <w:pPr>
              <w:rPr>
                <w:rFonts w:ascii="Arial" w:hAnsi="Arial"/>
                <w:sz w:val="22"/>
                <w:szCs w:val="22"/>
                <w:lang w:val="mk-MK"/>
              </w:rPr>
            </w:pPr>
          </w:p>
        </w:tc>
      </w:tr>
      <w:tr w:rsidR="007F181B" w:rsidRPr="00FD2AA6" w14:paraId="576A9CD7" w14:textId="77777777" w:rsidTr="00187F5B">
        <w:trPr>
          <w:trHeight w:val="622"/>
        </w:trPr>
        <w:tc>
          <w:tcPr>
            <w:tcW w:w="3105" w:type="dxa"/>
            <w:shd w:val="clear" w:color="auto" w:fill="FBD4B4"/>
          </w:tcPr>
          <w:p w14:paraId="2C736C0E" w14:textId="77777777" w:rsidR="007F181B" w:rsidRPr="00FD2AA6" w:rsidRDefault="007F181B" w:rsidP="00187F5B">
            <w:pPr>
              <w:jc w:val="center"/>
              <w:rPr>
                <w:rFonts w:ascii="Arial" w:hAnsi="Arial"/>
                <w:sz w:val="22"/>
                <w:szCs w:val="22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Датум на </w:t>
            </w:r>
            <w:r w:rsidR="00C53BBF"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добивање 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на мислењето од </w:t>
            </w:r>
            <w:r w:rsidR="001D3748" w:rsidRPr="00FD2AA6">
              <w:rPr>
                <w:rFonts w:ascii="Arial" w:hAnsi="Arial"/>
                <w:sz w:val="22"/>
                <w:szCs w:val="22"/>
                <w:lang w:val="mk-MK"/>
              </w:rPr>
              <w:t>Министерството за информатичко општество и администрација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63052508" w14:textId="6ACAA725" w:rsidR="007F181B" w:rsidRPr="00FD2AA6" w:rsidRDefault="007F181B" w:rsidP="007F6CEE">
            <w:pPr>
              <w:rPr>
                <w:rFonts w:ascii="Arial" w:hAnsi="Arial"/>
                <w:sz w:val="22"/>
                <w:szCs w:val="22"/>
                <w:lang w:val="mk-MK"/>
              </w:rPr>
            </w:pPr>
          </w:p>
        </w:tc>
      </w:tr>
      <w:tr w:rsidR="007F181B" w:rsidRPr="00FD2AA6" w14:paraId="2EA1EC7B" w14:textId="77777777" w:rsidTr="00187F5B">
        <w:trPr>
          <w:trHeight w:val="790"/>
        </w:trPr>
        <w:tc>
          <w:tcPr>
            <w:tcW w:w="3105" w:type="dxa"/>
            <w:shd w:val="clear" w:color="auto" w:fill="FBD4B4"/>
          </w:tcPr>
          <w:p w14:paraId="300FC464" w14:textId="77777777" w:rsidR="007F181B" w:rsidRPr="00FD2AA6" w:rsidRDefault="007F181B" w:rsidP="00187F5B">
            <w:pPr>
              <w:jc w:val="center"/>
              <w:rPr>
                <w:rFonts w:ascii="Arial" w:hAnsi="Arial"/>
                <w:sz w:val="22"/>
                <w:szCs w:val="22"/>
                <w:highlight w:val="yellow"/>
                <w:lang w:val="mk-MK"/>
              </w:rPr>
            </w:pPr>
            <w:r w:rsidRPr="00FD2AA6">
              <w:rPr>
                <w:rFonts w:ascii="Arial" w:hAnsi="Arial"/>
                <w:sz w:val="22"/>
                <w:szCs w:val="22"/>
                <w:lang w:val="mk-MK"/>
              </w:rPr>
              <w:t>Рок за доставување на предлог</w:t>
            </w:r>
            <w:r w:rsidR="00F66307" w:rsidRPr="00FD2AA6">
              <w:rPr>
                <w:rFonts w:ascii="Arial" w:hAnsi="Arial"/>
                <w:sz w:val="22"/>
                <w:szCs w:val="22"/>
                <w:lang w:val="mk-MK"/>
              </w:rPr>
              <w:t>от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 </w:t>
            </w:r>
            <w:r w:rsidR="00B413F0" w:rsidRPr="00FD2AA6">
              <w:rPr>
                <w:rFonts w:ascii="Arial" w:hAnsi="Arial"/>
                <w:sz w:val="22"/>
                <w:szCs w:val="22"/>
                <w:lang w:val="mk-MK"/>
              </w:rPr>
              <w:t xml:space="preserve">на </w:t>
            </w:r>
            <w:r w:rsidRPr="00FD2AA6">
              <w:rPr>
                <w:rFonts w:ascii="Arial" w:hAnsi="Arial"/>
                <w:sz w:val="22"/>
                <w:szCs w:val="22"/>
                <w:lang w:val="mk-MK"/>
              </w:rPr>
              <w:t>закон до Генералниот секретаријат</w:t>
            </w:r>
          </w:p>
        </w:tc>
        <w:tc>
          <w:tcPr>
            <w:tcW w:w="6926" w:type="dxa"/>
          </w:tcPr>
          <w:p w14:paraId="67EDF376" w14:textId="7B7B222F" w:rsidR="007F181B" w:rsidRPr="00FD2AA6" w:rsidRDefault="007F181B" w:rsidP="007F6CEE">
            <w:pPr>
              <w:rPr>
                <w:rFonts w:ascii="Arial" w:hAnsi="Arial"/>
                <w:sz w:val="22"/>
                <w:szCs w:val="22"/>
                <w:lang w:val="mk-MK"/>
              </w:rPr>
            </w:pPr>
          </w:p>
        </w:tc>
      </w:tr>
    </w:tbl>
    <w:p w14:paraId="0763C22A" w14:textId="5856F251" w:rsidR="00E62DC4" w:rsidRPr="00FD2AA6" w:rsidRDefault="00BF3641" w:rsidP="00FD2AA6">
      <w:pPr>
        <w:pStyle w:val="Heading1"/>
        <w:rPr>
          <w:rFonts w:cs="Calibri"/>
        </w:rPr>
      </w:pPr>
      <w:r w:rsidRPr="00FD2AA6">
        <w:lastRenderedPageBreak/>
        <w:t>Опис на состојбите во областа и дефинирање на проблемот</w:t>
      </w:r>
    </w:p>
    <w:p w14:paraId="768C9C3B" w14:textId="446C7170" w:rsidR="00BF3641" w:rsidRPr="00FD2AA6" w:rsidRDefault="00BF3641" w:rsidP="00FD2AA6">
      <w:pPr>
        <w:pStyle w:val="Heading2"/>
      </w:pPr>
      <w:r w:rsidRPr="00FD2AA6">
        <w:t xml:space="preserve">Опис на состојбите </w:t>
      </w:r>
    </w:p>
    <w:p w14:paraId="6208F935" w14:textId="7A6938E0" w:rsidR="009500C2" w:rsidRPr="00FD2AA6" w:rsidRDefault="001A0C66" w:rsidP="00FD2AA6">
      <w:pPr>
        <w:pStyle w:val="Tekst"/>
      </w:pPr>
      <w:r w:rsidRPr="00FD2AA6">
        <w:t xml:space="preserve">Со Законот за здравствената заштита („Службен весник на Република Македонија”, бр. 43/12, 145/12, 87/13, 164/13, 39/14, 43/14, 132/14, 188/14, 10/15, 61/15, 154/15, 192/15, 17/16, 37/16 и 20/19) е уредена, покрај другото, и материјата </w:t>
      </w:r>
      <w:bookmarkStart w:id="5" w:name="_Hlk8982020"/>
      <w:r w:rsidRPr="00FD2AA6">
        <w:t xml:space="preserve">поврзана со здравствените работници со високо образование од областа на медицината, издавањето, </w:t>
      </w:r>
      <w:bookmarkStart w:id="6" w:name="_Hlk8981872"/>
      <w:r w:rsidRPr="00FD2AA6">
        <w:t xml:space="preserve">обновувањето, продолжувањето </w:t>
      </w:r>
      <w:bookmarkEnd w:id="6"/>
      <w:r w:rsidRPr="00FD2AA6">
        <w:t>и одземањето на лиценците за работа</w:t>
      </w:r>
      <w:bookmarkEnd w:id="5"/>
      <w:r w:rsidRPr="00FD2AA6">
        <w:t xml:space="preserve">, статусот на </w:t>
      </w:r>
      <w:bookmarkStart w:id="7" w:name="_Hlk8912918"/>
      <w:r w:rsidRPr="00FD2AA6">
        <w:t xml:space="preserve">Лекарската комора на </w:t>
      </w:r>
      <w:bookmarkEnd w:id="7"/>
      <w:r w:rsidRPr="00FD2AA6">
        <w:t>Република Северна Македонија и јавните овластувања на Комората во постапката за издавање, обновување, продолжување и одземање на лиценците за работа и вршењето на стручниот надзор над работата на здравствените работници.</w:t>
      </w:r>
      <w:r w:rsidR="00FD2AA6">
        <w:t xml:space="preserve"> </w:t>
      </w:r>
      <w:r w:rsidR="00701E4B" w:rsidRPr="00FD2AA6">
        <w:t>Освен што се</w:t>
      </w:r>
      <w:r w:rsidR="00FD2AA6">
        <w:t xml:space="preserve"> </w:t>
      </w:r>
      <w:r w:rsidR="00701E4B" w:rsidRPr="00FD2AA6">
        <w:t>уредени правата и обврските на лекарите како вработени во јавните здравствени установи, уредени се и одделни прашања поврзани со правата и обврските на докторите на медицина кои произлегуваат од вршењето на професијата.</w:t>
      </w:r>
    </w:p>
    <w:p w14:paraId="45DA88CB" w14:textId="4344983B" w:rsidR="00446923" w:rsidRPr="00FD2AA6" w:rsidRDefault="009500C2" w:rsidP="00FD2AA6">
      <w:pPr>
        <w:pStyle w:val="Tekst"/>
      </w:pPr>
      <w:r w:rsidRPr="00FD2AA6">
        <w:t>Д</w:t>
      </w:r>
      <w:r w:rsidRPr="00FD2AA6">
        <w:rPr>
          <w:lang w:eastAsia="mk-MK"/>
        </w:rPr>
        <w:t>окторите на медицина</w:t>
      </w:r>
      <w:r w:rsidR="00701E4B" w:rsidRPr="00FD2AA6">
        <w:rPr>
          <w:lang w:eastAsia="mk-MK"/>
        </w:rPr>
        <w:t>, согласно овој закон,</w:t>
      </w:r>
      <w:r w:rsidR="00FD2AA6">
        <w:rPr>
          <w:lang w:eastAsia="mk-MK"/>
        </w:rPr>
        <w:t xml:space="preserve"> </w:t>
      </w:r>
      <w:r w:rsidRPr="00FD2AA6">
        <w:rPr>
          <w:lang w:eastAsia="mk-MK"/>
        </w:rPr>
        <w:t>заради заштита и унапредување на стручноста и етичките должности и права, за подобрување на квалитетот на здравствената заштита, заштитата на интересите на својата професија, следење на односот на здравствените работници кон општеството и граѓаните се здружуваат во Лекарска комора</w:t>
      </w:r>
      <w:r w:rsidR="00701E4B" w:rsidRPr="00FD2AA6">
        <w:rPr>
          <w:lang w:eastAsia="mk-MK"/>
        </w:rPr>
        <w:t xml:space="preserve">. </w:t>
      </w:r>
      <w:r w:rsidR="00701E4B" w:rsidRPr="00FD2AA6">
        <w:t xml:space="preserve">Лекарската комора на Република Северна Македонија, согласно Законот за здравствената заштита, </w:t>
      </w:r>
      <w:r w:rsidRPr="00FD2AA6">
        <w:rPr>
          <w:lang w:eastAsia="mk-MK"/>
        </w:rPr>
        <w:t>има својство на правно лице и е запишана во Централниот регистар. Комората донесува статут, кодекс на професионалните етички должности и права, формира суд на честа и други помошни тела.</w:t>
      </w:r>
      <w:r w:rsidR="00701E4B" w:rsidRPr="00FD2AA6">
        <w:t xml:space="preserve"> </w:t>
      </w:r>
      <w:r w:rsidR="00446923" w:rsidRPr="00FD2AA6">
        <w:t>Комората во постапките за обновување и продолжување на лиценците за работа е активно</w:t>
      </w:r>
      <w:r w:rsidR="00FD2AA6">
        <w:t xml:space="preserve"> </w:t>
      </w:r>
      <w:r w:rsidR="00446923" w:rsidRPr="00FD2AA6">
        <w:t>вклучена во акредитацијата на различните форми на континуирана медицинска едукација на лекарите.</w:t>
      </w:r>
    </w:p>
    <w:p w14:paraId="756460CC" w14:textId="079F909D" w:rsidR="00BF3641" w:rsidRPr="00FD2AA6" w:rsidRDefault="00701E4B" w:rsidP="00FD2AA6">
      <w:pPr>
        <w:pStyle w:val="Tekst"/>
      </w:pPr>
      <w:r w:rsidRPr="00FD2AA6">
        <w:t>Со јавното овластување Комората презеде значајна и одговорна задача да го реализира процесот на лиценцирање на лекарите и вршењето на стручниот надзор како тело надвор од државната администрација, со што се гарантира</w:t>
      </w:r>
      <w:r w:rsidR="009824D5" w:rsidRPr="00FD2AA6">
        <w:t xml:space="preserve"> професионален приод</w:t>
      </w:r>
      <w:r w:rsidR="00FD2AA6">
        <w:t xml:space="preserve"> </w:t>
      </w:r>
      <w:r w:rsidRPr="00FD2AA6">
        <w:t>при донесувањето на решенија од овој сегмент, многу значаен во развиените системи на здравствена заштита.</w:t>
      </w:r>
      <w:r w:rsidR="00446923" w:rsidRPr="00FD2AA6">
        <w:t xml:space="preserve"> </w:t>
      </w:r>
    </w:p>
    <w:p w14:paraId="26E25A7D" w14:textId="44805805" w:rsidR="00BF3641" w:rsidRPr="00FD2AA6" w:rsidRDefault="00BF3641" w:rsidP="00FD2AA6">
      <w:pPr>
        <w:pStyle w:val="Heading2"/>
      </w:pPr>
      <w:r w:rsidRPr="00FD2AA6">
        <w:t xml:space="preserve">Причини за проблемите кои се предмет на разгледување </w:t>
      </w:r>
    </w:p>
    <w:p w14:paraId="6A40B453" w14:textId="21A47E42" w:rsidR="00E62DC4" w:rsidRPr="00FD2AA6" w:rsidRDefault="00446923" w:rsidP="00FD2AA6">
      <w:pPr>
        <w:pStyle w:val="Tekst"/>
      </w:pPr>
      <w:bookmarkStart w:id="8" w:name="_Hlk5701579"/>
      <w:r w:rsidRPr="00FD2AA6">
        <w:t xml:space="preserve">Материја поврзана со здравствените работници со високо образование од областа на медицината и издавањето, обновувањето, продолжувањето и одземањето на лиценците за работа е уредена заедно со другите здравствени работници со високо образование од областа на стоматологијата и фармацијата и недостасуваат одредени специфики кои произлегуваат од вршењето на лекарската дејност и правата и обврските кои произлегуваат од тоа. Од страна на Лекарската комора, во повеќе наврати е иницирано вршењето на лекарската дејност да се уреди во посебен закон, за да се уреди во целина материјата поврзана со вршењето на оваа дејност. </w:t>
      </w:r>
      <w:bookmarkEnd w:id="8"/>
    </w:p>
    <w:p w14:paraId="34B29AE0" w14:textId="233A19FB" w:rsidR="00BF3641" w:rsidRPr="00FD2AA6" w:rsidRDefault="00BF3641" w:rsidP="00FD2AA6">
      <w:pPr>
        <w:pStyle w:val="Heading1"/>
        <w:rPr>
          <w:rFonts w:cs="Calibri"/>
        </w:rPr>
      </w:pPr>
      <w:r w:rsidRPr="00FD2AA6">
        <w:t>Цели на предлог регулативата</w:t>
      </w:r>
    </w:p>
    <w:p w14:paraId="495E938E" w14:textId="1FE74EC1" w:rsidR="00701E4B" w:rsidRPr="00FD2AA6" w:rsidRDefault="00232CD6" w:rsidP="00FD2AA6">
      <w:pPr>
        <w:pStyle w:val="Tekst"/>
      </w:pPr>
      <w:bookmarkStart w:id="9" w:name="_Hlk8982523"/>
      <w:r w:rsidRPr="00FD2AA6">
        <w:t xml:space="preserve">Да се унапреди регулативата за </w:t>
      </w:r>
      <w:r w:rsidR="00701E4B" w:rsidRPr="00FD2AA6">
        <w:t xml:space="preserve">вршење на </w:t>
      </w:r>
      <w:r w:rsidR="00446923" w:rsidRPr="00FD2AA6">
        <w:t>лекарската</w:t>
      </w:r>
      <w:r w:rsidR="00701E4B" w:rsidRPr="00FD2AA6">
        <w:t xml:space="preserve"> дејност</w:t>
      </w:r>
      <w:r w:rsidRPr="00FD2AA6">
        <w:t xml:space="preserve"> со дефинирање на</w:t>
      </w:r>
      <w:r w:rsidR="00FD2AA6">
        <w:t xml:space="preserve"> </w:t>
      </w:r>
      <w:r w:rsidRPr="00FD2AA6">
        <w:t>правата и должностите на докторите на медицина во вршењето на лекарската дејност</w:t>
      </w:r>
      <w:r w:rsidR="00446923" w:rsidRPr="00FD2AA6">
        <w:t xml:space="preserve"> во целина,</w:t>
      </w:r>
      <w:r w:rsidRPr="00FD2AA6">
        <w:t xml:space="preserve"> </w:t>
      </w:r>
      <w:r w:rsidR="00446923" w:rsidRPr="00FD2AA6">
        <w:t>вклучително и спецификите на оваа професија</w:t>
      </w:r>
      <w:r w:rsidRPr="00FD2AA6">
        <w:t xml:space="preserve"> и </w:t>
      </w:r>
      <w:r w:rsidR="00701E4B" w:rsidRPr="00FD2AA6">
        <w:t>вршењето на јавните овластувања на Комората</w:t>
      </w:r>
      <w:r w:rsidRPr="00FD2AA6">
        <w:t>.</w:t>
      </w:r>
      <w:r w:rsidR="00540116" w:rsidRPr="00FD2AA6">
        <w:t xml:space="preserve"> </w:t>
      </w:r>
    </w:p>
    <w:bookmarkEnd w:id="9"/>
    <w:p w14:paraId="31DFC410" w14:textId="203DE973" w:rsidR="00E62DC4" w:rsidRPr="00FD2AA6" w:rsidRDefault="00E62DC4" w:rsidP="00FD2AA6">
      <w:pPr>
        <w:pStyle w:val="Heading1"/>
      </w:pPr>
      <w:r w:rsidRPr="00FD2AA6">
        <w:t>Можни решенија (опции)</w:t>
      </w:r>
    </w:p>
    <w:p w14:paraId="6B309B79" w14:textId="77777777" w:rsidR="00FD2AA6" w:rsidRPr="00FD2AA6" w:rsidRDefault="00FD2AA6" w:rsidP="00FD2AA6">
      <w:pPr>
        <w:pStyle w:val="ListParagraph"/>
        <w:numPr>
          <w:ilvl w:val="0"/>
          <w:numId w:val="14"/>
        </w:numPr>
        <w:jc w:val="both"/>
        <w:outlineLvl w:val="1"/>
        <w:rPr>
          <w:rFonts w:ascii="Arial" w:hAnsi="Arial" w:cs="Calibri"/>
          <w:vanish/>
          <w:sz w:val="24"/>
          <w:szCs w:val="24"/>
        </w:rPr>
      </w:pPr>
    </w:p>
    <w:p w14:paraId="3FEB1E69" w14:textId="77777777" w:rsidR="00FD2AA6" w:rsidRPr="00FD2AA6" w:rsidRDefault="00FD2AA6" w:rsidP="00FD2AA6">
      <w:pPr>
        <w:pStyle w:val="ListParagraph"/>
        <w:numPr>
          <w:ilvl w:val="0"/>
          <w:numId w:val="14"/>
        </w:numPr>
        <w:jc w:val="both"/>
        <w:outlineLvl w:val="1"/>
        <w:rPr>
          <w:rFonts w:ascii="Arial" w:hAnsi="Arial" w:cs="Calibri"/>
          <w:vanish/>
          <w:sz w:val="24"/>
          <w:szCs w:val="24"/>
        </w:rPr>
      </w:pPr>
    </w:p>
    <w:p w14:paraId="4AC506F8" w14:textId="1D12A73A" w:rsidR="00E62DC4" w:rsidRPr="00FD2AA6" w:rsidRDefault="00E62DC4" w:rsidP="00FD2AA6">
      <w:pPr>
        <w:pStyle w:val="Heading2"/>
      </w:pPr>
      <w:r w:rsidRPr="00FD2AA6">
        <w:t>Опис на решението „не прави ништо“</w:t>
      </w:r>
      <w:r w:rsidR="00FD2AA6">
        <w:t xml:space="preserve"> </w:t>
      </w:r>
    </w:p>
    <w:p w14:paraId="6E4720AA" w14:textId="545B353E" w:rsidR="00232CD6" w:rsidRPr="00FD2AA6" w:rsidRDefault="00D9611D" w:rsidP="00FD2AA6">
      <w:pPr>
        <w:pStyle w:val="Tekst"/>
      </w:pPr>
      <w:r w:rsidRPr="00FD2AA6">
        <w:t xml:space="preserve">Очекувано е дека и понатаму ќе бидат присутни одредени проблеми </w:t>
      </w:r>
      <w:r w:rsidR="00232CD6" w:rsidRPr="00FD2AA6">
        <w:t>заради нецелосното уредување на спецификите во вршењето на лекарската дејност односно нерегулирани прашања со вршењето на</w:t>
      </w:r>
      <w:r w:rsidR="00FD2AA6">
        <w:t xml:space="preserve"> </w:t>
      </w:r>
      <w:r w:rsidR="00232CD6" w:rsidRPr="00FD2AA6">
        <w:t>дејноста.</w:t>
      </w:r>
      <w:r w:rsidRPr="00FD2AA6">
        <w:t xml:space="preserve"> </w:t>
      </w:r>
    </w:p>
    <w:p w14:paraId="0ED059C6" w14:textId="5162453A" w:rsidR="00E62DC4" w:rsidRPr="00FD2AA6" w:rsidRDefault="00E62DC4" w:rsidP="00FD2AA6">
      <w:pPr>
        <w:pStyle w:val="Heading2"/>
      </w:pPr>
      <w:r w:rsidRPr="00FD2AA6">
        <w:t>Опис на можните решенија (опции) за решавање на проблемот</w:t>
      </w:r>
    </w:p>
    <w:p w14:paraId="77743BFC" w14:textId="4C00BFBF" w:rsidR="00232CD6" w:rsidRPr="00FD2AA6" w:rsidRDefault="00232CD6" w:rsidP="00FD2AA6">
      <w:pPr>
        <w:pStyle w:val="Tekst"/>
      </w:pPr>
      <w:bookmarkStart w:id="10" w:name="_Hlk5701643"/>
      <w:bookmarkStart w:id="11" w:name="SADRZAJ_021"/>
      <w:r w:rsidRPr="00FD2AA6">
        <w:t xml:space="preserve">Да се </w:t>
      </w:r>
      <w:bookmarkStart w:id="12" w:name="_Hlk8983320"/>
      <w:r w:rsidRPr="00FD2AA6">
        <w:t>уредат условите и начинот на вршење на лекарската дејност во целина, вклучително и спецификите на оваа професија, правата и должностите на докторите на медицина во вршењето на лекарската дејност и условите и начинот на вршењето на јавните овластувања на Комората</w:t>
      </w:r>
      <w:bookmarkEnd w:id="12"/>
    </w:p>
    <w:bookmarkEnd w:id="10"/>
    <w:bookmarkEnd w:id="11"/>
    <w:p w14:paraId="30090BE6" w14:textId="77777777" w:rsidR="00E62DC4" w:rsidRPr="00FD2AA6" w:rsidRDefault="00E62DC4" w:rsidP="00FD2AA6">
      <w:pPr>
        <w:pStyle w:val="Heading1"/>
      </w:pPr>
      <w:r w:rsidRPr="00FD2AA6">
        <w:t>Проценка на влијанијата на регулативата</w:t>
      </w:r>
    </w:p>
    <w:p w14:paraId="16779350" w14:textId="0ED873D6" w:rsidR="00E62DC4" w:rsidRPr="00FD2AA6" w:rsidRDefault="00E62DC4" w:rsidP="00FD2AA6">
      <w:pPr>
        <w:pStyle w:val="Tekst"/>
      </w:pPr>
      <w:r w:rsidRPr="00FD2AA6">
        <w:t>Можни позитивни и негативни влијанија од секоја од опциите:</w:t>
      </w:r>
    </w:p>
    <w:p w14:paraId="7E1F495F" w14:textId="77777777" w:rsidR="00FD2AA6" w:rsidRPr="00FD2AA6" w:rsidRDefault="00FD2AA6" w:rsidP="00FD2AA6">
      <w:pPr>
        <w:pStyle w:val="ListParagraph"/>
        <w:numPr>
          <w:ilvl w:val="0"/>
          <w:numId w:val="14"/>
        </w:numPr>
        <w:spacing w:before="240"/>
        <w:jc w:val="both"/>
        <w:outlineLvl w:val="1"/>
        <w:rPr>
          <w:rFonts w:ascii="Arial" w:hAnsi="Arial" w:cs="Calibri"/>
          <w:vanish/>
        </w:rPr>
      </w:pPr>
    </w:p>
    <w:p w14:paraId="3588FBF8" w14:textId="70F4E5C2" w:rsidR="00E62DC4" w:rsidRPr="00FD2AA6" w:rsidRDefault="00E62DC4" w:rsidP="00FD2AA6">
      <w:pPr>
        <w:pStyle w:val="Heading2"/>
      </w:pPr>
      <w:r w:rsidRPr="00FD2AA6">
        <w:t xml:space="preserve">Економски влијанија </w:t>
      </w:r>
    </w:p>
    <w:p w14:paraId="63373135" w14:textId="5E896316" w:rsidR="00E62DC4" w:rsidRPr="00FD2AA6" w:rsidRDefault="00206F46" w:rsidP="00FD2AA6">
      <w:pPr>
        <w:pStyle w:val="Tekst"/>
      </w:pPr>
      <w:r w:rsidRPr="00FD2AA6">
        <w:t>/</w:t>
      </w:r>
    </w:p>
    <w:p w14:paraId="5767AF78" w14:textId="5775E8F7" w:rsidR="00E62DC4" w:rsidRPr="00FD2AA6" w:rsidRDefault="00E62DC4" w:rsidP="00FD2AA6">
      <w:pPr>
        <w:pStyle w:val="Heading2"/>
      </w:pPr>
      <w:r w:rsidRPr="00FD2AA6">
        <w:t xml:space="preserve">Фискални влијанија </w:t>
      </w:r>
    </w:p>
    <w:p w14:paraId="3FC37A0B" w14:textId="0511E131" w:rsidR="00E62DC4" w:rsidRPr="00FD2AA6" w:rsidRDefault="00206F46" w:rsidP="00FD2AA6">
      <w:pPr>
        <w:pStyle w:val="Tekst"/>
      </w:pPr>
      <w:r w:rsidRPr="00FD2AA6">
        <w:t>/</w:t>
      </w:r>
    </w:p>
    <w:p w14:paraId="492DBD9B" w14:textId="7205DC0E" w:rsidR="00E62DC4" w:rsidRPr="00FD2AA6" w:rsidRDefault="00E62DC4" w:rsidP="00FD2AA6">
      <w:pPr>
        <w:pStyle w:val="Heading2"/>
      </w:pPr>
      <w:r w:rsidRPr="00FD2AA6">
        <w:t xml:space="preserve">Социјални влијанија </w:t>
      </w:r>
    </w:p>
    <w:p w14:paraId="10E6EE1C" w14:textId="357B55F2" w:rsidR="00E62DC4" w:rsidRPr="00FD2AA6" w:rsidRDefault="004A38D5" w:rsidP="00FD2AA6">
      <w:pPr>
        <w:pStyle w:val="Tekst"/>
      </w:pPr>
      <w:r w:rsidRPr="00FD2AA6">
        <w:t xml:space="preserve">Ќе се </w:t>
      </w:r>
      <w:bookmarkStart w:id="13" w:name="_Hlk8983414"/>
      <w:r w:rsidRPr="00FD2AA6">
        <w:t>определи статусот на лекарите во однос на професијата што ја вршат и нивните права и должности</w:t>
      </w:r>
      <w:bookmarkEnd w:id="13"/>
      <w:r w:rsidRPr="00FD2AA6">
        <w:t>.</w:t>
      </w:r>
    </w:p>
    <w:p w14:paraId="29139629" w14:textId="4538F77D" w:rsidR="00206F46" w:rsidRPr="00FD2AA6" w:rsidRDefault="00E62DC4" w:rsidP="00FD2AA6">
      <w:pPr>
        <w:pStyle w:val="Heading2"/>
      </w:pPr>
      <w:r w:rsidRPr="00FD2AA6">
        <w:t>Влијанија врз животната средина</w:t>
      </w:r>
    </w:p>
    <w:p w14:paraId="064972A8" w14:textId="7F47EB11" w:rsidR="00E62DC4" w:rsidRPr="00FD2AA6" w:rsidRDefault="00206F46" w:rsidP="00FD2AA6">
      <w:pPr>
        <w:pStyle w:val="Tekst"/>
      </w:pPr>
      <w:r w:rsidRPr="00FD2AA6">
        <w:t>/</w:t>
      </w:r>
      <w:r w:rsidR="00E62DC4" w:rsidRPr="00FD2AA6">
        <w:t xml:space="preserve"> </w:t>
      </w:r>
    </w:p>
    <w:p w14:paraId="4B620CA5" w14:textId="57723B82" w:rsidR="00E62DC4" w:rsidRPr="00FD2AA6" w:rsidRDefault="00E62DC4" w:rsidP="00FD2AA6">
      <w:pPr>
        <w:pStyle w:val="Heading2"/>
      </w:pPr>
      <w:r w:rsidRPr="00FD2AA6">
        <w:t>Административни влијанија и трошоци</w:t>
      </w:r>
      <w:r w:rsidR="00FD2AA6">
        <w:t xml:space="preserve"> </w:t>
      </w:r>
    </w:p>
    <w:p w14:paraId="7AD60342" w14:textId="77777777" w:rsidR="00FD2AA6" w:rsidRDefault="00E62DC4" w:rsidP="00FD2AA6">
      <w:pPr>
        <w:pStyle w:val="Tekst"/>
      </w:pPr>
      <w:r w:rsidRPr="00FD2AA6">
        <w:t xml:space="preserve">а) трошоци за спроведување </w:t>
      </w:r>
    </w:p>
    <w:p w14:paraId="096CECD4" w14:textId="30D51D69" w:rsidR="00206F46" w:rsidRPr="00FD2AA6" w:rsidRDefault="00206F46" w:rsidP="00FD2AA6">
      <w:pPr>
        <w:pStyle w:val="Tekst"/>
      </w:pPr>
      <w:r w:rsidRPr="00FD2AA6">
        <w:t>/</w:t>
      </w:r>
    </w:p>
    <w:p w14:paraId="6B6F8857" w14:textId="77777777" w:rsidR="00FD2AA6" w:rsidRDefault="00E62DC4" w:rsidP="00FD2AA6">
      <w:pPr>
        <w:pStyle w:val="Tekst"/>
      </w:pPr>
      <w:r w:rsidRPr="00FD2AA6">
        <w:t>б)</w:t>
      </w:r>
      <w:r w:rsidR="00035998" w:rsidRPr="00FD2AA6">
        <w:t xml:space="preserve"> </w:t>
      </w:r>
      <w:r w:rsidRPr="00FD2AA6">
        <w:t xml:space="preserve">трошоци за почитување на регулативата </w:t>
      </w:r>
    </w:p>
    <w:p w14:paraId="32169572" w14:textId="289B5DF0" w:rsidR="00206F46" w:rsidRPr="00FD2AA6" w:rsidRDefault="00206F46" w:rsidP="00FD2AA6">
      <w:pPr>
        <w:pStyle w:val="Tekst"/>
        <w:rPr>
          <w:rFonts w:cs="Calibri"/>
          <w:iCs/>
        </w:rPr>
      </w:pPr>
      <w:r w:rsidRPr="00FD2AA6">
        <w:t>/</w:t>
      </w:r>
    </w:p>
    <w:p w14:paraId="29E1F0A0" w14:textId="78CE9A79" w:rsidR="00E62DC4" w:rsidRPr="00FD2AA6" w:rsidRDefault="00E62DC4" w:rsidP="00FD2AA6">
      <w:pPr>
        <w:pStyle w:val="Heading1"/>
      </w:pPr>
      <w:r w:rsidRPr="00FD2AA6">
        <w:t>Консултации</w:t>
      </w:r>
    </w:p>
    <w:p w14:paraId="763A9F7A" w14:textId="77777777" w:rsidR="00FD2AA6" w:rsidRPr="00FD2AA6" w:rsidRDefault="00FD2AA6" w:rsidP="00FD2AA6">
      <w:pPr>
        <w:pStyle w:val="ListParagraph"/>
        <w:numPr>
          <w:ilvl w:val="0"/>
          <w:numId w:val="14"/>
        </w:numPr>
        <w:spacing w:before="240"/>
        <w:jc w:val="both"/>
        <w:outlineLvl w:val="1"/>
        <w:rPr>
          <w:rFonts w:ascii="Arial" w:hAnsi="Arial" w:cs="Calibri"/>
          <w:vanish/>
        </w:rPr>
      </w:pPr>
    </w:p>
    <w:p w14:paraId="2E5A7956" w14:textId="66EEE7AC" w:rsidR="00E62DC4" w:rsidRPr="00FD2AA6" w:rsidRDefault="00E62DC4" w:rsidP="00FD2AA6">
      <w:pPr>
        <w:pStyle w:val="Heading2"/>
      </w:pPr>
      <w:r w:rsidRPr="00FD2AA6">
        <w:t>Засегнати страни и начин на вклучување</w:t>
      </w:r>
    </w:p>
    <w:p w14:paraId="46750C12" w14:textId="1A442D04" w:rsidR="00D9611D" w:rsidRPr="00FD2AA6" w:rsidRDefault="00D9611D" w:rsidP="00FD2AA6">
      <w:pPr>
        <w:pStyle w:val="Tekst"/>
      </w:pPr>
      <w:r w:rsidRPr="00FD2AA6">
        <w:rPr>
          <w:color w:val="212121"/>
          <w:shd w:val="clear" w:color="auto" w:fill="FFFFFF"/>
        </w:rPr>
        <w:t xml:space="preserve">Формирана е работна група </w:t>
      </w:r>
      <w:r w:rsidRPr="00FD2AA6">
        <w:t xml:space="preserve">за </w:t>
      </w:r>
      <w:r w:rsidR="00FD2AA6" w:rsidRPr="00FD2AA6">
        <w:t>подготовка</w:t>
      </w:r>
      <w:r w:rsidRPr="00FD2AA6">
        <w:t xml:space="preserve"> на </w:t>
      </w:r>
      <w:r w:rsidR="004A38D5" w:rsidRPr="00FD2AA6">
        <w:t>П</w:t>
      </w:r>
      <w:r w:rsidRPr="00FD2AA6">
        <w:t xml:space="preserve">редлог Законот со претставници од Министерството за здравство и претставници од </w:t>
      </w:r>
      <w:r w:rsidR="004A38D5" w:rsidRPr="00FD2AA6">
        <w:t>Лекарската комора</w:t>
      </w:r>
      <w:r w:rsidRPr="00FD2AA6">
        <w:t xml:space="preserve">, работни средби, консултации, писмени коментари. </w:t>
      </w:r>
    </w:p>
    <w:p w14:paraId="6F00BAC3" w14:textId="3714E7B4" w:rsidR="00E62DC4" w:rsidRPr="00FD2AA6" w:rsidRDefault="00E62DC4" w:rsidP="00FD2AA6">
      <w:pPr>
        <w:pStyle w:val="Heading2"/>
      </w:pPr>
      <w:r w:rsidRPr="00FD2AA6">
        <w:t xml:space="preserve">Преглед на добиените и вградените мислења </w:t>
      </w:r>
    </w:p>
    <w:p w14:paraId="30444A45" w14:textId="2EB5193E" w:rsidR="00E95FEA" w:rsidRPr="00FD2AA6" w:rsidRDefault="004A38D5" w:rsidP="00FD2AA6">
      <w:pPr>
        <w:pStyle w:val="Tekst"/>
      </w:pPr>
      <w:r w:rsidRPr="00FD2AA6">
        <w:t>/</w:t>
      </w:r>
    </w:p>
    <w:p w14:paraId="5D34D373" w14:textId="1FC0ABEA" w:rsidR="00E62DC4" w:rsidRPr="00FD2AA6" w:rsidRDefault="00E62DC4" w:rsidP="00FD2AA6">
      <w:pPr>
        <w:pStyle w:val="Heading2"/>
      </w:pPr>
      <w:r w:rsidRPr="00FD2AA6">
        <w:t>Мислењата кои не биле земени предвид и зошто</w:t>
      </w:r>
    </w:p>
    <w:p w14:paraId="07204EB2" w14:textId="3EC51D41" w:rsidR="00E95FEA" w:rsidRPr="00FD2AA6" w:rsidRDefault="004A38D5" w:rsidP="00FD2AA6">
      <w:pPr>
        <w:pStyle w:val="Tekst"/>
      </w:pPr>
      <w:r w:rsidRPr="00FD2AA6">
        <w:t>/</w:t>
      </w:r>
    </w:p>
    <w:p w14:paraId="6299AF4B" w14:textId="49CBF402" w:rsidR="00E62DC4" w:rsidRPr="00FD2AA6" w:rsidRDefault="00E62DC4" w:rsidP="00FD2AA6">
      <w:pPr>
        <w:pStyle w:val="Heading1"/>
      </w:pPr>
      <w:r w:rsidRPr="00FD2AA6">
        <w:t>Заклучоци и препорачано решение</w:t>
      </w:r>
    </w:p>
    <w:p w14:paraId="30E6168E" w14:textId="77777777" w:rsidR="00FD2AA6" w:rsidRPr="00FD2AA6" w:rsidRDefault="00FD2AA6" w:rsidP="00FD2AA6">
      <w:pPr>
        <w:pStyle w:val="ListParagraph"/>
        <w:numPr>
          <w:ilvl w:val="0"/>
          <w:numId w:val="14"/>
        </w:numPr>
        <w:spacing w:before="240"/>
        <w:jc w:val="both"/>
        <w:outlineLvl w:val="1"/>
        <w:rPr>
          <w:rFonts w:ascii="Arial" w:hAnsi="Arial" w:cs="Calibri"/>
          <w:vanish/>
        </w:rPr>
      </w:pPr>
    </w:p>
    <w:p w14:paraId="5FC50815" w14:textId="283914F7" w:rsidR="00E62DC4" w:rsidRPr="00FD2AA6" w:rsidRDefault="00E62DC4" w:rsidP="00FD2AA6">
      <w:pPr>
        <w:pStyle w:val="Heading2"/>
      </w:pPr>
      <w:r w:rsidRPr="00FD2AA6">
        <w:t>Споредбен преглед на позитивните и негативните влијанија на можните</w:t>
      </w:r>
      <w:r w:rsidR="00FD2AA6">
        <w:t xml:space="preserve"> </w:t>
      </w:r>
      <w:r w:rsidRPr="00FD2AA6">
        <w:t>решенија (опции)</w:t>
      </w:r>
    </w:p>
    <w:p w14:paraId="74070E5C" w14:textId="0441CE49" w:rsidR="00E62DC4" w:rsidRPr="00FD2AA6" w:rsidRDefault="00D9611D" w:rsidP="00FD2AA6">
      <w:pPr>
        <w:pStyle w:val="Tekst"/>
      </w:pPr>
      <w:r w:rsidRPr="00FD2AA6">
        <w:t xml:space="preserve">Евидентно е </w:t>
      </w:r>
      <w:r w:rsidR="004A38D5" w:rsidRPr="00FD2AA6">
        <w:t xml:space="preserve">дека </w:t>
      </w:r>
      <w:r w:rsidR="002E04AD" w:rsidRPr="00FD2AA6">
        <w:t>со</w:t>
      </w:r>
      <w:r w:rsidRPr="00FD2AA6">
        <w:t xml:space="preserve"> Закон</w:t>
      </w:r>
      <w:r w:rsidR="002E04AD" w:rsidRPr="00FD2AA6">
        <w:t>от</w:t>
      </w:r>
      <w:r w:rsidRPr="00FD2AA6">
        <w:t xml:space="preserve"> за </w:t>
      </w:r>
      <w:r w:rsidR="004A38D5" w:rsidRPr="00FD2AA6">
        <w:t xml:space="preserve">здравствената </w:t>
      </w:r>
      <w:r w:rsidRPr="00FD2AA6">
        <w:t xml:space="preserve">заштита </w:t>
      </w:r>
      <w:r w:rsidR="004A38D5" w:rsidRPr="00FD2AA6">
        <w:t xml:space="preserve">се уредени одредени прашања поврзани со лекарите и вршењето на здравствената дејност, но </w:t>
      </w:r>
      <w:r w:rsidR="009824D5" w:rsidRPr="00FD2AA6">
        <w:t xml:space="preserve">ќе има влијание за лекарите </w:t>
      </w:r>
      <w:r w:rsidR="004A38D5" w:rsidRPr="00FD2AA6">
        <w:t>уредување</w:t>
      </w:r>
      <w:r w:rsidR="009824D5" w:rsidRPr="00FD2AA6">
        <w:t>то</w:t>
      </w:r>
      <w:r w:rsidR="004A38D5" w:rsidRPr="00FD2AA6">
        <w:t xml:space="preserve"> на условите и начинот на вршење на лекарската дејност во целина, вклучително и спецификите на оваа професија, правата и должностите на докторите на медицина во вршењето на лекарската дејност и условите и начинот на вршењето на јавните овластувања на Комората со посебен закон</w:t>
      </w:r>
      <w:r w:rsidR="009824D5" w:rsidRPr="00FD2AA6">
        <w:t>.</w:t>
      </w:r>
      <w:r w:rsidR="004A38D5" w:rsidRPr="00FD2AA6">
        <w:t xml:space="preserve"> </w:t>
      </w:r>
    </w:p>
    <w:p w14:paraId="2FA402B7" w14:textId="1EAA3F0E" w:rsidR="00E62DC4" w:rsidRPr="00FD2AA6" w:rsidRDefault="00E62DC4" w:rsidP="00FD2AA6">
      <w:pPr>
        <w:pStyle w:val="Heading2"/>
      </w:pPr>
      <w:r w:rsidRPr="00FD2AA6">
        <w:t>Ризици во спроведувањето и примената на секое од можните решенија</w:t>
      </w:r>
      <w:r w:rsidR="00FD2AA6">
        <w:t xml:space="preserve"> </w:t>
      </w:r>
      <w:r w:rsidRPr="00FD2AA6">
        <w:t>(опции)</w:t>
      </w:r>
    </w:p>
    <w:p w14:paraId="42090318" w14:textId="0C6F98B3" w:rsidR="00D9611D" w:rsidRPr="00FD2AA6" w:rsidRDefault="009824D5" w:rsidP="00FD2AA6">
      <w:pPr>
        <w:pStyle w:val="Tekst"/>
      </w:pPr>
      <w:r w:rsidRPr="00FD2AA6">
        <w:t>За спроведување на Законот за лекарската дејност потребно е да се унапредат капацитетите на стручната служба на Лекарската комора</w:t>
      </w:r>
      <w:r w:rsidR="00D9611D" w:rsidRPr="00FD2AA6">
        <w:t>.</w:t>
      </w:r>
    </w:p>
    <w:p w14:paraId="1B7DA537" w14:textId="5F33606B" w:rsidR="00E62DC4" w:rsidRPr="00FD2AA6" w:rsidRDefault="00E62DC4" w:rsidP="00FD2AA6">
      <w:pPr>
        <w:pStyle w:val="Heading2"/>
      </w:pPr>
      <w:r w:rsidRPr="00FD2AA6">
        <w:t>Препорачано решение со образложение</w:t>
      </w:r>
    </w:p>
    <w:p w14:paraId="3E37E4DB" w14:textId="2DC115EB" w:rsidR="00D9611D" w:rsidRPr="00FD2AA6" w:rsidRDefault="00D9611D" w:rsidP="00FD2AA6">
      <w:pPr>
        <w:pStyle w:val="Tekst"/>
      </w:pPr>
      <w:r w:rsidRPr="00FD2AA6">
        <w:t xml:space="preserve">Со предложеното решение се воспоставува ефективна законска рамка за </w:t>
      </w:r>
      <w:r w:rsidR="004A38D5" w:rsidRPr="00FD2AA6">
        <w:t>уредување на условите и начинот на вршење на лекарската дејност во целина, вклучително и спецификите на оваа професија, правата и должностите на докторите на медицина во вршењето на лекарската дејност и условите и начинот на вршењето на јавните овластувања на Комората, како професионална асоцијација.</w:t>
      </w:r>
    </w:p>
    <w:p w14:paraId="78FDF83C" w14:textId="4896F039" w:rsidR="00187F5B" w:rsidRPr="00FD2AA6" w:rsidRDefault="00D9611D" w:rsidP="00FD2AA6">
      <w:pPr>
        <w:pStyle w:val="Tekst"/>
      </w:pPr>
      <w:r w:rsidRPr="00FD2AA6">
        <w:rPr>
          <w:lang w:eastAsia="mk-MK"/>
        </w:rPr>
        <w:t>Предложените</w:t>
      </w:r>
      <w:r w:rsidR="00FD2AA6">
        <w:rPr>
          <w:lang w:eastAsia="mk-MK"/>
        </w:rPr>
        <w:t xml:space="preserve"> </w:t>
      </w:r>
      <w:r w:rsidRPr="00FD2AA6">
        <w:rPr>
          <w:lang w:eastAsia="mk-MK"/>
        </w:rPr>
        <w:t>решенија</w:t>
      </w:r>
      <w:r w:rsidR="00540116" w:rsidRPr="00FD2AA6">
        <w:rPr>
          <w:lang w:eastAsia="mk-MK"/>
        </w:rPr>
        <w:t xml:space="preserve"> </w:t>
      </w:r>
      <w:r w:rsidRPr="00FD2AA6">
        <w:rPr>
          <w:lang w:eastAsia="mk-MK"/>
        </w:rPr>
        <w:t>треба да ја достигнат крајната цел</w:t>
      </w:r>
      <w:r w:rsidR="00114CEE" w:rsidRPr="00FD2AA6">
        <w:rPr>
          <w:lang w:eastAsia="mk-MK"/>
        </w:rPr>
        <w:t>,</w:t>
      </w:r>
      <w:r w:rsidRPr="00FD2AA6">
        <w:rPr>
          <w:lang w:eastAsia="mk-MK"/>
        </w:rPr>
        <w:t xml:space="preserve"> а тоа е</w:t>
      </w:r>
      <w:r w:rsidRPr="00FD2AA6">
        <w:t xml:space="preserve"> унапредување </w:t>
      </w:r>
      <w:r w:rsidR="004A38D5" w:rsidRPr="00FD2AA6">
        <w:t>на регулативата со која се определува статусот на лекарите во однос на професијата што ја вршат и нивните права и должности во вршењето на професијата</w:t>
      </w:r>
      <w:r w:rsidRPr="00FD2AA6">
        <w:t>.</w:t>
      </w:r>
      <w:r w:rsidR="004A38D5" w:rsidRPr="00FD2AA6">
        <w:t xml:space="preserve"> </w:t>
      </w:r>
    </w:p>
    <w:p w14:paraId="42291660" w14:textId="39C2564D" w:rsidR="00E62DC4" w:rsidRPr="00FD2AA6" w:rsidRDefault="00E62DC4" w:rsidP="00FD2AA6">
      <w:pPr>
        <w:pStyle w:val="Heading1"/>
      </w:pPr>
      <w:r w:rsidRPr="00FD2AA6">
        <w:t>Спроведување на препорачаното решение</w:t>
      </w:r>
    </w:p>
    <w:p w14:paraId="1A34A056" w14:textId="77777777" w:rsidR="00FD2AA6" w:rsidRPr="00FD2AA6" w:rsidRDefault="00FD2AA6" w:rsidP="00FD2AA6">
      <w:pPr>
        <w:pStyle w:val="ListParagraph"/>
        <w:numPr>
          <w:ilvl w:val="0"/>
          <w:numId w:val="14"/>
        </w:numPr>
        <w:spacing w:before="240"/>
        <w:jc w:val="both"/>
        <w:outlineLvl w:val="1"/>
        <w:rPr>
          <w:rFonts w:ascii="Arial" w:hAnsi="Arial" w:cs="Calibri"/>
          <w:vanish/>
        </w:rPr>
      </w:pPr>
    </w:p>
    <w:p w14:paraId="4303EDC7" w14:textId="0FA7249F" w:rsidR="00E62DC4" w:rsidRPr="00FD2AA6" w:rsidRDefault="00E62DC4" w:rsidP="00FD2AA6">
      <w:pPr>
        <w:pStyle w:val="Heading2"/>
      </w:pPr>
      <w:r w:rsidRPr="00FD2AA6">
        <w:t>Потреба од менување на закони и подзаконска регулатива во областа или други сродни области</w:t>
      </w:r>
    </w:p>
    <w:p w14:paraId="08C5B8C6" w14:textId="7A760BB6" w:rsidR="00D9611D" w:rsidRPr="00FD2AA6" w:rsidRDefault="002E04AD" w:rsidP="00FD2AA6">
      <w:pPr>
        <w:pStyle w:val="Tekst"/>
      </w:pPr>
      <w:r w:rsidRPr="00FD2AA6">
        <w:t>Н</w:t>
      </w:r>
      <w:r w:rsidR="00D9611D" w:rsidRPr="00FD2AA6">
        <w:t>ема</w:t>
      </w:r>
    </w:p>
    <w:p w14:paraId="66A22E9C" w14:textId="42601D98" w:rsidR="00E62DC4" w:rsidRPr="00FD2AA6" w:rsidRDefault="00E62DC4" w:rsidP="00FD2AA6">
      <w:pPr>
        <w:pStyle w:val="Heading2"/>
      </w:pPr>
      <w:r w:rsidRPr="00FD2AA6">
        <w:t>Потребни подзаконски акти и рок за нивно донесување</w:t>
      </w:r>
    </w:p>
    <w:p w14:paraId="2E6B4E12" w14:textId="7C5C397D" w:rsidR="00D9611D" w:rsidRPr="00FD2AA6" w:rsidRDefault="00CF17AD" w:rsidP="00FD2AA6">
      <w:pPr>
        <w:pStyle w:val="Tekst"/>
      </w:pPr>
      <w:r w:rsidRPr="00FD2AA6">
        <w:t>Донесување на подзаконските акти во рок од шест месеци од денот на влегувањето во сила на овој закон.</w:t>
      </w:r>
    </w:p>
    <w:p w14:paraId="1874168A" w14:textId="3749987F" w:rsidR="00E62DC4" w:rsidRPr="00FD2AA6" w:rsidRDefault="00E62DC4" w:rsidP="00FD2AA6">
      <w:pPr>
        <w:pStyle w:val="Heading2"/>
      </w:pPr>
      <w:r w:rsidRPr="00FD2AA6">
        <w:t>Органи на државната управа, државни органи и други органи надлежни за</w:t>
      </w:r>
      <w:r w:rsidR="00FD2AA6">
        <w:t xml:space="preserve"> </w:t>
      </w:r>
      <w:r w:rsidRPr="00FD2AA6">
        <w:t>спроведување</w:t>
      </w:r>
    </w:p>
    <w:p w14:paraId="38915C76" w14:textId="244DE307" w:rsidR="00D9611D" w:rsidRPr="00FD2AA6" w:rsidRDefault="00D9611D" w:rsidP="00FD2AA6">
      <w:pPr>
        <w:pStyle w:val="Tekst"/>
      </w:pPr>
      <w:r w:rsidRPr="00FD2AA6">
        <w:t xml:space="preserve">Надлежни за спроведување се </w:t>
      </w:r>
      <w:r w:rsidR="00CF17AD" w:rsidRPr="00FD2AA6">
        <w:t xml:space="preserve">Лекарската комора на Република Северна Македонија и </w:t>
      </w:r>
      <w:r w:rsidRPr="00FD2AA6">
        <w:t>Министерство за здравство</w:t>
      </w:r>
      <w:r w:rsidR="00CF17AD" w:rsidRPr="00FD2AA6">
        <w:t>.</w:t>
      </w:r>
      <w:r w:rsidRPr="00FD2AA6">
        <w:t xml:space="preserve"> </w:t>
      </w:r>
    </w:p>
    <w:p w14:paraId="16C4D122" w14:textId="7FCE394A" w:rsidR="00E62DC4" w:rsidRPr="00FD2AA6" w:rsidRDefault="00E62DC4" w:rsidP="00FD2AA6">
      <w:pPr>
        <w:pStyle w:val="Heading2"/>
      </w:pPr>
      <w:r w:rsidRPr="00FD2AA6">
        <w:t>Активности за обезбедување на ефикасно спроведување на предлог</w:t>
      </w:r>
      <w:r w:rsidR="00F66307" w:rsidRPr="00FD2AA6">
        <w:t>от</w:t>
      </w:r>
      <w:r w:rsidR="00B413F0" w:rsidRPr="00FD2AA6">
        <w:t xml:space="preserve"> на</w:t>
      </w:r>
      <w:r w:rsidRPr="00FD2AA6">
        <w:t xml:space="preserve"> закон</w:t>
      </w:r>
    </w:p>
    <w:p w14:paraId="1797CB90" w14:textId="3041B9A2" w:rsidR="00D9611D" w:rsidRPr="00FD2AA6" w:rsidRDefault="00D9611D" w:rsidP="00FD2AA6">
      <w:pPr>
        <w:pStyle w:val="Tekst"/>
      </w:pPr>
      <w:r w:rsidRPr="00FD2AA6">
        <w:t>Запознавање на здравствените работници со</w:t>
      </w:r>
      <w:r w:rsidR="00CF17AD" w:rsidRPr="00FD2AA6">
        <w:t xml:space="preserve"> високо образование од областа на медицината со</w:t>
      </w:r>
      <w:r w:rsidRPr="00FD2AA6">
        <w:t xml:space="preserve"> одредбите од </w:t>
      </w:r>
      <w:r w:rsidR="002E04AD" w:rsidRPr="00FD2AA6">
        <w:t>З</w:t>
      </w:r>
      <w:r w:rsidRPr="00FD2AA6">
        <w:t>аконот</w:t>
      </w:r>
      <w:r w:rsidR="002E04AD" w:rsidRPr="00FD2AA6">
        <w:t>,</w:t>
      </w:r>
      <w:r w:rsidRPr="00FD2AA6">
        <w:t xml:space="preserve"> за да се обезбеди</w:t>
      </w:r>
      <w:r w:rsidR="00CF17AD" w:rsidRPr="00FD2AA6">
        <w:t xml:space="preserve"> примена на одредбите</w:t>
      </w:r>
      <w:r w:rsidRPr="00FD2AA6">
        <w:t>.</w:t>
      </w:r>
    </w:p>
    <w:p w14:paraId="35690E5B" w14:textId="2578BD40" w:rsidR="00187F5B" w:rsidRPr="00FD2AA6" w:rsidRDefault="009824D5" w:rsidP="00FD2AA6">
      <w:pPr>
        <w:pStyle w:val="Tekst"/>
      </w:pPr>
      <w:r w:rsidRPr="00FD2AA6">
        <w:t>Организирање на соодветни обуки за подигање на капацитетите на стручната служба на Комората.</w:t>
      </w:r>
    </w:p>
    <w:p w14:paraId="1A5897FF" w14:textId="188E2545" w:rsidR="00E62DC4" w:rsidRPr="00FD2AA6" w:rsidRDefault="00FD2AA6" w:rsidP="00FD2AA6">
      <w:pPr>
        <w:pStyle w:val="Heading1"/>
      </w:pPr>
      <w:r>
        <w:t>С</w:t>
      </w:r>
      <w:r w:rsidR="00E62DC4" w:rsidRPr="00FD2AA6">
        <w:t>ледење и евалуација</w:t>
      </w:r>
    </w:p>
    <w:p w14:paraId="1CC3B670" w14:textId="77777777" w:rsidR="00FD2AA6" w:rsidRPr="00FD2AA6" w:rsidRDefault="00FD2AA6" w:rsidP="00FD2AA6">
      <w:pPr>
        <w:pStyle w:val="ListParagraph"/>
        <w:numPr>
          <w:ilvl w:val="0"/>
          <w:numId w:val="14"/>
        </w:numPr>
        <w:spacing w:before="240"/>
        <w:jc w:val="both"/>
        <w:outlineLvl w:val="1"/>
        <w:rPr>
          <w:rFonts w:ascii="Arial" w:hAnsi="Arial" w:cs="Calibri"/>
          <w:vanish/>
        </w:rPr>
      </w:pPr>
    </w:p>
    <w:p w14:paraId="4C21D206" w14:textId="3ED216DB" w:rsidR="00E62DC4" w:rsidRPr="00FD2AA6" w:rsidRDefault="00E62DC4" w:rsidP="00FD2AA6">
      <w:pPr>
        <w:pStyle w:val="Heading2"/>
      </w:pPr>
      <w:r w:rsidRPr="00FD2AA6">
        <w:t xml:space="preserve">Начин на следење на спроведувањето </w:t>
      </w:r>
    </w:p>
    <w:p w14:paraId="6837FB90" w14:textId="477AE120" w:rsidR="00EA4722" w:rsidRPr="00FD2AA6" w:rsidRDefault="00EA4722" w:rsidP="00FD2AA6">
      <w:pPr>
        <w:pStyle w:val="Tekst"/>
      </w:pPr>
      <w:bookmarkStart w:id="14" w:name="_Hlk491253654"/>
      <w:r w:rsidRPr="00FD2AA6">
        <w:t>Следењето на спроведувањето на решенијата содржани во Законот</w:t>
      </w:r>
      <w:bookmarkEnd w:id="14"/>
      <w:r w:rsidR="00241A74" w:rsidRPr="00FD2AA6">
        <w:t xml:space="preserve"> </w:t>
      </w:r>
      <w:r w:rsidRPr="00FD2AA6">
        <w:t>ќе се врши преку редовн</w:t>
      </w:r>
      <w:r w:rsidR="00CF17AD" w:rsidRPr="00FD2AA6">
        <w:t>о следење</w:t>
      </w:r>
      <w:r w:rsidRPr="00FD2AA6">
        <w:t xml:space="preserve"> над спроведувањето на одредбите од Законот</w:t>
      </w:r>
      <w:r w:rsidR="00CF17AD" w:rsidRPr="00FD2AA6">
        <w:t xml:space="preserve"> од страна на Министерството за здравство</w:t>
      </w:r>
      <w:r w:rsidRPr="00FD2AA6">
        <w:t xml:space="preserve">, како и врз основа на извештаите за работа на </w:t>
      </w:r>
      <w:r w:rsidR="00CF17AD" w:rsidRPr="00FD2AA6">
        <w:t>Лекарската комора</w:t>
      </w:r>
      <w:r w:rsidRPr="00FD2AA6">
        <w:t>.</w:t>
      </w:r>
    </w:p>
    <w:p w14:paraId="00D54B37" w14:textId="3DCA0018" w:rsidR="00E62DC4" w:rsidRPr="00FD2AA6" w:rsidRDefault="00E62DC4" w:rsidP="00FD2AA6">
      <w:pPr>
        <w:pStyle w:val="Heading2"/>
      </w:pPr>
      <w:r w:rsidRPr="00FD2AA6">
        <w:t>Евалуација на ефектите од предлог</w:t>
      </w:r>
      <w:r w:rsidR="00F66307" w:rsidRPr="00FD2AA6">
        <w:t>от</w:t>
      </w:r>
      <w:r w:rsidRPr="00FD2AA6">
        <w:t xml:space="preserve"> </w:t>
      </w:r>
      <w:r w:rsidR="00B413F0" w:rsidRPr="00FD2AA6">
        <w:t xml:space="preserve">на </w:t>
      </w:r>
      <w:r w:rsidRPr="00FD2AA6">
        <w:t xml:space="preserve">закон и рокови </w:t>
      </w:r>
    </w:p>
    <w:p w14:paraId="6436C3D9" w14:textId="7A622156" w:rsidR="008E7DB0" w:rsidRDefault="00EA4722" w:rsidP="00FD2AA6">
      <w:pPr>
        <w:pStyle w:val="Tekst"/>
      </w:pPr>
      <w:r w:rsidRPr="00FD2AA6">
        <w:t>Евалуацијата</w:t>
      </w:r>
      <w:r w:rsidR="002E04AD" w:rsidRPr="00FD2AA6">
        <w:t xml:space="preserve"> </w:t>
      </w:r>
      <w:r w:rsidRPr="00FD2AA6">
        <w:t>на ефектите од спроведувањето на решенијата содржани во Законот ќе се врши врз основа на извештаи</w:t>
      </w:r>
      <w:r w:rsidR="00540116" w:rsidRPr="00FD2AA6">
        <w:t>те за работа</w:t>
      </w:r>
      <w:r w:rsidRPr="00FD2AA6">
        <w:t xml:space="preserve"> </w:t>
      </w:r>
      <w:r w:rsidR="00540116" w:rsidRPr="00FD2AA6">
        <w:t>на Лекарската комора во однос на спроведувањето на јавните овластувања и спроведувањето на стручниот надзор.</w:t>
      </w:r>
    </w:p>
    <w:p w14:paraId="21A5EB29" w14:textId="77777777" w:rsidR="00FD2AA6" w:rsidRPr="00FD2AA6" w:rsidRDefault="00FD2AA6" w:rsidP="00FD2AA6">
      <w:pPr>
        <w:pStyle w:val="Tekst"/>
      </w:pPr>
    </w:p>
    <w:p w14:paraId="526F787C" w14:textId="77777777" w:rsidR="008E7DB0" w:rsidRPr="00FD2AA6" w:rsidRDefault="008E7DB0" w:rsidP="008E7DB0">
      <w:pPr>
        <w:shd w:val="clear" w:color="auto" w:fill="FBD4B4"/>
        <w:spacing w:line="276" w:lineRule="auto"/>
        <w:jc w:val="center"/>
        <w:rPr>
          <w:rFonts w:ascii="Arial" w:hAnsi="Arial"/>
          <w:b/>
          <w:sz w:val="18"/>
          <w:szCs w:val="18"/>
          <w:lang w:val="mk-MK"/>
        </w:rPr>
      </w:pPr>
      <w:r w:rsidRPr="00FD2AA6">
        <w:rPr>
          <w:rFonts w:ascii="Arial" w:hAnsi="Arial"/>
          <w:b/>
          <w:sz w:val="18"/>
          <w:szCs w:val="18"/>
          <w:lang w:val="mk-MK"/>
        </w:rPr>
        <w:t>Изјава од државниот секретар</w:t>
      </w:r>
    </w:p>
    <w:p w14:paraId="196E1281" w14:textId="77777777" w:rsidR="008E7DB0" w:rsidRPr="00FD2AA6" w:rsidRDefault="008E7DB0" w:rsidP="008E7DB0">
      <w:pPr>
        <w:spacing w:line="276" w:lineRule="auto"/>
        <w:jc w:val="both"/>
        <w:rPr>
          <w:rFonts w:ascii="Arial" w:hAnsi="Arial"/>
          <w:b/>
          <w:sz w:val="18"/>
          <w:szCs w:val="18"/>
          <w:lang w:val="mk-MK"/>
        </w:rPr>
      </w:pPr>
    </w:p>
    <w:p w14:paraId="59EC000D" w14:textId="77777777" w:rsidR="00540116" w:rsidRPr="00FD2AA6" w:rsidRDefault="00540116" w:rsidP="008E7DB0">
      <w:pPr>
        <w:spacing w:line="276" w:lineRule="auto"/>
        <w:jc w:val="both"/>
        <w:rPr>
          <w:rFonts w:ascii="Arial" w:hAnsi="Arial"/>
          <w:b/>
          <w:sz w:val="18"/>
          <w:szCs w:val="18"/>
          <w:lang w:val="mk-MK"/>
        </w:rPr>
      </w:pPr>
    </w:p>
    <w:p w14:paraId="5F4CA928" w14:textId="54D2331B" w:rsidR="008E7DB0" w:rsidRDefault="008E7DB0" w:rsidP="008E7DB0">
      <w:pPr>
        <w:spacing w:line="276" w:lineRule="auto"/>
        <w:jc w:val="both"/>
        <w:rPr>
          <w:rFonts w:ascii="Arial" w:hAnsi="Arial"/>
          <w:b/>
          <w:sz w:val="18"/>
          <w:szCs w:val="18"/>
          <w:lang w:val="mk-MK"/>
        </w:rPr>
      </w:pPr>
      <w:r w:rsidRPr="00FD2AA6">
        <w:rPr>
          <w:rFonts w:ascii="Arial" w:hAnsi="Arial"/>
          <w:b/>
          <w:sz w:val="18"/>
          <w:szCs w:val="18"/>
          <w:lang w:val="mk-MK"/>
        </w:rPr>
        <w:t>Нацрт 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проблемот.</w:t>
      </w:r>
    </w:p>
    <w:p w14:paraId="1EFF6FA6" w14:textId="77777777" w:rsidR="00FD2AA6" w:rsidRPr="00FD2AA6" w:rsidRDefault="00FD2AA6" w:rsidP="008E7DB0">
      <w:pPr>
        <w:spacing w:line="276" w:lineRule="auto"/>
        <w:jc w:val="both"/>
        <w:rPr>
          <w:rFonts w:ascii="Arial" w:hAnsi="Arial"/>
          <w:sz w:val="18"/>
          <w:szCs w:val="18"/>
          <w:lang w:val="mk-MK"/>
        </w:rPr>
      </w:pPr>
    </w:p>
    <w:p w14:paraId="1B024577" w14:textId="486AE8CE" w:rsidR="008E7DB0" w:rsidRPr="00FD2AA6" w:rsidRDefault="008E7DB0" w:rsidP="008E7DB0">
      <w:pPr>
        <w:spacing w:line="276" w:lineRule="auto"/>
        <w:jc w:val="both"/>
        <w:rPr>
          <w:rFonts w:ascii="Arial" w:hAnsi="Arial"/>
          <w:b/>
          <w:sz w:val="18"/>
          <w:szCs w:val="18"/>
          <w:lang w:val="mk-MK"/>
        </w:rPr>
      </w:pPr>
      <w:r w:rsidRPr="00FD2AA6">
        <w:rPr>
          <w:rFonts w:ascii="Arial" w:hAnsi="Arial"/>
          <w:b/>
          <w:sz w:val="18"/>
          <w:szCs w:val="18"/>
          <w:lang w:val="mk-MK"/>
        </w:rPr>
        <w:t>Датум:</w:t>
      </w:r>
      <w:r w:rsidR="00FD2AA6">
        <w:rPr>
          <w:rFonts w:ascii="Arial" w:hAnsi="Arial"/>
          <w:b/>
          <w:sz w:val="18"/>
          <w:szCs w:val="18"/>
          <w:lang w:val="en-US"/>
        </w:rPr>
        <w:t xml:space="preserve"> </w:t>
      </w:r>
      <w:r w:rsidRPr="00FD2AA6">
        <w:rPr>
          <w:rFonts w:ascii="Arial" w:hAnsi="Arial"/>
          <w:b/>
          <w:sz w:val="18"/>
          <w:szCs w:val="18"/>
          <w:lang w:val="mk-MK"/>
        </w:rPr>
        <w:t>_____________</w:t>
      </w:r>
      <w:r w:rsidR="00FD2AA6">
        <w:rPr>
          <w:rFonts w:ascii="Arial" w:hAnsi="Arial"/>
          <w:b/>
          <w:sz w:val="18"/>
          <w:szCs w:val="18"/>
          <w:lang w:val="mk-MK"/>
        </w:rPr>
        <w:t xml:space="preserve"> </w:t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Pr="00FD2AA6">
        <w:rPr>
          <w:rFonts w:ascii="Arial" w:hAnsi="Arial"/>
          <w:b/>
          <w:sz w:val="18"/>
          <w:szCs w:val="18"/>
          <w:lang w:val="mk-MK"/>
        </w:rPr>
        <w:t>..................................................</w:t>
      </w:r>
    </w:p>
    <w:p w14:paraId="412FA937" w14:textId="7CF16C3C" w:rsidR="008E7DB0" w:rsidRPr="00FD2AA6" w:rsidRDefault="008E7DB0" w:rsidP="008E7DB0">
      <w:pPr>
        <w:spacing w:line="276" w:lineRule="auto"/>
        <w:jc w:val="both"/>
        <w:rPr>
          <w:rFonts w:ascii="Arial" w:hAnsi="Arial"/>
          <w:sz w:val="18"/>
          <w:szCs w:val="18"/>
          <w:lang w:val="mk-MK"/>
        </w:rPr>
      </w:pPr>
      <w:r w:rsidRPr="00FD2AA6">
        <w:rPr>
          <w:rFonts w:ascii="Arial" w:hAnsi="Arial"/>
          <w:b/>
          <w:sz w:val="18"/>
          <w:szCs w:val="18"/>
          <w:lang w:val="mk-MK"/>
        </w:rPr>
        <w:tab/>
      </w:r>
      <w:r w:rsidRPr="00FD2AA6">
        <w:rPr>
          <w:rFonts w:ascii="Arial" w:hAnsi="Arial"/>
          <w:b/>
          <w:sz w:val="18"/>
          <w:szCs w:val="18"/>
          <w:lang w:val="mk-MK"/>
        </w:rPr>
        <w:tab/>
      </w:r>
      <w:r w:rsidRPr="00FD2AA6">
        <w:rPr>
          <w:rFonts w:ascii="Arial" w:hAnsi="Arial"/>
          <w:b/>
          <w:sz w:val="18"/>
          <w:szCs w:val="18"/>
          <w:lang w:val="mk-MK"/>
        </w:rPr>
        <w:tab/>
      </w:r>
      <w:r w:rsidRPr="00FD2AA6">
        <w:rPr>
          <w:rFonts w:ascii="Arial" w:hAnsi="Arial"/>
          <w:b/>
          <w:sz w:val="18"/>
          <w:szCs w:val="18"/>
          <w:lang w:val="mk-MK"/>
        </w:rPr>
        <w:tab/>
      </w:r>
      <w:r w:rsidRPr="00FD2AA6">
        <w:rPr>
          <w:rFonts w:ascii="Arial" w:hAnsi="Arial"/>
          <w:b/>
          <w:sz w:val="18"/>
          <w:szCs w:val="18"/>
          <w:lang w:val="mk-MK"/>
        </w:rPr>
        <w:tab/>
      </w:r>
      <w:r w:rsidRPr="00FD2AA6">
        <w:rPr>
          <w:rFonts w:ascii="Arial" w:hAnsi="Arial"/>
          <w:b/>
          <w:sz w:val="18"/>
          <w:szCs w:val="18"/>
          <w:lang w:val="mk-MK"/>
        </w:rPr>
        <w:tab/>
      </w:r>
      <w:r w:rsidR="00FD2AA6">
        <w:rPr>
          <w:rFonts w:ascii="Arial" w:hAnsi="Arial"/>
          <w:b/>
          <w:sz w:val="18"/>
          <w:szCs w:val="18"/>
          <w:lang w:val="mk-MK"/>
        </w:rPr>
        <w:t xml:space="preserve"> </w:t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="00FD2AA6">
        <w:rPr>
          <w:rFonts w:ascii="Arial" w:hAnsi="Arial"/>
          <w:b/>
          <w:sz w:val="18"/>
          <w:szCs w:val="18"/>
          <w:lang w:val="mk-MK"/>
        </w:rPr>
        <w:tab/>
      </w:r>
      <w:r w:rsidRPr="00FD2AA6">
        <w:rPr>
          <w:rFonts w:ascii="Arial" w:hAnsi="Arial"/>
          <w:b/>
          <w:sz w:val="18"/>
          <w:szCs w:val="18"/>
          <w:lang w:val="mk-MK"/>
        </w:rPr>
        <w:t xml:space="preserve">потпис на државен секретар </w:t>
      </w:r>
    </w:p>
    <w:p w14:paraId="40189F02" w14:textId="4B1B5450" w:rsidR="003B3CC1" w:rsidRPr="00FD2AA6" w:rsidRDefault="003B3CC1" w:rsidP="00170F32">
      <w:pPr>
        <w:rPr>
          <w:rFonts w:ascii="Arial" w:hAnsi="Arial"/>
          <w:lang w:val="mk-MK"/>
        </w:rPr>
      </w:pPr>
    </w:p>
    <w:p w14:paraId="6B0CEB93" w14:textId="77777777" w:rsidR="00187F5B" w:rsidRPr="00FD2AA6" w:rsidRDefault="00187F5B" w:rsidP="00187F5B">
      <w:pPr>
        <w:jc w:val="center"/>
        <w:rPr>
          <w:rFonts w:ascii="Arial" w:hAnsi="Arial"/>
          <w:b/>
          <w:lang w:val="mk-MK"/>
        </w:rPr>
      </w:pPr>
    </w:p>
    <w:p w14:paraId="29D8875E" w14:textId="77777777" w:rsidR="00EA4722" w:rsidRPr="00FD2AA6" w:rsidRDefault="00EA4722" w:rsidP="00187F5B">
      <w:pPr>
        <w:jc w:val="center"/>
        <w:rPr>
          <w:rFonts w:ascii="Arial" w:hAnsi="Arial"/>
          <w:b/>
          <w:lang w:val="mk-MK"/>
        </w:rPr>
      </w:pPr>
    </w:p>
    <w:p w14:paraId="2EF7BB38" w14:textId="77777777" w:rsidR="00187F5B" w:rsidRPr="00FD2AA6" w:rsidRDefault="00187F5B" w:rsidP="00EF65EE">
      <w:pPr>
        <w:rPr>
          <w:rFonts w:ascii="Arial" w:hAnsi="Arial"/>
          <w:b/>
          <w:lang w:val="mk-MK"/>
        </w:rPr>
      </w:pPr>
    </w:p>
    <w:sectPr w:rsidR="00187F5B" w:rsidRPr="00FD2AA6" w:rsidSect="00FD2AA6">
      <w:headerReference w:type="default" r:id="rId12"/>
      <w:footerReference w:type="default" r:id="rId13"/>
      <w:pgSz w:w="11906" w:h="16838"/>
      <w:pgMar w:top="311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E266" w14:textId="77777777" w:rsidR="008B2C06" w:rsidRDefault="008B2C06" w:rsidP="005D078B">
      <w:r>
        <w:separator/>
      </w:r>
    </w:p>
  </w:endnote>
  <w:endnote w:type="continuationSeparator" w:id="0">
    <w:p w14:paraId="40D70294" w14:textId="77777777" w:rsidR="008B2C06" w:rsidRDefault="008B2C06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tobiSerif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1FA5" w14:textId="502018BE" w:rsidR="001B51EC" w:rsidRPr="00FD2AA6" w:rsidRDefault="00701FBD" w:rsidP="00FD2AA6">
    <w:pPr>
      <w:pStyle w:val="Footer"/>
      <w:jc w:val="right"/>
      <w:rPr>
        <w:rFonts w:ascii="Arial" w:hAnsi="Arial"/>
      </w:rPr>
    </w:pPr>
    <w:r w:rsidRPr="00FD2AA6">
      <w:rPr>
        <w:rFonts w:ascii="Arial" w:hAnsi="Arial"/>
      </w:rPr>
      <w:fldChar w:fldCharType="begin"/>
    </w:r>
    <w:r w:rsidRPr="00FD2AA6">
      <w:rPr>
        <w:rFonts w:ascii="Arial" w:hAnsi="Arial"/>
      </w:rPr>
      <w:instrText xml:space="preserve"> PAGE   \* MERGEFORMAT </w:instrText>
    </w:r>
    <w:r w:rsidRPr="00FD2AA6">
      <w:rPr>
        <w:rFonts w:ascii="Arial" w:hAnsi="Arial"/>
      </w:rPr>
      <w:fldChar w:fldCharType="separate"/>
    </w:r>
    <w:r w:rsidR="00EA6127" w:rsidRPr="00FD2AA6">
      <w:rPr>
        <w:rFonts w:ascii="Arial" w:hAnsi="Arial"/>
        <w:noProof/>
      </w:rPr>
      <w:t>8</w:t>
    </w:r>
    <w:r w:rsidRPr="00FD2A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B8AA" w14:textId="77777777" w:rsidR="008B2C06" w:rsidRDefault="008B2C06" w:rsidP="005D078B">
      <w:r>
        <w:separator/>
      </w:r>
    </w:p>
  </w:footnote>
  <w:footnote w:type="continuationSeparator" w:id="0">
    <w:p w14:paraId="6DB719CC" w14:textId="77777777" w:rsidR="008B2C06" w:rsidRDefault="008B2C06" w:rsidP="005D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89A3" w14:textId="77777777" w:rsidR="00EF65EE" w:rsidRDefault="00EA4722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>
      <w:rPr>
        <w:rFonts w:ascii="StobiSerif" w:hAnsi="StobiSerif"/>
        <w:noProof/>
        <w:sz w:val="22"/>
        <w:szCs w:val="22"/>
        <w:lang w:val="mk-MK" w:eastAsia="mk-MK"/>
      </w:rPr>
      <w:drawing>
        <wp:inline distT="0" distB="0" distL="0" distR="0" wp14:anchorId="6B80948A" wp14:editId="3ECF6479">
          <wp:extent cx="2576195" cy="954405"/>
          <wp:effectExtent l="19050" t="0" r="0" b="0"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77A4F7" w14:textId="095D6C4F" w:rsidR="00EF65EE" w:rsidRDefault="00324FB1" w:rsidP="000B10AC">
    <w:pPr>
      <w:pStyle w:val="Header"/>
      <w:tabs>
        <w:tab w:val="clear" w:pos="4513"/>
        <w:tab w:val="clear" w:pos="9026"/>
      </w:tabs>
      <w:jc w:val="center"/>
    </w:pPr>
    <w:r w:rsidRPr="00324FB1">
      <w:rPr>
        <w:rFonts w:ascii="StobiSerif" w:hAnsi="StobiSerif"/>
        <w:b/>
        <w:noProof/>
        <w:sz w:val="20"/>
        <w:szCs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szCs w:val="20"/>
        <w:lang w:val="mk-MK" w:eastAsia="mk-MK"/>
      </w:rPr>
      <w:t xml:space="preserve"> </w:t>
    </w:r>
    <w:r w:rsidR="002E04AD">
      <w:rPr>
        <w:rFonts w:ascii="StobiSerif" w:hAnsi="StobiSerif"/>
        <w:b/>
        <w:noProof/>
        <w:sz w:val="20"/>
        <w:szCs w:val="20"/>
        <w:lang w:val="mk-MK" w:eastAsia="mk-MK"/>
      </w:rPr>
      <w:t>ЗДРАВСТВО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F59"/>
    <w:multiLevelType w:val="multilevel"/>
    <w:tmpl w:val="3E302A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F487295"/>
    <w:multiLevelType w:val="multilevel"/>
    <w:tmpl w:val="F684D126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2" w15:restartNumberingAfterBreak="0">
    <w:nsid w:val="11CF55CF"/>
    <w:multiLevelType w:val="hybridMultilevel"/>
    <w:tmpl w:val="64C665B2"/>
    <w:lvl w:ilvl="0" w:tplc="1264D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F9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535"/>
    <w:multiLevelType w:val="multilevel"/>
    <w:tmpl w:val="F7B474E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6D13"/>
    <w:multiLevelType w:val="hybridMultilevel"/>
    <w:tmpl w:val="F49E1282"/>
    <w:lvl w:ilvl="0" w:tplc="AD784E02">
      <w:numFmt w:val="bullet"/>
      <w:lvlText w:val="-"/>
      <w:lvlJc w:val="left"/>
      <w:pPr>
        <w:ind w:left="720" w:hanging="360"/>
      </w:pPr>
      <w:rPr>
        <w:rFonts w:ascii="StobiSerif" w:eastAsiaTheme="minorHAnsi" w:hAnsi="StobiSerif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541C"/>
    <w:multiLevelType w:val="hybridMultilevel"/>
    <w:tmpl w:val="DD081ABE"/>
    <w:lvl w:ilvl="0" w:tplc="19E82BB4">
      <w:numFmt w:val="bullet"/>
      <w:lvlText w:val="-"/>
      <w:lvlJc w:val="left"/>
      <w:pPr>
        <w:ind w:left="108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AC059A"/>
    <w:multiLevelType w:val="hybridMultilevel"/>
    <w:tmpl w:val="20D25AF0"/>
    <w:lvl w:ilvl="0" w:tplc="042F000F">
      <w:start w:val="1"/>
      <w:numFmt w:val="decimal"/>
      <w:lvlText w:val="%1."/>
      <w:lvlJc w:val="left"/>
      <w:pPr>
        <w:ind w:left="1395" w:hanging="360"/>
      </w:pPr>
    </w:lvl>
    <w:lvl w:ilvl="1" w:tplc="042F0019" w:tentative="1">
      <w:start w:val="1"/>
      <w:numFmt w:val="lowerLetter"/>
      <w:lvlText w:val="%2."/>
      <w:lvlJc w:val="left"/>
      <w:pPr>
        <w:ind w:left="2115" w:hanging="360"/>
      </w:pPr>
    </w:lvl>
    <w:lvl w:ilvl="2" w:tplc="042F001B" w:tentative="1">
      <w:start w:val="1"/>
      <w:numFmt w:val="lowerRoman"/>
      <w:lvlText w:val="%3."/>
      <w:lvlJc w:val="right"/>
      <w:pPr>
        <w:ind w:left="2835" w:hanging="180"/>
      </w:pPr>
    </w:lvl>
    <w:lvl w:ilvl="3" w:tplc="042F000F" w:tentative="1">
      <w:start w:val="1"/>
      <w:numFmt w:val="decimal"/>
      <w:lvlText w:val="%4."/>
      <w:lvlJc w:val="left"/>
      <w:pPr>
        <w:ind w:left="3555" w:hanging="360"/>
      </w:pPr>
    </w:lvl>
    <w:lvl w:ilvl="4" w:tplc="042F0019" w:tentative="1">
      <w:start w:val="1"/>
      <w:numFmt w:val="lowerLetter"/>
      <w:lvlText w:val="%5."/>
      <w:lvlJc w:val="left"/>
      <w:pPr>
        <w:ind w:left="4275" w:hanging="360"/>
      </w:pPr>
    </w:lvl>
    <w:lvl w:ilvl="5" w:tplc="042F001B" w:tentative="1">
      <w:start w:val="1"/>
      <w:numFmt w:val="lowerRoman"/>
      <w:lvlText w:val="%6."/>
      <w:lvlJc w:val="right"/>
      <w:pPr>
        <w:ind w:left="4995" w:hanging="180"/>
      </w:pPr>
    </w:lvl>
    <w:lvl w:ilvl="6" w:tplc="042F000F" w:tentative="1">
      <w:start w:val="1"/>
      <w:numFmt w:val="decimal"/>
      <w:lvlText w:val="%7."/>
      <w:lvlJc w:val="left"/>
      <w:pPr>
        <w:ind w:left="5715" w:hanging="360"/>
      </w:pPr>
    </w:lvl>
    <w:lvl w:ilvl="7" w:tplc="042F0019" w:tentative="1">
      <w:start w:val="1"/>
      <w:numFmt w:val="lowerLetter"/>
      <w:lvlText w:val="%8."/>
      <w:lvlJc w:val="left"/>
      <w:pPr>
        <w:ind w:left="6435" w:hanging="360"/>
      </w:pPr>
    </w:lvl>
    <w:lvl w:ilvl="8" w:tplc="042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32EEE"/>
    <w:multiLevelType w:val="hybridMultilevel"/>
    <w:tmpl w:val="17E881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01425"/>
    <w:multiLevelType w:val="hybridMultilevel"/>
    <w:tmpl w:val="288E1D20"/>
    <w:lvl w:ilvl="0" w:tplc="1264D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F91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4" w15:restartNumberingAfterBreak="0">
    <w:nsid w:val="79B67DBE"/>
    <w:multiLevelType w:val="hybridMultilevel"/>
    <w:tmpl w:val="7EF63E7E"/>
    <w:lvl w:ilvl="0" w:tplc="CFD0D8A4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28CA"/>
    <w:multiLevelType w:val="hybridMultilevel"/>
    <w:tmpl w:val="95C4FB5C"/>
    <w:lvl w:ilvl="0" w:tplc="A0988F8C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9"/>
  </w:num>
  <w:num w:numId="10">
    <w:abstractNumId w:val="14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6"/>
    <w:rsid w:val="000037EC"/>
    <w:rsid w:val="00015512"/>
    <w:rsid w:val="000352F4"/>
    <w:rsid w:val="00035998"/>
    <w:rsid w:val="000439E4"/>
    <w:rsid w:val="0005368C"/>
    <w:rsid w:val="00061B9B"/>
    <w:rsid w:val="000633D7"/>
    <w:rsid w:val="00067008"/>
    <w:rsid w:val="00067729"/>
    <w:rsid w:val="00072558"/>
    <w:rsid w:val="0007343E"/>
    <w:rsid w:val="0008367E"/>
    <w:rsid w:val="00085B49"/>
    <w:rsid w:val="000A6B7B"/>
    <w:rsid w:val="000B10AC"/>
    <w:rsid w:val="000B146C"/>
    <w:rsid w:val="000B198F"/>
    <w:rsid w:val="000C2DFE"/>
    <w:rsid w:val="000D0C68"/>
    <w:rsid w:val="000D58B0"/>
    <w:rsid w:val="000E0336"/>
    <w:rsid w:val="000E1D2F"/>
    <w:rsid w:val="00107852"/>
    <w:rsid w:val="00114CEE"/>
    <w:rsid w:val="001218DE"/>
    <w:rsid w:val="0012269B"/>
    <w:rsid w:val="00124240"/>
    <w:rsid w:val="00130A68"/>
    <w:rsid w:val="00134FC9"/>
    <w:rsid w:val="001476F9"/>
    <w:rsid w:val="00156B47"/>
    <w:rsid w:val="00156D54"/>
    <w:rsid w:val="00161DCF"/>
    <w:rsid w:val="00162DAA"/>
    <w:rsid w:val="0016466A"/>
    <w:rsid w:val="00170F32"/>
    <w:rsid w:val="00175B40"/>
    <w:rsid w:val="00175F64"/>
    <w:rsid w:val="001836AA"/>
    <w:rsid w:val="001852B4"/>
    <w:rsid w:val="00187194"/>
    <w:rsid w:val="00187F5B"/>
    <w:rsid w:val="00192D85"/>
    <w:rsid w:val="001A0C66"/>
    <w:rsid w:val="001A2D55"/>
    <w:rsid w:val="001A4C39"/>
    <w:rsid w:val="001B0E2D"/>
    <w:rsid w:val="001B51EC"/>
    <w:rsid w:val="001D3748"/>
    <w:rsid w:val="001D3EC3"/>
    <w:rsid w:val="001E1187"/>
    <w:rsid w:val="001E7452"/>
    <w:rsid w:val="002027AA"/>
    <w:rsid w:val="00206F46"/>
    <w:rsid w:val="00207476"/>
    <w:rsid w:val="00212EDD"/>
    <w:rsid w:val="00221332"/>
    <w:rsid w:val="00232CD6"/>
    <w:rsid w:val="00234966"/>
    <w:rsid w:val="00235145"/>
    <w:rsid w:val="00237A30"/>
    <w:rsid w:val="002419C8"/>
    <w:rsid w:val="00241A74"/>
    <w:rsid w:val="00256462"/>
    <w:rsid w:val="00265FE8"/>
    <w:rsid w:val="002661AB"/>
    <w:rsid w:val="00280DA2"/>
    <w:rsid w:val="0028344F"/>
    <w:rsid w:val="00297CE3"/>
    <w:rsid w:val="002A7CB6"/>
    <w:rsid w:val="002A7ED0"/>
    <w:rsid w:val="002D2F0A"/>
    <w:rsid w:val="002E04AD"/>
    <w:rsid w:val="002F32BE"/>
    <w:rsid w:val="0032408F"/>
    <w:rsid w:val="00324FB1"/>
    <w:rsid w:val="00331E38"/>
    <w:rsid w:val="003361B3"/>
    <w:rsid w:val="00360BAA"/>
    <w:rsid w:val="003702F3"/>
    <w:rsid w:val="00373E68"/>
    <w:rsid w:val="00397C55"/>
    <w:rsid w:val="003B3CC1"/>
    <w:rsid w:val="003B53E6"/>
    <w:rsid w:val="003C0C5D"/>
    <w:rsid w:val="003C3555"/>
    <w:rsid w:val="003D5A8E"/>
    <w:rsid w:val="003E0EF9"/>
    <w:rsid w:val="003E1B7F"/>
    <w:rsid w:val="003F0F61"/>
    <w:rsid w:val="0041785E"/>
    <w:rsid w:val="00417E88"/>
    <w:rsid w:val="0042602D"/>
    <w:rsid w:val="00426162"/>
    <w:rsid w:val="004461D8"/>
    <w:rsid w:val="00446535"/>
    <w:rsid w:val="00446923"/>
    <w:rsid w:val="004550B7"/>
    <w:rsid w:val="00455DB3"/>
    <w:rsid w:val="004628D6"/>
    <w:rsid w:val="0046334E"/>
    <w:rsid w:val="00465D8D"/>
    <w:rsid w:val="00482CD6"/>
    <w:rsid w:val="00484181"/>
    <w:rsid w:val="0049117A"/>
    <w:rsid w:val="0049749E"/>
    <w:rsid w:val="004A38D5"/>
    <w:rsid w:val="004A4C8B"/>
    <w:rsid w:val="004B09FF"/>
    <w:rsid w:val="004B79FB"/>
    <w:rsid w:val="004C2DDB"/>
    <w:rsid w:val="004C78BA"/>
    <w:rsid w:val="004D2B8B"/>
    <w:rsid w:val="004E063F"/>
    <w:rsid w:val="004E25C6"/>
    <w:rsid w:val="004F384F"/>
    <w:rsid w:val="00501DD6"/>
    <w:rsid w:val="00507ADB"/>
    <w:rsid w:val="00512FB8"/>
    <w:rsid w:val="005157B0"/>
    <w:rsid w:val="0052528D"/>
    <w:rsid w:val="00531474"/>
    <w:rsid w:val="00533977"/>
    <w:rsid w:val="005359CD"/>
    <w:rsid w:val="00540116"/>
    <w:rsid w:val="00553A01"/>
    <w:rsid w:val="00566B4B"/>
    <w:rsid w:val="005918AE"/>
    <w:rsid w:val="00591C8C"/>
    <w:rsid w:val="005A2F24"/>
    <w:rsid w:val="005A7F54"/>
    <w:rsid w:val="005C0380"/>
    <w:rsid w:val="005D078B"/>
    <w:rsid w:val="005D0CB8"/>
    <w:rsid w:val="005D3BD7"/>
    <w:rsid w:val="005E4D3D"/>
    <w:rsid w:val="005E583D"/>
    <w:rsid w:val="005F40B5"/>
    <w:rsid w:val="00602363"/>
    <w:rsid w:val="00605AC4"/>
    <w:rsid w:val="0062524F"/>
    <w:rsid w:val="00631C96"/>
    <w:rsid w:val="0063477A"/>
    <w:rsid w:val="00645F3E"/>
    <w:rsid w:val="006528BA"/>
    <w:rsid w:val="0066032B"/>
    <w:rsid w:val="00670195"/>
    <w:rsid w:val="00670EE1"/>
    <w:rsid w:val="006734FF"/>
    <w:rsid w:val="0067554A"/>
    <w:rsid w:val="00692E09"/>
    <w:rsid w:val="006A1297"/>
    <w:rsid w:val="006A2250"/>
    <w:rsid w:val="006A5FBC"/>
    <w:rsid w:val="006C3F95"/>
    <w:rsid w:val="006E7399"/>
    <w:rsid w:val="006F1327"/>
    <w:rsid w:val="006F2DC7"/>
    <w:rsid w:val="006F3A1E"/>
    <w:rsid w:val="006F3F28"/>
    <w:rsid w:val="006F6A5D"/>
    <w:rsid w:val="00701E4B"/>
    <w:rsid w:val="00701FBD"/>
    <w:rsid w:val="00702BFC"/>
    <w:rsid w:val="00710210"/>
    <w:rsid w:val="00753914"/>
    <w:rsid w:val="00767BDE"/>
    <w:rsid w:val="00781C95"/>
    <w:rsid w:val="007B47AF"/>
    <w:rsid w:val="007D072F"/>
    <w:rsid w:val="007E1A92"/>
    <w:rsid w:val="007E333A"/>
    <w:rsid w:val="007E6A7A"/>
    <w:rsid w:val="007F181B"/>
    <w:rsid w:val="007F6CEE"/>
    <w:rsid w:val="008063DE"/>
    <w:rsid w:val="0081643D"/>
    <w:rsid w:val="00830821"/>
    <w:rsid w:val="00836C90"/>
    <w:rsid w:val="00855CE5"/>
    <w:rsid w:val="0087764B"/>
    <w:rsid w:val="008808D7"/>
    <w:rsid w:val="00887870"/>
    <w:rsid w:val="00893725"/>
    <w:rsid w:val="00895372"/>
    <w:rsid w:val="008A22B9"/>
    <w:rsid w:val="008B04DF"/>
    <w:rsid w:val="008B0EC9"/>
    <w:rsid w:val="008B2C06"/>
    <w:rsid w:val="008C3EB0"/>
    <w:rsid w:val="008D4415"/>
    <w:rsid w:val="008D48E4"/>
    <w:rsid w:val="008E0654"/>
    <w:rsid w:val="008E1840"/>
    <w:rsid w:val="008E7DB0"/>
    <w:rsid w:val="00902B99"/>
    <w:rsid w:val="00911B86"/>
    <w:rsid w:val="009234AE"/>
    <w:rsid w:val="00925B6A"/>
    <w:rsid w:val="009318F9"/>
    <w:rsid w:val="009340C9"/>
    <w:rsid w:val="009369BE"/>
    <w:rsid w:val="00946798"/>
    <w:rsid w:val="009500C2"/>
    <w:rsid w:val="0097159F"/>
    <w:rsid w:val="00973CBD"/>
    <w:rsid w:val="00974894"/>
    <w:rsid w:val="009824D5"/>
    <w:rsid w:val="009828BF"/>
    <w:rsid w:val="00983FD7"/>
    <w:rsid w:val="00991E21"/>
    <w:rsid w:val="009C2EE5"/>
    <w:rsid w:val="009C3116"/>
    <w:rsid w:val="009C5DF0"/>
    <w:rsid w:val="009D48EE"/>
    <w:rsid w:val="009E0C3F"/>
    <w:rsid w:val="009E6967"/>
    <w:rsid w:val="009E7BEC"/>
    <w:rsid w:val="009F562C"/>
    <w:rsid w:val="009F5772"/>
    <w:rsid w:val="00A07197"/>
    <w:rsid w:val="00A106B3"/>
    <w:rsid w:val="00A22142"/>
    <w:rsid w:val="00A42206"/>
    <w:rsid w:val="00A4639C"/>
    <w:rsid w:val="00A5132C"/>
    <w:rsid w:val="00A9174B"/>
    <w:rsid w:val="00A94176"/>
    <w:rsid w:val="00A94E8B"/>
    <w:rsid w:val="00AD3D6A"/>
    <w:rsid w:val="00AF02DD"/>
    <w:rsid w:val="00AF1930"/>
    <w:rsid w:val="00AF6305"/>
    <w:rsid w:val="00B020B6"/>
    <w:rsid w:val="00B03D61"/>
    <w:rsid w:val="00B07120"/>
    <w:rsid w:val="00B11182"/>
    <w:rsid w:val="00B121C6"/>
    <w:rsid w:val="00B22971"/>
    <w:rsid w:val="00B25FB1"/>
    <w:rsid w:val="00B262AC"/>
    <w:rsid w:val="00B413F0"/>
    <w:rsid w:val="00B53720"/>
    <w:rsid w:val="00B54ABA"/>
    <w:rsid w:val="00B62F42"/>
    <w:rsid w:val="00B73551"/>
    <w:rsid w:val="00B763E7"/>
    <w:rsid w:val="00B86F35"/>
    <w:rsid w:val="00B95D30"/>
    <w:rsid w:val="00BA0DB9"/>
    <w:rsid w:val="00BB13A3"/>
    <w:rsid w:val="00BB4C59"/>
    <w:rsid w:val="00BB6650"/>
    <w:rsid w:val="00BB78A8"/>
    <w:rsid w:val="00BE38D9"/>
    <w:rsid w:val="00BE55BF"/>
    <w:rsid w:val="00BF15BB"/>
    <w:rsid w:val="00BF3641"/>
    <w:rsid w:val="00C1070B"/>
    <w:rsid w:val="00C11672"/>
    <w:rsid w:val="00C45BB9"/>
    <w:rsid w:val="00C53BBF"/>
    <w:rsid w:val="00C53E27"/>
    <w:rsid w:val="00C54C8F"/>
    <w:rsid w:val="00C60F2E"/>
    <w:rsid w:val="00C666E1"/>
    <w:rsid w:val="00C748FF"/>
    <w:rsid w:val="00C771C6"/>
    <w:rsid w:val="00C81A9A"/>
    <w:rsid w:val="00C84E1C"/>
    <w:rsid w:val="00C95479"/>
    <w:rsid w:val="00C966BD"/>
    <w:rsid w:val="00CA0DB7"/>
    <w:rsid w:val="00CB1448"/>
    <w:rsid w:val="00CB16F6"/>
    <w:rsid w:val="00CB64B8"/>
    <w:rsid w:val="00CC2D48"/>
    <w:rsid w:val="00CC42E3"/>
    <w:rsid w:val="00CF17AD"/>
    <w:rsid w:val="00CF785A"/>
    <w:rsid w:val="00D03074"/>
    <w:rsid w:val="00D100CE"/>
    <w:rsid w:val="00D22484"/>
    <w:rsid w:val="00D445B8"/>
    <w:rsid w:val="00D50A39"/>
    <w:rsid w:val="00D56D75"/>
    <w:rsid w:val="00D57FCC"/>
    <w:rsid w:val="00D742F3"/>
    <w:rsid w:val="00D8668E"/>
    <w:rsid w:val="00D94BB8"/>
    <w:rsid w:val="00D960D8"/>
    <w:rsid w:val="00D9611D"/>
    <w:rsid w:val="00DA6A84"/>
    <w:rsid w:val="00DB50A6"/>
    <w:rsid w:val="00DC1A79"/>
    <w:rsid w:val="00DC2CEF"/>
    <w:rsid w:val="00DC4158"/>
    <w:rsid w:val="00DE49F3"/>
    <w:rsid w:val="00DF0B26"/>
    <w:rsid w:val="00DF57FE"/>
    <w:rsid w:val="00E04154"/>
    <w:rsid w:val="00E057E1"/>
    <w:rsid w:val="00E15938"/>
    <w:rsid w:val="00E17C31"/>
    <w:rsid w:val="00E45C16"/>
    <w:rsid w:val="00E45EAB"/>
    <w:rsid w:val="00E515F2"/>
    <w:rsid w:val="00E57F21"/>
    <w:rsid w:val="00E62DC4"/>
    <w:rsid w:val="00E75594"/>
    <w:rsid w:val="00E82D9E"/>
    <w:rsid w:val="00E95FEA"/>
    <w:rsid w:val="00EA347C"/>
    <w:rsid w:val="00EA4722"/>
    <w:rsid w:val="00EA6127"/>
    <w:rsid w:val="00EB2768"/>
    <w:rsid w:val="00EB7E86"/>
    <w:rsid w:val="00EE12C3"/>
    <w:rsid w:val="00EF0488"/>
    <w:rsid w:val="00EF0734"/>
    <w:rsid w:val="00EF115E"/>
    <w:rsid w:val="00EF65EE"/>
    <w:rsid w:val="00F008E3"/>
    <w:rsid w:val="00F06AA8"/>
    <w:rsid w:val="00F17080"/>
    <w:rsid w:val="00F17A07"/>
    <w:rsid w:val="00F26D0B"/>
    <w:rsid w:val="00F36119"/>
    <w:rsid w:val="00F57166"/>
    <w:rsid w:val="00F66307"/>
    <w:rsid w:val="00F71094"/>
    <w:rsid w:val="00F72070"/>
    <w:rsid w:val="00FB156D"/>
    <w:rsid w:val="00FC1B7E"/>
    <w:rsid w:val="00FD0A37"/>
    <w:rsid w:val="00FD2AA6"/>
    <w:rsid w:val="00FE6594"/>
    <w:rsid w:val="00FF030B"/>
    <w:rsid w:val="00FF5E98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20A18"/>
  <w15:docId w15:val="{6C5951E4-B449-4C78-A07B-3ABEF52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AA6"/>
    <w:pPr>
      <w:keepNext/>
      <w:keepLines/>
      <w:numPr>
        <w:numId w:val="17"/>
      </w:numPr>
      <w:shd w:val="clear" w:color="auto" w:fill="FBD4B4"/>
      <w:tabs>
        <w:tab w:val="left" w:pos="675"/>
      </w:tabs>
      <w:spacing w:before="360" w:after="240"/>
      <w:ind w:left="714" w:hanging="357"/>
      <w:outlineLvl w:val="0"/>
    </w:pPr>
    <w:rPr>
      <w:rFonts w:ascii="Arial" w:hAnsi="Arial"/>
      <w:b/>
      <w:lang w:val="mk-MK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D2AA6"/>
    <w:pPr>
      <w:numPr>
        <w:ilvl w:val="1"/>
        <w:numId w:val="14"/>
      </w:numPr>
      <w:spacing w:before="240"/>
      <w:jc w:val="both"/>
      <w:outlineLvl w:val="1"/>
    </w:pPr>
    <w:rPr>
      <w:rFonts w:ascii="Arial" w:hAnsi="Arial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character" w:styleId="Hyperlink">
    <w:name w:val="Hyperlink"/>
    <w:rsid w:val="00A9174B"/>
    <w:rPr>
      <w:color w:val="0000FF"/>
      <w:u w:val="single"/>
    </w:rPr>
  </w:style>
  <w:style w:type="paragraph" w:customStyle="1" w:styleId="Tekst">
    <w:name w:val="Tekst"/>
    <w:basedOn w:val="Normal"/>
    <w:link w:val="TekstChar"/>
    <w:qFormat/>
    <w:rsid w:val="00FD2AA6"/>
    <w:pPr>
      <w:ind w:firstLine="720"/>
      <w:jc w:val="both"/>
    </w:pPr>
    <w:rPr>
      <w:rFonts w:ascii="Arial" w:hAnsi="Arial" w:cs="Arial"/>
      <w:sz w:val="22"/>
      <w:szCs w:val="22"/>
      <w:lang w:val="mk-MK"/>
    </w:rPr>
  </w:style>
  <w:style w:type="character" w:customStyle="1" w:styleId="TekstChar">
    <w:name w:val="Tekst Char"/>
    <w:link w:val="Tekst"/>
    <w:locked/>
    <w:rsid w:val="00FD2AA6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1tekst">
    <w:name w:val="1tekst"/>
    <w:basedOn w:val="Normal"/>
    <w:rsid w:val="00D9611D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Stavovi">
    <w:name w:val="Stavovi"/>
    <w:basedOn w:val="Normal"/>
    <w:link w:val="StavoviChar"/>
    <w:autoRedefine/>
    <w:qFormat/>
    <w:rsid w:val="00D9611D"/>
    <w:pPr>
      <w:tabs>
        <w:tab w:val="left" w:pos="0"/>
      </w:tabs>
      <w:spacing w:before="60" w:after="60"/>
      <w:ind w:firstLine="720"/>
      <w:jc w:val="both"/>
    </w:pPr>
    <w:rPr>
      <w:rFonts w:ascii="StobiSerif Regular" w:hAnsi="StobiSerif Regular"/>
      <w:sz w:val="22"/>
      <w:szCs w:val="22"/>
      <w:lang w:val="mk-MK" w:eastAsia="mk-MK"/>
    </w:rPr>
  </w:style>
  <w:style w:type="character" w:customStyle="1" w:styleId="StavoviChar">
    <w:name w:val="Stavovi Char"/>
    <w:link w:val="Stavovi"/>
    <w:rsid w:val="00D9611D"/>
    <w:rPr>
      <w:rFonts w:ascii="StobiSerif Regular" w:eastAsia="Times New Roman" w:hAnsi="StobiSerif Regular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D2AA6"/>
    <w:rPr>
      <w:rFonts w:ascii="Arial" w:eastAsia="Times New Roman" w:hAnsi="Arial"/>
      <w:b/>
      <w:sz w:val="24"/>
      <w:szCs w:val="24"/>
      <w:shd w:val="clear" w:color="auto" w:fill="FBD4B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D2AA6"/>
    <w:rPr>
      <w:rFonts w:ascii="Arial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gelina.bacanovik@zdravstvo.gov.m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403226166B84FB40BDEEBBC225046835" ma:contentTypeVersion="" ma:contentTypeDescription="" ma:contentTypeScope="" ma:versionID="b7f73f506e6815ae44bd271dcfe51a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560E-B437-4FF3-950F-F27AA6D1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6DBA3-0589-4FFE-AB6E-2AF85EB1A5E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283BDD-108D-4CFA-869A-EF6D434D16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FADAF5-11A3-4D25-BAB5-8BA9A803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- Извештај за проценка на влијанието на регулативата, со Упатство за пополнување</vt:lpstr>
    </vt:vector>
  </TitlesOfParts>
  <Company>Microsoft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- Извештај за проценка на влијанието на регулативата, со Упатство за пополнување</dc:title>
  <dc:creator>Angelina Bacanovik</dc:creator>
  <cp:lastModifiedBy>Dejan Nikolovski</cp:lastModifiedBy>
  <cp:revision>4</cp:revision>
  <cp:lastPrinted>2019-05-13T06:54:00Z</cp:lastPrinted>
  <dcterms:created xsi:type="dcterms:W3CDTF">2019-05-20T13:45:00Z</dcterms:created>
  <dcterms:modified xsi:type="dcterms:W3CDTF">2019-05-28T20:43:00Z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sts|dejan.jakimovski</vt:lpwstr>
  </property>
  <property fmtid="{D5CDD505-2E9C-101B-9397-08002B2CF9AE}" pid="3" name="Title">
    <vt:lpwstr>ПРИЛОГ - Извештај за проценка на влијанието на регулативата, со Упатство за пополнување</vt:lpwstr>
  </property>
  <property fmtid="{D5CDD505-2E9C-101B-9397-08002B2CF9AE}" pid="4" name="ModifiedBy">
    <vt:lpwstr>i:0e.t|e-vlada.mk sts|dejan.jakimovski</vt:lpwstr>
  </property>
</Properties>
</file>