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4D12C8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4D12C8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C65821" w:rsidRPr="004D12C8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4D12C8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4D12C8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4D12C8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C9F187B" w14:textId="0A9F3788" w:rsidR="00294F4C" w:rsidRPr="004D12C8" w:rsidRDefault="001B56A8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>
              <w:rPr>
                <w:rFonts w:ascii="StobiSerif Regular" w:eastAsia="Calibri" w:hAnsi="StobiSerif Regular" w:cs="Arial"/>
              </w:rPr>
              <w:t>Предлог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на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Закон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изменување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на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 w:rsidR="00723BD6">
              <w:rPr>
                <w:rFonts w:ascii="StobiSerif Regular" w:eastAsia="Calibri" w:hAnsi="StobiSerif Regular" w:cs="Arial"/>
              </w:rPr>
              <w:t>законот</w:t>
            </w:r>
            <w:proofErr w:type="spellEnd"/>
            <w:r w:rsidR="00723BD6"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 w:rsidR="00723BD6">
              <w:rPr>
                <w:rFonts w:ascii="StobiSerif Regular" w:eastAsia="Calibri" w:hAnsi="StobiSerif Regular" w:cs="Arial"/>
              </w:rPr>
              <w:t>за</w:t>
            </w:r>
            <w:proofErr w:type="spellEnd"/>
            <w:r w:rsidR="00723BD6"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 w:rsidR="00723BD6">
              <w:rPr>
                <w:rFonts w:ascii="StobiSerif Regular" w:eastAsia="Calibri" w:hAnsi="StobiSerif Regular" w:cs="Arial"/>
              </w:rPr>
              <w:t>водите</w:t>
            </w:r>
            <w:proofErr w:type="spellEnd"/>
          </w:p>
        </w:tc>
      </w:tr>
      <w:tr w:rsidR="00294F4C" w:rsidRPr="004D12C8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4D12C8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4D12C8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4D12C8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4D12C8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4D12C8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работа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4D12C8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4D12C8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C8082D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4D12C8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4D12C8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4D12C8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4D12C8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CF522B">
              <w:rPr>
                <w:rFonts w:ascii="StobiSerif Regular" w:hAnsi="StobiSerif Regular" w:cs="Arial"/>
              </w:rPr>
            </w:r>
            <w:r w:rsidR="00CF522B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4D12C8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4D12C8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4D12C8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r w:rsidR="00C8082D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C8082D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8C3A4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275D0A44" w14:textId="514BF505" w:rsidR="00460D17" w:rsidRPr="004D12C8" w:rsidRDefault="00633314" w:rsidP="00723BD6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8C3A4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proofErr w:type="spellStart"/>
      <w:r w:rsidR="00723BD6">
        <w:rPr>
          <w:rFonts w:ascii="StobiSerif Regular" w:eastAsia="Calibri" w:hAnsi="StobiSerif Regular" w:cs="Arial"/>
        </w:rPr>
        <w:t>законот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за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водите</w:t>
      </w:r>
      <w:proofErr w:type="spellEnd"/>
    </w:p>
    <w:p w14:paraId="1C9CFF24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4D349B58" w:rsidR="00294F4C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Основна цел на Предлог законот за изменување на </w:t>
      </w:r>
      <w:proofErr w:type="spellStart"/>
      <w:r w:rsidR="00723BD6">
        <w:rPr>
          <w:rFonts w:ascii="StobiSerif Regular" w:eastAsia="Calibri" w:hAnsi="StobiSerif Regular" w:cs="Arial"/>
        </w:rPr>
        <w:t>законот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за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водите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8C3A4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4D12C8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3.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4D12C8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4D12C8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>3.1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375D2EC5" w:rsidR="00294F4C" w:rsidRPr="008C3A42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lastRenderedPageBreak/>
        <w:t xml:space="preserve">Опцијата „не прави ништо“ значи да не се донесат 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измените на </w:t>
      </w:r>
      <w:proofErr w:type="spellStart"/>
      <w:r w:rsidR="00723BD6">
        <w:rPr>
          <w:rFonts w:ascii="StobiSerif Regular" w:eastAsia="Calibri" w:hAnsi="StobiSerif Regular" w:cs="Arial"/>
        </w:rPr>
        <w:t>законот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за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водите</w:t>
      </w:r>
      <w:proofErr w:type="spellEnd"/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4D12C8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2113DE94" w14:textId="0FE47F9A" w:rsidR="00D622EC" w:rsidRPr="00D622EC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>3.2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донесе </w:t>
      </w:r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законот за измена на </w:t>
      </w:r>
      <w:proofErr w:type="spellStart"/>
      <w:r w:rsidR="00723BD6" w:rsidRPr="00723BD6">
        <w:rPr>
          <w:rFonts w:ascii="StobiSerif Regular" w:eastAsia="Calibri" w:hAnsi="StobiSerif Regular" w:cs="Arial"/>
          <w:b/>
        </w:rPr>
        <w:t>законот</w:t>
      </w:r>
      <w:proofErr w:type="spellEnd"/>
      <w:r w:rsidR="00723BD6" w:rsidRPr="00723BD6">
        <w:rPr>
          <w:rFonts w:ascii="StobiSerif Regular" w:eastAsia="Calibri" w:hAnsi="StobiSerif Regular" w:cs="Arial"/>
          <w:b/>
        </w:rPr>
        <w:t xml:space="preserve"> </w:t>
      </w:r>
      <w:proofErr w:type="spellStart"/>
      <w:r w:rsidR="00723BD6" w:rsidRPr="00723BD6">
        <w:rPr>
          <w:rFonts w:ascii="StobiSerif Regular" w:eastAsia="Calibri" w:hAnsi="StobiSerif Regular" w:cs="Arial"/>
          <w:b/>
        </w:rPr>
        <w:t>за</w:t>
      </w:r>
      <w:proofErr w:type="spellEnd"/>
      <w:r w:rsidR="00723BD6" w:rsidRPr="00723BD6">
        <w:rPr>
          <w:rFonts w:ascii="StobiSerif Regular" w:eastAsia="Calibri" w:hAnsi="StobiSerif Regular" w:cs="Arial"/>
          <w:b/>
        </w:rPr>
        <w:t xml:space="preserve"> </w:t>
      </w:r>
      <w:proofErr w:type="spellStart"/>
      <w:r w:rsidR="00723BD6" w:rsidRPr="00723BD6">
        <w:rPr>
          <w:rFonts w:ascii="StobiSerif Regular" w:eastAsia="Calibri" w:hAnsi="StobiSerif Regular" w:cs="Arial"/>
          <w:b/>
        </w:rPr>
        <w:t>водите</w:t>
      </w:r>
      <w:proofErr w:type="spellEnd"/>
      <w:r w:rsidR="00D622EC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="00D622EC" w:rsidRPr="00D622EC">
        <w:rPr>
          <w:rFonts w:ascii="StobiSerif Regular" w:hAnsi="StobiSerif Regular" w:cs="Arial"/>
          <w:bCs/>
          <w:sz w:val="22"/>
          <w:szCs w:val="22"/>
          <w:u w:val="single"/>
          <w:lang w:val="mk-MK"/>
        </w:rPr>
        <w:t xml:space="preserve">да се донесе </w:t>
      </w:r>
      <w:r w:rsidR="00D622EC" w:rsidRPr="00D622EC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>законот за измена на Законот за заштита од бучава во животната средина</w:t>
      </w:r>
      <w:r w:rsid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>“ Носење на законотските измени е единствена прифатлива опција за решавање на проблемот, бидејќи со денесување на Законот за изменување на Законот за заштита од бучава</w:t>
      </w:r>
      <w:r w:rsidR="00140838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4D12C8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4D12C8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bookmarkStart w:id="7" w:name="_Toc33433991"/>
      <w:bookmarkStart w:id="8" w:name="_Toc36068452"/>
      <w:r w:rsidR="0086687D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140838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4D12C8">
        <w:rPr>
          <w:rFonts w:ascii="StobiSerif Regular" w:hAnsi="StobiSerif Regular" w:cs="Arial"/>
          <w:sz w:val="22"/>
          <w:szCs w:val="22"/>
        </w:rPr>
        <w:t>:</w:t>
      </w:r>
      <w:bookmarkEnd w:id="7"/>
      <w:bookmarkEnd w:id="8"/>
    </w:p>
    <w:p w14:paraId="0481DE3B" w14:textId="0DEB7A55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1</w:t>
      </w:r>
      <w:r>
        <w:rPr>
          <w:rFonts w:ascii="StobiSerif Regular" w:hAnsi="StobiSerif Regular" w:cs="Arial"/>
          <w:sz w:val="22"/>
          <w:szCs w:val="22"/>
        </w:rPr>
        <w:t xml:space="preserve">:  </w:t>
      </w:r>
      <w:r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2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4D12C8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4D12C8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86687D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4D12C8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86687D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4D12C8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4D12C8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bCs/>
          <w:sz w:val="22"/>
          <w:szCs w:val="22"/>
          <w:lang w:val="mk-MK"/>
        </w:rPr>
        <w:t>Влијанија врз животната средина</w:t>
      </w:r>
    </w:p>
    <w:p w14:paraId="22A5F443" w14:textId="2FD6F4D9" w:rsidR="00910718" w:rsidRPr="004D12C8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4D12C8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4D12C8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760A1C4C" w:rsidR="00294F4C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>Во процесот на изработување  на овие законски измени преку писмени барања  на мислења на  Законот ќе се побара вклучување на на Министерство за економија и труд, Министерство за  транспорт и Секретаријат за законодавство, а по потреба и други  институции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CEC90A2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D64CC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D64CC">
        <w:rPr>
          <w:rFonts w:ascii="StobiSerif Regular" w:hAnsi="StobiSerif Regular" w:cs="Arial"/>
          <w:b/>
          <w:sz w:val="22"/>
          <w:szCs w:val="22"/>
        </w:rPr>
        <w:t>5.2</w:t>
      </w:r>
      <w:r w:rsidRPr="007D64CC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D64CC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D64CC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D64CC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D64CC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3D1123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4D12C8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046C8A" w:rsidRPr="004D12C8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4D12C8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4D12C8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4D12C8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D64CC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4D12C8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D64CC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D64CC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2FE4E603" w:rsidR="006B49C7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 xml:space="preserve">Позитивни влијанија. Со донесување на </w:t>
      </w:r>
      <w:proofErr w:type="spellStart"/>
      <w:r w:rsidR="00723BD6">
        <w:rPr>
          <w:rFonts w:ascii="StobiSerif Regular" w:eastAsia="Calibri" w:hAnsi="StobiSerif Regular" w:cs="Arial"/>
        </w:rPr>
        <w:t>законот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за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водите</w:t>
      </w:r>
      <w:proofErr w:type="spellEnd"/>
      <w:r w:rsidR="00723BD6">
        <w:rPr>
          <w:rFonts w:ascii="StobiSerif Regular" w:eastAsia="Calibri" w:hAnsi="StobiSerif Regular" w:cs="Arial"/>
          <w:lang w:val="mk-MK"/>
        </w:rPr>
        <w:t xml:space="preserve">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>ќе се усогласат законските прописи.</w:t>
      </w:r>
    </w:p>
    <w:p w14:paraId="7C3B2F40" w14:textId="77777777" w:rsid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4D12C8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4D12C8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4D12C8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65C5E2DE" w:rsidR="00F0623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– </w:t>
      </w:r>
    </w:p>
    <w:p w14:paraId="52C33DF1" w14:textId="77777777" w:rsidR="006B49C7" w:rsidRPr="004D12C8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6B49C7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4D12C8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lastRenderedPageBreak/>
        <w:t>Препорачано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53B7861A" w:rsidR="004D12C8" w:rsidRPr="006B49C7" w:rsidRDefault="00F06232" w:rsidP="004D12C8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Закон за изменунвање на </w:t>
      </w:r>
      <w:proofErr w:type="spellStart"/>
      <w:r w:rsidR="00723BD6">
        <w:rPr>
          <w:rFonts w:ascii="StobiSerif Regular" w:eastAsia="Calibri" w:hAnsi="StobiSerif Regular" w:cs="Arial"/>
        </w:rPr>
        <w:t>законот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за</w:t>
      </w:r>
      <w:proofErr w:type="spellEnd"/>
      <w:r w:rsidR="00723BD6">
        <w:rPr>
          <w:rFonts w:ascii="StobiSerif Regular" w:eastAsia="Calibri" w:hAnsi="StobiSerif Regular" w:cs="Arial"/>
        </w:rPr>
        <w:t xml:space="preserve"> </w:t>
      </w:r>
      <w:proofErr w:type="spellStart"/>
      <w:r w:rsidR="00723BD6">
        <w:rPr>
          <w:rFonts w:ascii="StobiSerif Regular" w:eastAsia="Calibri" w:hAnsi="StobiSerif Regular" w:cs="Arial"/>
        </w:rPr>
        <w:t>водите</w:t>
      </w:r>
      <w:proofErr w:type="spellEnd"/>
      <w:r w:rsidR="00723BD6">
        <w:rPr>
          <w:rFonts w:ascii="StobiSerif Regular" w:eastAsia="Calibri" w:hAnsi="StobiSerif Regular" w:cs="Arial"/>
          <w:lang w:val="mk-MK"/>
        </w:rPr>
        <w:t xml:space="preserve"> </w:t>
      </w:r>
      <w:bookmarkStart w:id="9" w:name="_GoBack"/>
      <w:bookmarkEnd w:id="9"/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заради усогласување со Законот за организација и работа на органите на државната управа</w:t>
      </w:r>
    </w:p>
    <w:p w14:paraId="7918EF9A" w14:textId="77777777" w:rsidR="004D12C8" w:rsidRPr="004D12C8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4D12C8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4D12C8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6B49C7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4D12C8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6B49C7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6B49C7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6B49C7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6B49C7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4D12C8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8.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4D12C8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 xml:space="preserve">8.1 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4D12C8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4D12C8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4D12C8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</w:t>
      </w:r>
      <w:r w:rsidR="00D37489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D0EE1A4" w14:textId="2EF3271F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130A23C" w14:textId="01CCA6B3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4D12C8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4D12C8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2A761" w14:textId="77777777" w:rsidR="00CF522B" w:rsidRDefault="00CF522B">
      <w:r>
        <w:separator/>
      </w:r>
    </w:p>
  </w:endnote>
  <w:endnote w:type="continuationSeparator" w:id="0">
    <w:p w14:paraId="61430C20" w14:textId="77777777" w:rsidR="00CF522B" w:rsidRDefault="00C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E0EE" w14:textId="77777777" w:rsidR="00CF522B" w:rsidRDefault="00CF522B">
      <w:r>
        <w:separator/>
      </w:r>
    </w:p>
  </w:footnote>
  <w:footnote w:type="continuationSeparator" w:id="0">
    <w:p w14:paraId="1FBD7778" w14:textId="77777777" w:rsidR="00CF522B" w:rsidRDefault="00CF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343A"/>
    <w:rsid w:val="001479A0"/>
    <w:rsid w:val="00186FBB"/>
    <w:rsid w:val="001A6418"/>
    <w:rsid w:val="001B56A8"/>
    <w:rsid w:val="001C3E32"/>
    <w:rsid w:val="001E488C"/>
    <w:rsid w:val="002041A1"/>
    <w:rsid w:val="00210DAF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F55A3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23BD6"/>
    <w:rsid w:val="0073314B"/>
    <w:rsid w:val="00736162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CF522B"/>
    <w:rsid w:val="00D33EF8"/>
    <w:rsid w:val="00D37489"/>
    <w:rsid w:val="00D54E6D"/>
    <w:rsid w:val="00D622EC"/>
    <w:rsid w:val="00DA7457"/>
    <w:rsid w:val="00DE19D4"/>
    <w:rsid w:val="00E167B8"/>
    <w:rsid w:val="00E44D33"/>
    <w:rsid w:val="00EA5B20"/>
    <w:rsid w:val="00EB783E"/>
    <w:rsid w:val="00EC15B5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84A84-FB65-4B29-B57B-6FF8F78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2</cp:revision>
  <dcterms:created xsi:type="dcterms:W3CDTF">2024-10-07T08:57:00Z</dcterms:created>
  <dcterms:modified xsi:type="dcterms:W3CDTF">2024-10-07T08:57:00Z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