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4D12C8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4D12C8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C65821" w:rsidRPr="004D12C8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4D12C8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4D12C8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4D12C8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C9F187B" w14:textId="757F8812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Предлог закон за изменување на </w:t>
            </w:r>
            <w:r w:rsidR="00506214">
              <w:rPr>
                <w:rFonts w:ascii="StobiSerif Regular" w:hAnsi="StobiSerif Regular"/>
              </w:rPr>
              <w:t>з</w:t>
            </w:r>
            <w:r w:rsidR="00506214" w:rsidRPr="00C80CFF">
              <w:rPr>
                <w:rFonts w:ascii="StobiSerif Regular" w:hAnsi="StobiSerif Regular"/>
                <w:lang w:val="mk-MK"/>
              </w:rPr>
              <w:t>аконот за генетски модифицирани организми</w:t>
            </w:r>
            <w:r w:rsidR="00506214">
              <w:rPr>
                <w:lang w:val="mk-MK"/>
              </w:rPr>
              <w:t xml:space="preserve"> </w:t>
            </w:r>
          </w:p>
        </w:tc>
      </w:tr>
      <w:tr w:rsidR="00294F4C" w:rsidRPr="004D12C8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4D12C8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4D12C8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4D12C8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4D12C8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4D12C8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работа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4D12C8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4D12C8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7B8F2100" w:rsidR="00294F4C" w:rsidRPr="00C8082D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lang w:val="mk-MK"/>
              </w:rPr>
              <w:t>– усогласување со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4D12C8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4D12C8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4D12C8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4D12C8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740CC1">
              <w:rPr>
                <w:rFonts w:ascii="StobiSerif Regular" w:hAnsi="StobiSerif Regular" w:cs="Arial"/>
              </w:rPr>
            </w:r>
            <w:r w:rsidR="00740CC1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4D12C8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4D12C8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4D12C8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r w:rsidR="00C8082D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C8082D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8C3A4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275D0A44" w14:textId="08DE6084" w:rsidR="00460D17" w:rsidRPr="004D12C8" w:rsidRDefault="00633314" w:rsidP="00506214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8C3A4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506214">
        <w:rPr>
          <w:rFonts w:ascii="StobiSerif Regular" w:hAnsi="StobiSerif Regular"/>
          <w:lang w:val="mk-MK"/>
        </w:rPr>
        <w:t>.</w:t>
      </w:r>
    </w:p>
    <w:p w14:paraId="1C9CFF24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0B3DE14B" w:rsidR="00294F4C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Основна цел на Предлог законот за изменување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8C3A4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4D12C8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3.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4D12C8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4D12C8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lastRenderedPageBreak/>
        <w:t>3.1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6158AD73" w:rsidR="00294F4C" w:rsidRPr="008C3A42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Опцијата „не прави ништо“ значи да не се донесат 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измените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4D12C8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516B1B9D" w14:textId="4C86EFF7" w:rsidR="008112E4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>3.2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</w:t>
      </w:r>
      <w:proofErr w:type="gramStart"/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донесе </w:t>
      </w:r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законот</w:t>
      </w:r>
      <w:proofErr w:type="gramEnd"/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за измена на Законот за заштита од бучава во животната средина</w:t>
      </w:r>
    </w:p>
    <w:p w14:paraId="2113DE94" w14:textId="47E5A8F7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Pr="00D622EC">
        <w:rPr>
          <w:rFonts w:ascii="StobiSerif Regular" w:hAnsi="StobiSerif Regular" w:cs="Arial"/>
          <w:bCs/>
          <w:sz w:val="22"/>
          <w:szCs w:val="22"/>
          <w:u w:val="single"/>
          <w:lang w:val="mk-MK"/>
        </w:rPr>
        <w:t xml:space="preserve">да се донесе </w:t>
      </w:r>
      <w:r w:rsidRPr="00D622EC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законот за измена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506214">
        <w:rPr>
          <w:lang w:val="mk-MK"/>
        </w:rPr>
        <w:t xml:space="preserve"> </w:t>
      </w:r>
      <w:r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“ Носење на законотските измени е единствена прифатлива опција за решавање на проблемот, бидејќи со денесување на Законот за изменување на </w:t>
      </w:r>
      <w:r w:rsidR="00E24E13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="00E24E13">
        <w:rPr>
          <w:rFonts w:ascii="StobiSerif Regular" w:hAnsi="StobiSerif Regular" w:cs="Arial"/>
          <w:sz w:val="22"/>
          <w:szCs w:val="22"/>
          <w:lang w:val="mk-MK"/>
        </w:rPr>
        <w:t>от</w:t>
      </w:r>
      <w:r w:rsidR="00E24E13">
        <w:rPr>
          <w:rFonts w:ascii="StobiSerif Regular" w:hAnsi="StobiSerif Regular" w:cs="Arial"/>
          <w:sz w:val="22"/>
          <w:szCs w:val="22"/>
          <w:lang w:val="mk-MK"/>
        </w:rPr>
        <w:t xml:space="preserve"> закон</w:t>
      </w:r>
      <w:r w:rsidR="00E24E13">
        <w:rPr>
          <w:rFonts w:ascii="StobiSerif Regular" w:hAnsi="StobiSerif Regular" w:cs="Arial"/>
          <w:sz w:val="22"/>
          <w:szCs w:val="22"/>
          <w:lang w:val="mk-MK"/>
        </w:rPr>
        <w:t>от</w:t>
      </w:r>
      <w:bookmarkStart w:id="7" w:name="_GoBack"/>
      <w:bookmarkEnd w:id="7"/>
      <w:r w:rsidR="00E24E13">
        <w:rPr>
          <w:rFonts w:ascii="StobiSerif Regular" w:hAnsi="StobiSerif Regular" w:cs="Arial"/>
          <w:sz w:val="22"/>
          <w:szCs w:val="22"/>
          <w:lang w:val="mk-MK"/>
        </w:rPr>
        <w:t xml:space="preserve"> за изменување на </w:t>
      </w:r>
      <w:r w:rsidR="00E24E13">
        <w:rPr>
          <w:rFonts w:ascii="StobiSerif Regular" w:hAnsi="StobiSerif Regular"/>
        </w:rPr>
        <w:t>з</w:t>
      </w:r>
      <w:r w:rsidR="00E24E13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140838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4D12C8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4D12C8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bookmarkStart w:id="8" w:name="_Toc33433991"/>
      <w:bookmarkStart w:id="9" w:name="_Toc36068452"/>
      <w:r w:rsidR="0086687D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140838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4D12C8">
        <w:rPr>
          <w:rFonts w:ascii="StobiSerif Regular" w:hAnsi="StobiSerif Regular" w:cs="Arial"/>
          <w:sz w:val="22"/>
          <w:szCs w:val="22"/>
        </w:rPr>
        <w:t>:</w:t>
      </w:r>
      <w:bookmarkEnd w:id="8"/>
      <w:bookmarkEnd w:id="9"/>
    </w:p>
    <w:p w14:paraId="0481DE3B" w14:textId="0DEB7A55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1</w:t>
      </w:r>
      <w:r>
        <w:rPr>
          <w:rFonts w:ascii="StobiSerif Regular" w:hAnsi="StobiSerif Regular" w:cs="Arial"/>
          <w:sz w:val="22"/>
          <w:szCs w:val="22"/>
        </w:rPr>
        <w:t xml:space="preserve">:  </w:t>
      </w:r>
      <w:r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2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4D12C8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4D12C8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86687D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4D12C8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86687D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4D12C8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4D12C8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Влијанија врз животната средина</w:t>
      </w:r>
    </w:p>
    <w:p w14:paraId="22A5F443" w14:textId="2FD6F4D9" w:rsidR="00910718" w:rsidRPr="004D12C8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4D12C8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4D12C8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6BB8D586" w:rsidR="00294F4C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 xml:space="preserve">Во процесот на изработување  на овие законски измени преку писмени барања  на мислења на  Законот ќе се побара вклучување на на Министерство за </w:t>
      </w:r>
      <w:r w:rsidR="00506214">
        <w:rPr>
          <w:rFonts w:ascii="StobiSerif Regular" w:eastAsia="Arial" w:hAnsi="StobiSerif Regular" w:cs="Arial"/>
          <w:sz w:val="22"/>
          <w:szCs w:val="22"/>
          <w:lang w:val="mk-MK"/>
        </w:rPr>
        <w:t>финансии</w:t>
      </w: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 xml:space="preserve">, Министерство за  </w:t>
      </w:r>
      <w:r w:rsidR="00506214">
        <w:rPr>
          <w:rFonts w:ascii="StobiSerif Regular" w:eastAsia="Arial" w:hAnsi="StobiSerif Regular" w:cs="Arial"/>
          <w:sz w:val="22"/>
          <w:szCs w:val="22"/>
          <w:lang w:val="mk-MK"/>
        </w:rPr>
        <w:t>земјоделство,шумарство и водостопанство,</w:t>
      </w: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 xml:space="preserve"> Секретаријат за законодавство, а по потреба и други  институции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CEC90A2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D64CC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D64CC">
        <w:rPr>
          <w:rFonts w:ascii="StobiSerif Regular" w:hAnsi="StobiSerif Regular" w:cs="Arial"/>
          <w:b/>
          <w:sz w:val="22"/>
          <w:szCs w:val="22"/>
        </w:rPr>
        <w:t>5.2</w:t>
      </w:r>
      <w:r w:rsidRPr="007D64CC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D64CC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D64CC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D64CC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D64CC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3D1123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4D12C8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046C8A" w:rsidRPr="004D12C8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4D12C8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4D12C8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4D12C8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D64CC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4D12C8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D64CC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D64CC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5385711B" w:rsidR="006B49C7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 xml:space="preserve">Позитивни влијанија. Со донесување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506214">
        <w:rPr>
          <w:lang w:val="mk-MK"/>
        </w:rPr>
        <w:t xml:space="preserve">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>ќе се усогласат законските прописи.</w:t>
      </w:r>
    </w:p>
    <w:p w14:paraId="7C3B2F40" w14:textId="77777777" w:rsid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4D12C8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4D12C8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4D12C8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</w:rPr>
        <w:lastRenderedPageBreak/>
        <w:t xml:space="preserve">6.2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65BFAF21" w:rsidR="00F0623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–</w:t>
      </w:r>
      <w:proofErr w:type="gramEnd"/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</w:p>
    <w:p w14:paraId="52C33DF1" w14:textId="77777777" w:rsidR="006B49C7" w:rsidRPr="004D12C8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6B49C7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4D12C8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5BAFE27F" w:rsidR="004D12C8" w:rsidRPr="006B49C7" w:rsidRDefault="00F06232" w:rsidP="004D12C8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Закон за изменунвање на Законот за изменување на </w:t>
      </w:r>
      <w:r w:rsidR="00506214">
        <w:rPr>
          <w:rFonts w:ascii="StobiSerif Regular" w:hAnsi="StobiSerif Regular"/>
        </w:rPr>
        <w:t>з</w:t>
      </w:r>
      <w:r w:rsidR="00506214" w:rsidRPr="00C80CFF">
        <w:rPr>
          <w:rFonts w:ascii="StobiSerif Regular" w:hAnsi="StobiSerif Regular"/>
          <w:lang w:val="mk-MK"/>
        </w:rPr>
        <w:t>аконот за генетски модифицирани организми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заради усогласување со Законот за организација и работа на органите на државната управа</w:t>
      </w:r>
    </w:p>
    <w:p w14:paraId="7918EF9A" w14:textId="77777777" w:rsidR="004D12C8" w:rsidRPr="004D12C8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4D12C8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4D12C8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6B49C7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4D12C8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6B49C7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6B49C7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6B49C7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6B49C7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4D12C8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8.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4D12C8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 xml:space="preserve">8.1 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4D12C8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4D12C8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lastRenderedPageBreak/>
        <w:t>Евалуација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4D12C8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</w:t>
      </w:r>
      <w:r w:rsidR="00D37489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D0EE1A4" w14:textId="2EF3271F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130A23C" w14:textId="01CCA6B3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4D12C8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4D12C8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DCA4" w14:textId="77777777" w:rsidR="00740CC1" w:rsidRDefault="00740CC1">
      <w:r>
        <w:separator/>
      </w:r>
    </w:p>
  </w:endnote>
  <w:endnote w:type="continuationSeparator" w:id="0">
    <w:p w14:paraId="26AB1583" w14:textId="77777777" w:rsidR="00740CC1" w:rsidRDefault="007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2CBD" w14:textId="77777777" w:rsidR="00740CC1" w:rsidRDefault="00740CC1">
      <w:r>
        <w:separator/>
      </w:r>
    </w:p>
  </w:footnote>
  <w:footnote w:type="continuationSeparator" w:id="0">
    <w:p w14:paraId="2E69175D" w14:textId="77777777" w:rsidR="00740CC1" w:rsidRDefault="007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343A"/>
    <w:rsid w:val="001479A0"/>
    <w:rsid w:val="00165C84"/>
    <w:rsid w:val="00186FBB"/>
    <w:rsid w:val="001A6418"/>
    <w:rsid w:val="001C3E32"/>
    <w:rsid w:val="001E488C"/>
    <w:rsid w:val="002041A1"/>
    <w:rsid w:val="00210DAF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F55A3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6214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3314B"/>
    <w:rsid w:val="00736162"/>
    <w:rsid w:val="00740CC1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D33EF8"/>
    <w:rsid w:val="00D37489"/>
    <w:rsid w:val="00D54E6D"/>
    <w:rsid w:val="00D622EC"/>
    <w:rsid w:val="00DA7457"/>
    <w:rsid w:val="00DE19D4"/>
    <w:rsid w:val="00E167B8"/>
    <w:rsid w:val="00E24E13"/>
    <w:rsid w:val="00E44D33"/>
    <w:rsid w:val="00EB783E"/>
    <w:rsid w:val="00EC15B5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2F62F-7DF6-44B6-9708-78B8FDDC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4</cp:revision>
  <dcterms:created xsi:type="dcterms:W3CDTF">2024-10-02T07:15:00Z</dcterms:created>
  <dcterms:modified xsi:type="dcterms:W3CDTF">2024-10-04T08:59:00Z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