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E" w:rsidRDefault="00A7755E" w:rsidP="00A7755E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bookmarkStart w:id="0" w:name="_GoBack"/>
      <w:bookmarkEnd w:id="0"/>
      <w:r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A7755E" w:rsidRDefault="00A7755E" w:rsidP="00A7755E">
      <w:pPr>
        <w:rPr>
          <w:rFonts w:ascii="StobiSerifPro" w:hAnsi="StobiSerifPro"/>
          <w:b/>
          <w:sz w:val="20"/>
          <w:szCs w:val="20"/>
          <w:lang w:val="mk-MK"/>
        </w:rPr>
      </w:pPr>
    </w:p>
    <w:p w:rsidR="00A7755E" w:rsidRDefault="00A7755E" w:rsidP="00A7755E">
      <w:pPr>
        <w:rPr>
          <w:rFonts w:ascii="StobiSerifPro" w:hAnsi="StobiSerifPro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A7755E" w:rsidTr="00BA7788"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E" w:rsidRDefault="00A7755E" w:rsidP="00BA778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ОДБРАНА</w:t>
            </w:r>
          </w:p>
          <w:p w:rsidR="00A7755E" w:rsidRDefault="00A7755E" w:rsidP="00BA778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A7755E" w:rsidTr="00BA7788"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E" w:rsidRDefault="00A7755E" w:rsidP="00BA778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ЗАКОН ЗА КРИТИЧНА ИНФРАСТРУКТУРА</w:t>
            </w:r>
          </w:p>
        </w:tc>
      </w:tr>
      <w:tr w:rsidR="00A7755E" w:rsidTr="00BA7788"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A7755E" w:rsidTr="00BA7788">
        <w:trPr>
          <w:trHeight w:val="93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Вид на Извештај</w:t>
            </w:r>
          </w:p>
        </w:tc>
        <w:bookmarkStart w:id="1" w:name="Check11"/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A2146B">
              <w:fldChar w:fldCharType="separate"/>
            </w:r>
            <w:r>
              <w:fldChar w:fldCharType="end"/>
            </w:r>
            <w:bookmarkEnd w:id="1"/>
            <w:r>
              <w:rPr>
                <w:rFonts w:ascii="StobiSerifPro" w:hAnsi="StobiSerifPro"/>
                <w:sz w:val="20"/>
                <w:szCs w:val="20"/>
              </w:rPr>
              <w:t>Нацрт</w:t>
            </w:r>
          </w:p>
          <w:bookmarkStart w:id="2" w:name="Check12"/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A2146B">
              <w:fldChar w:fldCharType="separate"/>
            </w:r>
            <w:r>
              <w:fldChar w:fldCharType="end"/>
            </w:r>
            <w:bookmarkEnd w:id="2"/>
            <w:r>
              <w:rPr>
                <w:rFonts w:ascii="StobiSerifPro" w:hAnsi="StobiSerifPro"/>
                <w:sz w:val="20"/>
                <w:szCs w:val="20"/>
              </w:rPr>
              <w:t xml:space="preserve">Предлог </w:t>
            </w:r>
          </w:p>
          <w:p w:rsidR="00A7755E" w:rsidRDefault="00A7755E" w:rsidP="00BA7788">
            <w:pPr>
              <w:pStyle w:val="ListParagraph"/>
              <w:spacing w:after="0" w:line="240" w:lineRule="auto"/>
              <w:rPr>
                <w:rFonts w:ascii="StobiSerifPro" w:hAnsi="StobiSerifPro"/>
                <w:sz w:val="20"/>
                <w:szCs w:val="20"/>
              </w:rPr>
            </w:pPr>
          </w:p>
        </w:tc>
      </w:tr>
      <w:tr w:rsidR="00A7755E" w:rsidTr="00BA7788">
        <w:trPr>
          <w:trHeight w:val="12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3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StobiSerifPro" w:hAnsi="StobiSerifPro"/>
                <w:sz w:val="20"/>
                <w:szCs w:val="20"/>
              </w:rPr>
              <w:t>Годишната програма за работа на Владата на Република</w:t>
            </w:r>
          </w:p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t xml:space="preserve">      Македонија</w:t>
            </w:r>
          </w:p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instrText>FORMCHECKBOX</w:instrText>
            </w:r>
            <w:r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StobiSerifPro" w:hAnsi="StobiSerifPro"/>
                <w:sz w:val="20"/>
                <w:szCs w:val="20"/>
              </w:rPr>
              <w:t>НПАА</w:t>
            </w:r>
          </w:p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A2146B">
              <w:rPr>
                <w:rFonts w:ascii="StobiSerifPro" w:hAnsi="StobiSerifPro"/>
                <w:sz w:val="20"/>
                <w:szCs w:val="20"/>
              </w:rPr>
            </w:r>
            <w:r w:rsidR="00A2146B">
              <w:rPr>
                <w:rFonts w:ascii="StobiSerifPro" w:hAnsi="StobiSerifPro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StobiSerifPro" w:hAnsi="StobiSerifPro"/>
                <w:sz w:val="20"/>
                <w:szCs w:val="20"/>
              </w:rPr>
              <w:t>Заклучок на Владата на Република Македонија</w:t>
            </w:r>
          </w:p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instrText>FORMCHECKBOX</w:instrText>
            </w:r>
            <w:r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StobiSerifPro" w:hAnsi="StobiSerifPro"/>
                <w:sz w:val="20"/>
                <w:szCs w:val="20"/>
              </w:rPr>
              <w:t>Друго _____________________________________</w:t>
            </w:r>
          </w:p>
        </w:tc>
      </w:tr>
      <w:tr w:rsidR="00A7755E" w:rsidTr="00BA7788">
        <w:trPr>
          <w:trHeight w:val="634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pStyle w:val="ListParagraph"/>
              <w:ind w:left="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t xml:space="preserve">        нема</w:t>
            </w:r>
          </w:p>
        </w:tc>
      </w:tr>
      <w:tr w:rsidR="00A7755E" w:rsidTr="00BA7788">
        <w:trPr>
          <w:trHeight w:val="186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A2146B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StobiSerifPro" w:hAnsi="StobiSerifPro"/>
                <w:sz w:val="20"/>
                <w:szCs w:val="20"/>
              </w:rPr>
              <w:t>Да</w:t>
            </w:r>
          </w:p>
          <w:bookmarkStart w:id="8" w:name="Check18"/>
          <w:p w:rsidR="00A7755E" w:rsidRDefault="00A7755E" w:rsidP="00BA7788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A2146B">
              <w:fldChar w:fldCharType="separate"/>
            </w:r>
            <w:r>
              <w:fldChar w:fldCharType="end"/>
            </w:r>
            <w:bookmarkEnd w:id="8"/>
            <w:r>
              <w:rPr>
                <w:rFonts w:ascii="StobiSerifPro" w:hAnsi="StobiSerifPro"/>
                <w:sz w:val="20"/>
                <w:szCs w:val="20"/>
              </w:rPr>
              <w:t>Не</w:t>
            </w:r>
          </w:p>
          <w:p w:rsidR="00A7755E" w:rsidRDefault="00A7755E" w:rsidP="00BA7788">
            <w:pPr>
              <w:rPr>
                <w:lang w:val="mk-MK"/>
              </w:rPr>
            </w:pPr>
          </w:p>
          <w:p w:rsidR="00A7755E" w:rsidRDefault="00A7755E" w:rsidP="00BA7788">
            <w:pPr>
              <w:rPr>
                <w:lang w:val="mk-MK"/>
              </w:rPr>
            </w:pPr>
          </w:p>
        </w:tc>
      </w:tr>
      <w:tr w:rsidR="00A7755E" w:rsidTr="00BA7788">
        <w:trPr>
          <w:trHeight w:val="93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t xml:space="preserve">.2022 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година</w:t>
            </w:r>
          </w:p>
        </w:tc>
      </w:tr>
      <w:tr w:rsidR="00A7755E" w:rsidTr="00BA7788">
        <w:trPr>
          <w:trHeight w:val="69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>
              <w:rPr>
                <w:rFonts w:ascii="StobiSerifPro" w:hAnsi="StobiSerifPro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/</w:t>
            </w:r>
          </w:p>
        </w:tc>
      </w:tr>
      <w:tr w:rsidR="00A7755E" w:rsidTr="00BA7788"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>
              <w:rPr>
                <w:rFonts w:ascii="StobiSerifPro" w:hAnsi="StobiSerifPro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5E" w:rsidRDefault="00A7755E" w:rsidP="00BA7788">
            <w:pPr>
              <w:suppressAutoHyphens/>
              <w:snapToGrid w:val="0"/>
              <w:jc w:val="both"/>
              <w:rPr>
                <w:rFonts w:ascii="StobiSans Regular" w:hAnsi="StobiSans Regular" w:cs="StobiSans Regular"/>
                <w:sz w:val="20"/>
                <w:szCs w:val="20"/>
                <w:lang w:val="mk-MK" w:eastAsia="zh-CN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 w:eastAsia="zh-CN"/>
              </w:rPr>
              <w:t>/</w:t>
            </w:r>
          </w:p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</w:tr>
      <w:tr w:rsidR="00A7755E" w:rsidTr="00BA7788">
        <w:trPr>
          <w:trHeight w:val="95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5E" w:rsidRDefault="00A7755E" w:rsidP="00BA7788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.2022 година</w:t>
            </w:r>
          </w:p>
        </w:tc>
      </w:tr>
    </w:tbl>
    <w:p w:rsidR="00E57443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7755E" w:rsidRDefault="00A7755E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7755E" w:rsidRPr="00065917" w:rsidRDefault="00A7755E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lastRenderedPageBreak/>
        <w:t>1.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Опис на состојбите во областа и дефинирање на проблемот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numPr>
          <w:ilvl w:val="1"/>
          <w:numId w:val="1"/>
        </w:numPr>
        <w:spacing w:line="276" w:lineRule="auto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  <w:r w:rsidRPr="00065917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Опис на состојбите 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eastAsia="Calibri" w:hAnsi="StobiSerif Regular" w:cs="Calibri"/>
          <w:i/>
          <w:sz w:val="22"/>
          <w:szCs w:val="22"/>
          <w:lang w:val="mk-MK"/>
        </w:rPr>
      </w:pP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 w:cs="Arial"/>
          <w:b/>
          <w:bCs/>
          <w:color w:val="202122"/>
          <w:sz w:val="22"/>
          <w:szCs w:val="22"/>
          <w:shd w:val="clear" w:color="auto" w:fill="FFFFFF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 xml:space="preserve">Во Република Северна Македонија, критичната инфраструктура не е дефинирана, односно нејзиното, значење и потребата од заштита не е ставено во правна рамка во позитивните законски прописи, а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со тоа нема </w:t>
      </w:r>
      <w:r w:rsidRPr="00065917">
        <w:rPr>
          <w:rFonts w:ascii="StobiSerif Regular" w:hAnsi="StobiSerif Regular"/>
          <w:sz w:val="22"/>
          <w:szCs w:val="22"/>
          <w:lang w:val="mk-MK"/>
        </w:rPr>
        <w:t>определено кои се субјекти можат да се третираат како критична инфраструктура и да ја уживаат посебната правна заштита.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>Потребата од нејзино законско уредување се појави со технолошкиот развој, г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лобалните промени во животната средина во последните неколку години и елементарните катастрофи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кои </w:t>
      </w:r>
      <w:r w:rsidRPr="001D626C">
        <w:rPr>
          <w:rFonts w:ascii="StobiSerif Regular" w:hAnsi="StobiSerif Regular"/>
          <w:sz w:val="22"/>
          <w:szCs w:val="22"/>
          <w:lang w:val="mk-MK"/>
        </w:rPr>
        <w:t>укажаа на потребата за сериозно преиспитување на заштитата на критичната инфраструктура во контекст на опасноста од елементарни непогоди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 и други видови загрозување типични за современото живеење како што се тероризам, шпионажа и сл.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 w:cs="Arial"/>
          <w:bCs/>
          <w:color w:val="202122"/>
          <w:sz w:val="22"/>
          <w:szCs w:val="22"/>
          <w:shd w:val="clear" w:color="auto" w:fill="FFFFFF"/>
          <w:lang w:val="mk-MK"/>
        </w:rPr>
      </w:pPr>
      <w:r w:rsidRPr="00065917">
        <w:rPr>
          <w:rFonts w:ascii="StobiSerif Regular" w:hAnsi="StobiSerif Regular" w:cs="Arial"/>
          <w:bCs/>
          <w:color w:val="202122"/>
          <w:sz w:val="22"/>
          <w:szCs w:val="22"/>
          <w:shd w:val="clear" w:color="auto" w:fill="FFFFFF"/>
          <w:lang w:val="mk-MK"/>
        </w:rPr>
        <w:t>Критичната инфрастурктура е од витално зн</w:t>
      </w:r>
      <w:r>
        <w:rPr>
          <w:rFonts w:ascii="StobiSerif Regular" w:hAnsi="StobiSerif Regular" w:cs="Arial"/>
          <w:bCs/>
          <w:color w:val="202122"/>
          <w:sz w:val="22"/>
          <w:szCs w:val="22"/>
          <w:shd w:val="clear" w:color="auto" w:fill="FFFFFF"/>
          <w:lang w:val="mk-MK"/>
        </w:rPr>
        <w:t>а</w:t>
      </w:r>
      <w:r w:rsidRPr="00065917">
        <w:rPr>
          <w:rFonts w:ascii="StobiSerif Regular" w:hAnsi="StobiSerif Regular" w:cs="Arial"/>
          <w:bCs/>
          <w:color w:val="202122"/>
          <w:sz w:val="22"/>
          <w:szCs w:val="22"/>
          <w:shd w:val="clear" w:color="auto" w:fill="FFFFFF"/>
          <w:lang w:val="mk-MK"/>
        </w:rPr>
        <w:t xml:space="preserve">чење за фунционирањето на една држава, а доколку дојде до нејзино оштетување, унишутување или загуба </w:t>
      </w:r>
      <w:r>
        <w:rPr>
          <w:rFonts w:ascii="StobiSerif Regular" w:hAnsi="StobiSerif Regular" w:cs="Arial"/>
          <w:bCs/>
          <w:color w:val="202122"/>
          <w:sz w:val="22"/>
          <w:szCs w:val="22"/>
          <w:shd w:val="clear" w:color="auto" w:fill="FFFFFF"/>
          <w:lang w:val="mk-MK"/>
        </w:rPr>
        <w:t xml:space="preserve">истото </w:t>
      </w:r>
      <w:r w:rsidRPr="00065917">
        <w:rPr>
          <w:rFonts w:ascii="StobiSerif Regular" w:hAnsi="StobiSerif Regular" w:cs="Arial"/>
          <w:bCs/>
          <w:color w:val="202122"/>
          <w:sz w:val="22"/>
          <w:szCs w:val="22"/>
          <w:shd w:val="clear" w:color="auto" w:fill="FFFFFF"/>
          <w:lang w:val="mk-MK"/>
        </w:rPr>
        <w:t xml:space="preserve">доведува до губење на испоракта на услугите кои зависат од нејзино непречено функционирање. </w:t>
      </w: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D626C">
        <w:rPr>
          <w:rFonts w:ascii="StobiSerif Regular" w:hAnsi="StobiSerif Regular"/>
          <w:sz w:val="22"/>
          <w:szCs w:val="22"/>
          <w:lang w:val="mk-MK"/>
        </w:rPr>
        <w:t xml:space="preserve">Поимот критична инфраструктура е клучен за правилно разбирање на </w:t>
      </w:r>
      <w:r>
        <w:rPr>
          <w:rFonts w:ascii="StobiSerif Regular" w:hAnsi="StobiSerif Regular"/>
          <w:sz w:val="22"/>
          <w:szCs w:val="22"/>
          <w:lang w:val="mk-MK"/>
        </w:rPr>
        <w:t xml:space="preserve">потребата од нејзина </w:t>
      </w:r>
      <w:r w:rsidRPr="001D626C">
        <w:rPr>
          <w:rFonts w:ascii="StobiSerif Regular" w:hAnsi="StobiSerif Regular"/>
          <w:sz w:val="22"/>
          <w:szCs w:val="22"/>
          <w:lang w:val="mk-MK"/>
        </w:rPr>
        <w:t>заштита.</w:t>
      </w: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>К</w:t>
      </w:r>
      <w:r w:rsidRPr="001D626C">
        <w:rPr>
          <w:rFonts w:ascii="StobiSerif Regular" w:hAnsi="StobiSerif Regular"/>
          <w:sz w:val="22"/>
          <w:szCs w:val="22"/>
          <w:lang w:val="mk-MK"/>
        </w:rPr>
        <w:t>ритичната инфраструктура поимно би можеле да ја определиме како инфраструктура што е суштествен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, животно неопходна, а нарушувањето на нејзиното нормално функционирање може да доведе до загрозување на </w:t>
      </w:r>
      <w:r>
        <w:rPr>
          <w:rFonts w:ascii="StobiSerif Regular" w:hAnsi="StobiSerif Regular"/>
          <w:sz w:val="22"/>
          <w:szCs w:val="22"/>
          <w:lang w:val="mk-MK"/>
        </w:rPr>
        <w:t xml:space="preserve">виталните односно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најзначајните вредности и добра врз коишто почива државата, општеството, економијата, благосостојбата и воспоставениот начин на живот. 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>Од таму произлегува дека, к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ритичната инфраструктура </w:t>
      </w:r>
      <w:r w:rsidRPr="001D626C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се системи, мрежи и објекти кои пружаат основни услуги во едно општество, па претставуваат поддршка за успешено функционирање на стопанството, сигурност и заштита на здравјето и благосостојбата во државата. С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летствено с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игурноста и заштитата на здравјтето и благосостојбата во државата зависи од сигурно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с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та и отпорноста на критичната инфраструктура. </w:t>
      </w:r>
    </w:p>
    <w:p w:rsidR="00E57443" w:rsidRDefault="00E57443" w:rsidP="00E57443">
      <w:pPr>
        <w:spacing w:line="276" w:lineRule="auto"/>
        <w:jc w:val="both"/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</w:pP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Критичната инфраструктура во земјите од непосредното опкуржување е ставена во правна рамка, односно е законски уредена. 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</w:pP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Критичната инфраструктура 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е соодветно уредена и во Европската Унија и е предмет на градење на отпорноста на критичните ентитети, делумно се однесува и на обврските кои произлегуваат и од членството во НАТО и примената на седумте основни 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lastRenderedPageBreak/>
        <w:t>критериуми за градење на отпорност кај земјите членки на Алијансата, а нејзината заштита е се по актуелна тема и воопшто во современото општествено живеење.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</w:pP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Со законот чие донесување се предлага</w:t>
      </w:r>
      <w:r w:rsidRPr="001D626C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,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покрај националното нормативно уредување на оваа материја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,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се врши усогласување и со Директивата на Европската унија 2008/114/ЕК, за одредување и иднентификација на европск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ата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критичн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а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инфраструктур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а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и проценка за потреба од унапредување на н</w:t>
      </w:r>
      <w:r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>ејзината</w:t>
      </w:r>
      <w:r w:rsidRPr="00065917"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  <w:t xml:space="preserve"> заштита (СЛ Л 345/75, 23.12.2008).</w:t>
      </w: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 w:cs="Lucida Sans Unicode"/>
          <w:color w:val="424242"/>
          <w:sz w:val="22"/>
          <w:szCs w:val="22"/>
          <w:shd w:val="clear" w:color="auto" w:fill="FFFFFF"/>
          <w:lang w:val="mk-MK"/>
        </w:rPr>
      </w:pPr>
    </w:p>
    <w:p w:rsidR="00E57443" w:rsidRPr="001D626C" w:rsidRDefault="00E57443" w:rsidP="00E57443">
      <w:pPr>
        <w:numPr>
          <w:ilvl w:val="1"/>
          <w:numId w:val="1"/>
        </w:numPr>
        <w:ind w:right="62"/>
        <w:rPr>
          <w:rFonts w:ascii="StobiSerif Regular" w:hAnsi="StobiSerif Regular" w:cs="QOfficinaSans"/>
          <w:sz w:val="22"/>
          <w:szCs w:val="22"/>
          <w:lang w:val="mk-MK" w:eastAsia="mk-MK"/>
        </w:rPr>
      </w:pPr>
      <w:r w:rsidRPr="00065917">
        <w:rPr>
          <w:rFonts w:ascii="StobiSerif Regular" w:eastAsia="Calibri" w:hAnsi="StobiSerif Regular" w:cs="Calibri"/>
          <w:i/>
          <w:sz w:val="22"/>
          <w:szCs w:val="22"/>
          <w:lang w:val="mk-MK"/>
        </w:rPr>
        <w:t>Причини за проблемите кои се предмет на разгледување</w:t>
      </w:r>
    </w:p>
    <w:p w:rsidR="00E57443" w:rsidRPr="00065917" w:rsidRDefault="00E57443" w:rsidP="00E57443">
      <w:pPr>
        <w:ind w:left="1440" w:right="62"/>
        <w:rPr>
          <w:rFonts w:ascii="StobiSerif Regular" w:hAnsi="StobiSerif Regular" w:cs="QOfficinaSans"/>
          <w:sz w:val="22"/>
          <w:szCs w:val="22"/>
          <w:lang w:val="mk-MK" w:eastAsia="mk-MK"/>
        </w:rPr>
      </w:pPr>
      <w:r w:rsidRPr="00065917">
        <w:rPr>
          <w:rFonts w:ascii="StobiSerif Regular" w:hAnsi="StobiSerif Regular" w:cs="QOfficinaSans"/>
          <w:sz w:val="22"/>
          <w:szCs w:val="22"/>
          <w:lang w:val="mk-MK" w:eastAsia="mk-MK"/>
        </w:rPr>
        <w:t xml:space="preserve"> </w:t>
      </w:r>
    </w:p>
    <w:p w:rsidR="00E57443" w:rsidRPr="00065917" w:rsidRDefault="00E57443" w:rsidP="00E57443">
      <w:pPr>
        <w:ind w:right="6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D626C">
        <w:rPr>
          <w:rFonts w:ascii="StobiSerif Regular" w:hAnsi="StobiSerif Regular"/>
          <w:sz w:val="22"/>
          <w:szCs w:val="22"/>
          <w:lang w:val="mk-MK"/>
        </w:rPr>
        <w:t xml:space="preserve">Бројни се причините поради кои инфраструктурата мора да биде добро обезбедена и заштитена. Некои од причините се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потенцијалните загрозувања и можноста критичната инфраструктура да биде селектирана како потенцијална цел на </w:t>
      </w:r>
      <w:r>
        <w:rPr>
          <w:rFonts w:ascii="StobiSerif Regular" w:hAnsi="StobiSerif Regular"/>
          <w:sz w:val="22"/>
          <w:szCs w:val="22"/>
          <w:lang w:val="mk-MK"/>
        </w:rPr>
        <w:t xml:space="preserve">најразлични форми на закани вклучително и </w:t>
      </w:r>
      <w:r w:rsidRPr="001D626C">
        <w:rPr>
          <w:rFonts w:ascii="StobiSerif Regular" w:hAnsi="StobiSerif Regular"/>
          <w:sz w:val="22"/>
          <w:szCs w:val="22"/>
          <w:lang w:val="mk-MK"/>
        </w:rPr>
        <w:t>терористички напади</w:t>
      </w:r>
      <w:r w:rsidRPr="00065917">
        <w:rPr>
          <w:rFonts w:ascii="StobiSerif Regular" w:hAnsi="StobiSerif Regular"/>
          <w:sz w:val="22"/>
          <w:szCs w:val="22"/>
          <w:lang w:val="mk-MK"/>
        </w:rPr>
        <w:t>.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Други причини се </w:t>
      </w:r>
      <w:r>
        <w:rPr>
          <w:rFonts w:ascii="StobiSerif Regular" w:hAnsi="StobiSerif Regular"/>
          <w:sz w:val="22"/>
          <w:szCs w:val="22"/>
          <w:lang w:val="mk-MK"/>
        </w:rPr>
        <w:t xml:space="preserve">поврзани со имликациите  кои произлегуваат од </w:t>
      </w:r>
      <w:r w:rsidRPr="00065917">
        <w:rPr>
          <w:rFonts w:ascii="StobiSerif Regular" w:hAnsi="StobiSerif Regular"/>
          <w:sz w:val="22"/>
          <w:szCs w:val="22"/>
          <w:lang w:val="mk-MK"/>
        </w:rPr>
        <w:t>ме</w:t>
      </w:r>
      <w:r>
        <w:rPr>
          <w:rFonts w:ascii="StobiSerif Regular" w:hAnsi="StobiSerif Regular"/>
          <w:sz w:val="22"/>
          <w:szCs w:val="22"/>
          <w:lang w:val="mk-MK"/>
        </w:rPr>
        <w:t>ѓ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узависноста и поврзаноста на различните видови на критична инфраструктура. </w:t>
      </w:r>
    </w:p>
    <w:p w:rsidR="00E57443" w:rsidRPr="001D626C" w:rsidRDefault="00E57443" w:rsidP="00E57443">
      <w:pPr>
        <w:ind w:right="6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Дополнително, к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ритичните информациони инфраструктури </w:t>
      </w:r>
      <w:r>
        <w:rPr>
          <w:rFonts w:ascii="StobiSerif Regular" w:hAnsi="StobiSerif Regular"/>
          <w:sz w:val="22"/>
          <w:szCs w:val="22"/>
          <w:lang w:val="mk-MK"/>
        </w:rPr>
        <w:t xml:space="preserve">се </w:t>
      </w:r>
      <w:r w:rsidRPr="00065917">
        <w:rPr>
          <w:rFonts w:ascii="StobiSerif Regular" w:hAnsi="StobiSerif Regular"/>
          <w:sz w:val="22"/>
          <w:szCs w:val="22"/>
          <w:lang w:val="mk-MK"/>
        </w:rPr>
        <w:t>асоцир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ни во сите општествени сегменти 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може да бидат особено </w:t>
      </w:r>
      <w:r>
        <w:rPr>
          <w:rFonts w:ascii="StobiSerif Regular" w:hAnsi="StobiSerif Regular"/>
          <w:sz w:val="22"/>
          <w:szCs w:val="22"/>
          <w:lang w:val="mk-MK"/>
        </w:rPr>
        <w:t>ч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уствитепни и </w:t>
      </w:r>
      <w:r w:rsidRPr="001D626C">
        <w:rPr>
          <w:rFonts w:ascii="StobiSerif Regular" w:hAnsi="StobiSerif Regular"/>
          <w:sz w:val="22"/>
          <w:szCs w:val="22"/>
          <w:lang w:val="mk-MK"/>
        </w:rPr>
        <w:t>ранливи на напади од страна на хакери, криминалци и</w:t>
      </w:r>
      <w:r>
        <w:rPr>
          <w:rFonts w:ascii="StobiSerif Regular" w:hAnsi="StobiSerif Regular"/>
          <w:sz w:val="22"/>
          <w:szCs w:val="22"/>
          <w:lang w:val="mk-MK"/>
        </w:rPr>
        <w:t>ли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терористи. </w:t>
      </w:r>
    </w:p>
    <w:p w:rsidR="00E57443" w:rsidRPr="00065917" w:rsidRDefault="00E57443" w:rsidP="00E57443">
      <w:pPr>
        <w:ind w:right="6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D626C">
        <w:rPr>
          <w:rFonts w:ascii="StobiSerif Regular" w:hAnsi="StobiSerif Regular"/>
          <w:sz w:val="22"/>
          <w:szCs w:val="22"/>
          <w:lang w:val="mk-MK"/>
        </w:rPr>
        <w:t xml:space="preserve">Електроенергетската инфраструктура, транспортот на нафта и природен гас,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снабдувањето со прехрамбени продукти и вода, здравственото обезбедување </w:t>
      </w:r>
      <w:r>
        <w:rPr>
          <w:rFonts w:ascii="StobiSerif Regular" w:hAnsi="StobiSerif Regular"/>
          <w:sz w:val="22"/>
          <w:szCs w:val="22"/>
          <w:lang w:val="mk-MK"/>
        </w:rPr>
        <w:t xml:space="preserve">и банкарскиот и финансискиот систем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се најранливи сегменти </w:t>
      </w:r>
      <w:r w:rsidRPr="00065917">
        <w:rPr>
          <w:rFonts w:ascii="StobiSerif Regular" w:hAnsi="StobiSerif Regular"/>
          <w:sz w:val="22"/>
          <w:szCs w:val="22"/>
          <w:lang w:val="mk-MK"/>
        </w:rPr>
        <w:t>на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инфраструктура</w:t>
      </w:r>
      <w:r w:rsidRPr="00065917">
        <w:rPr>
          <w:rFonts w:ascii="StobiSerif Regular" w:hAnsi="StobiSerif Regular"/>
          <w:sz w:val="22"/>
          <w:szCs w:val="22"/>
          <w:lang w:val="mk-MK"/>
        </w:rPr>
        <w:t>та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со што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сами по себе заради своето значење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претставуваат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потенцијални </w:t>
      </w:r>
      <w:r w:rsidRPr="001D626C">
        <w:rPr>
          <w:rFonts w:ascii="StobiSerif Regular" w:hAnsi="StobiSerif Regular"/>
          <w:sz w:val="22"/>
          <w:szCs w:val="22"/>
          <w:lang w:val="mk-MK"/>
        </w:rPr>
        <w:t>цели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 на напад.</w:t>
      </w: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>Со оглед дека е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ден од главните предизвици во полето на безбедноста во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Република Северна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Македонија денес е идентификација на сите безбедносни ризици и закани со кои може да се соочи државата, како и нивното влијание врз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општественото живеење, заштитата на </w:t>
      </w:r>
      <w:r w:rsidRPr="001D626C">
        <w:rPr>
          <w:rFonts w:ascii="StobiSerif Regular" w:hAnsi="StobiSerif Regular"/>
          <w:sz w:val="22"/>
          <w:szCs w:val="22"/>
          <w:lang w:val="mk-MK"/>
        </w:rPr>
        <w:t>национална критичната инфраструктура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 и градењето на нејзината оптпорност заслужува соодветно нормативно уредување</w:t>
      </w:r>
      <w:r w:rsidRPr="001D626C">
        <w:rPr>
          <w:rFonts w:ascii="StobiSerif Regular" w:hAnsi="StobiSerif Regular"/>
          <w:sz w:val="22"/>
          <w:szCs w:val="22"/>
          <w:lang w:val="mk-MK"/>
        </w:rPr>
        <w:t>.</w:t>
      </w:r>
    </w:p>
    <w:p w:rsidR="00E57443" w:rsidRPr="00065917" w:rsidRDefault="00E57443" w:rsidP="00E57443">
      <w:pPr>
        <w:ind w:right="6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 w:cs="Calibri"/>
          <w:b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>Воспоставување на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ефектив</w:t>
      </w:r>
      <w:r w:rsidRPr="00065917">
        <w:rPr>
          <w:rFonts w:ascii="StobiSerif Regular" w:hAnsi="StobiSerif Regular"/>
          <w:sz w:val="22"/>
          <w:szCs w:val="22"/>
          <w:lang w:val="mk-MK"/>
        </w:rPr>
        <w:t>е</w:t>
      </w:r>
      <w:r w:rsidRPr="001D626C">
        <w:rPr>
          <w:rFonts w:ascii="StobiSerif Regular" w:hAnsi="StobiSerif Regular"/>
          <w:sz w:val="22"/>
          <w:szCs w:val="22"/>
          <w:lang w:val="mk-MK"/>
        </w:rPr>
        <w:t>н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 систем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 на заштита 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и градење на отпорност </w:t>
      </w:r>
      <w:r w:rsidRPr="001D626C">
        <w:rPr>
          <w:rFonts w:ascii="StobiSerif Regular" w:hAnsi="StobiSerif Regular"/>
          <w:sz w:val="22"/>
          <w:szCs w:val="22"/>
          <w:lang w:val="mk-MK"/>
        </w:rPr>
        <w:t xml:space="preserve">на критичната инфраструктура </w:t>
      </w:r>
      <w:r w:rsidRPr="00065917">
        <w:rPr>
          <w:rFonts w:ascii="StobiSerif Regular" w:hAnsi="StobiSerif Regular"/>
          <w:sz w:val="22"/>
          <w:szCs w:val="22"/>
          <w:lang w:val="mk-MK"/>
        </w:rPr>
        <w:t>како врвен национален приоритет</w:t>
      </w:r>
      <w:r>
        <w:rPr>
          <w:rFonts w:ascii="StobiSerif Regular" w:hAnsi="StobiSerif Regular"/>
          <w:sz w:val="22"/>
          <w:szCs w:val="22"/>
          <w:lang w:val="mk-MK"/>
        </w:rPr>
        <w:t xml:space="preserve"> е основна ел на предлог регулативата</w:t>
      </w:r>
      <w:r w:rsidRPr="00065917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Единствениот пристап односно предлогот на </w:t>
      </w:r>
      <w:r w:rsidRPr="00065917">
        <w:rPr>
          <w:rFonts w:ascii="StobiSerif Regular" w:hAnsi="StobiSerif Regular"/>
          <w:sz w:val="22"/>
          <w:szCs w:val="22"/>
          <w:lang w:val="mk-MK"/>
        </w:rPr>
        <w:t>Националанта и европската критична инфраструктура  на територија на Република Северна Македонија да уживаат подеднаква заштита</w:t>
      </w:r>
      <w:r>
        <w:rPr>
          <w:rFonts w:ascii="StobiSerif Regular" w:hAnsi="StobiSerif Regular"/>
          <w:sz w:val="22"/>
          <w:szCs w:val="22"/>
          <w:lang w:val="mk-MK"/>
        </w:rPr>
        <w:t xml:space="preserve"> е комплементарна ел за усогласување со законодавството на ЕУ во оваа област</w:t>
      </w:r>
      <w:r w:rsidRPr="00065917">
        <w:rPr>
          <w:rFonts w:ascii="StobiSerif Regular" w:hAnsi="StobiSerif Regular"/>
          <w:sz w:val="22"/>
          <w:szCs w:val="22"/>
          <w:lang w:val="mk-MK"/>
        </w:rPr>
        <w:t>.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lastRenderedPageBreak/>
        <w:t>3.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Можни решенија (опции)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:rsidR="00E57443" w:rsidRPr="00065917" w:rsidRDefault="00E57443" w:rsidP="00E57443">
      <w:pPr>
        <w:spacing w:line="276" w:lineRule="auto"/>
        <w:ind w:firstLine="720"/>
        <w:jc w:val="both"/>
        <w:rPr>
          <w:rFonts w:ascii="StobiSerif Regular" w:hAnsi="StobiSerif Regular" w:cs="Calibri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3.1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</w:r>
      <w:r w:rsidRPr="00065917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Опис на решението </w:t>
      </w:r>
      <w:r w:rsidRPr="00065917">
        <w:rPr>
          <w:rFonts w:ascii="StobiSerif Regular" w:hAnsi="StobiSerif Regular" w:cs="Calibri"/>
          <w:i/>
          <w:sz w:val="22"/>
          <w:szCs w:val="22"/>
          <w:lang w:val="mk-MK"/>
        </w:rPr>
        <w:t>„не прави ништо“</w:t>
      </w:r>
      <w:r w:rsidRPr="00065917">
        <w:rPr>
          <w:rFonts w:ascii="StobiSerif Regular" w:eastAsia="Calibri" w:hAnsi="StobiSerif Regular" w:cs="Calibri"/>
          <w:i/>
          <w:sz w:val="22"/>
          <w:szCs w:val="22"/>
          <w:lang w:val="mk-MK"/>
        </w:rPr>
        <w:t xml:space="preserve">  </w:t>
      </w:r>
    </w:p>
    <w:p w:rsidR="00E57443" w:rsidRPr="001D626C" w:rsidRDefault="00E57443" w:rsidP="00E57443">
      <w:pPr>
        <w:ind w:right="62" w:firstLine="720"/>
        <w:jc w:val="both"/>
        <w:rPr>
          <w:rFonts w:ascii="StobiSerif Regular" w:hAnsi="StobiSerif Regular" w:cs="Calibri"/>
          <w:sz w:val="22"/>
          <w:szCs w:val="22"/>
          <w:lang w:val="mk-MK"/>
        </w:rPr>
      </w:pPr>
    </w:p>
    <w:p w:rsidR="00E57443" w:rsidRPr="00D95EBD" w:rsidRDefault="00E57443" w:rsidP="00E57443">
      <w:pPr>
        <w:jc w:val="both"/>
        <w:rPr>
          <w:rFonts w:ascii="StobiSerif Regular" w:hAnsi="StobiSerif Regular" w:cs="Calibri"/>
          <w:sz w:val="22"/>
          <w:szCs w:val="22"/>
          <w:lang w:val="mk-MK"/>
        </w:rPr>
      </w:pPr>
      <w:r w:rsidRPr="00D95EBD">
        <w:rPr>
          <w:rFonts w:ascii="StobiSerif Regular" w:hAnsi="StobiSerif Regular" w:cs="Calibri"/>
          <w:sz w:val="22"/>
          <w:szCs w:val="22"/>
          <w:lang w:val="mk-MK"/>
        </w:rPr>
        <w:t xml:space="preserve">Доколку се одбере опцијата </w:t>
      </w:r>
      <w:r w:rsidRPr="00D95EBD">
        <w:rPr>
          <w:rFonts w:ascii="StobiSerif Regular" w:hAnsi="StobiSerif Regular" w:cs="Calibri"/>
          <w:i/>
          <w:sz w:val="22"/>
          <w:szCs w:val="22"/>
          <w:lang w:val="mk-MK"/>
        </w:rPr>
        <w:t>„не прави ништо“,</w:t>
      </w:r>
      <w:r w:rsidRPr="00065917">
        <w:rPr>
          <w:rFonts w:ascii="StobiSerif Regular" w:hAnsi="StobiSerif Regular" w:cs="Calibri"/>
          <w:sz w:val="22"/>
          <w:szCs w:val="22"/>
          <w:lang w:val="mk-MK"/>
        </w:rPr>
        <w:t xml:space="preserve"> </w:t>
      </w:r>
      <w:r w:rsidRPr="00D95EBD">
        <w:rPr>
          <w:rFonts w:ascii="StobiSerif Regular" w:hAnsi="StobiSerif Regular" w:cs="Calibri"/>
          <w:sz w:val="22"/>
          <w:szCs w:val="22"/>
          <w:lang w:val="mk-MK"/>
        </w:rPr>
        <w:t xml:space="preserve">состојбата со констатираните проблеми </w:t>
      </w:r>
      <w:r>
        <w:rPr>
          <w:rFonts w:ascii="StobiSerif Regular" w:hAnsi="StobiSerif Regular" w:cs="Calibri"/>
          <w:sz w:val="22"/>
          <w:szCs w:val="22"/>
          <w:lang w:val="mk-MK"/>
        </w:rPr>
        <w:t xml:space="preserve">односно не регулирње на заштитата и градењето на отпорност на критичната инфраструктура </w:t>
      </w:r>
      <w:r w:rsidRPr="00D95EBD">
        <w:rPr>
          <w:rFonts w:ascii="StobiSerif Regular" w:hAnsi="StobiSerif Regular" w:cs="Calibri"/>
          <w:sz w:val="22"/>
          <w:szCs w:val="22"/>
          <w:lang w:val="mk-MK"/>
        </w:rPr>
        <w:t xml:space="preserve">ќе остане </w:t>
      </w:r>
      <w:r>
        <w:rPr>
          <w:rFonts w:ascii="StobiSerif Regular" w:hAnsi="StobiSerif Regular" w:cs="Calibri"/>
          <w:sz w:val="22"/>
          <w:szCs w:val="22"/>
          <w:lang w:val="mk-MK"/>
        </w:rPr>
        <w:t>отсуството на системско нормативно решение за справување со сите потенцијални закани и предизвици по одбраната и безбедноста на државата</w:t>
      </w:r>
      <w:r w:rsidRPr="00D95EBD">
        <w:rPr>
          <w:rFonts w:ascii="StobiSerif Regular" w:hAnsi="StobiSerif Regular" w:cs="Calibri"/>
          <w:sz w:val="22"/>
          <w:szCs w:val="22"/>
          <w:lang w:val="mk-MK"/>
        </w:rPr>
        <w:t xml:space="preserve">. </w:t>
      </w:r>
    </w:p>
    <w:p w:rsidR="00E57443" w:rsidRPr="00065917" w:rsidRDefault="00E57443" w:rsidP="00E57443">
      <w:pPr>
        <w:jc w:val="both"/>
        <w:rPr>
          <w:rFonts w:ascii="StobiSerif Regular" w:hAnsi="StobiSerif Regular" w:cs="Arial"/>
          <w:color w:val="FF0000"/>
          <w:sz w:val="22"/>
          <w:szCs w:val="22"/>
          <w:lang w:val="mk-MK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Со ова решение нема да се постигне целта заради која се пристапило кон изготвување на Предлогот на законот.</w:t>
      </w:r>
    </w:p>
    <w:p w:rsidR="00E57443" w:rsidRPr="00065917" w:rsidRDefault="00E57443" w:rsidP="00E57443">
      <w:pPr>
        <w:tabs>
          <w:tab w:val="left" w:pos="675"/>
        </w:tabs>
        <w:spacing w:line="276" w:lineRule="auto"/>
        <w:rPr>
          <w:rFonts w:ascii="StobiSerif Regular" w:hAnsi="StobiSerif Regular" w:cs="Calibri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3.2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Опис на можните решенија (опции) за решавање на проблемот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  <w:r>
        <w:rPr>
          <w:rFonts w:ascii="StobiSerif Regular" w:hAnsi="StobiSerif Regular" w:cs="StobiSerif Regular"/>
          <w:sz w:val="22"/>
          <w:szCs w:val="22"/>
          <w:lang w:val="mk-MK" w:eastAsia="zh-CN"/>
        </w:rPr>
        <w:t>Постоеше можност за измени и дополни во повеќе законски решенија но со истите ќе се нарушеше конзистентноста на истите и немаше да се обезбеди севкупно системско решение за заштита и градење на отпорноста на критичната инфраструктура.</w:t>
      </w:r>
    </w:p>
    <w:p w:rsidR="00E57443" w:rsidRPr="00065917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  <w:r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Од тие причини, наместо да пристапи кон измени и дополни во постојните законски решенија кои ја регулираат обраната и безбедноста, </w:t>
      </w: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Министерството за одбрана пристапи кон изработка на Предлогот на закон за критична инфраструктура со кој за прв пат во Република Северна Македонија се става во правна рамка критичната инфраструктура</w:t>
      </w:r>
      <w:r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 со што системски се уредува</w:t>
      </w: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. Притоа со понуденото законско решение се уредува заштитата и градењето отпорност на критичната инфраструктура, иднетификација и определувањето на критичната инфраструктура, начинот на постапување со работите поврзани со националната и европската критична инфраструктура, националниот ситем за нејзина заштита, секторите на националната критична инфрструктура, надлежноситте и одговорноста на субјектите, секторските надлежни министрства и сопствениците оператори, координација, информирање, известување, заштита на класифицирани информации поврзани со критичната инфраструктура , надзорот врз спроведуварто на одредбите од законите други прашња поврзани со заштитата и градењето отпорност на критичнта инфраструктура.</w:t>
      </w:r>
    </w:p>
    <w:p w:rsidR="00E57443" w:rsidRPr="00065917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numPr>
          <w:ilvl w:val="0"/>
          <w:numId w:val="2"/>
        </w:num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en-US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Проценка на влијанијата на регулативата</w:t>
      </w:r>
    </w:p>
    <w:p w:rsidR="00E57443" w:rsidRPr="00065917" w:rsidRDefault="00E57443" w:rsidP="00E57443">
      <w:pPr>
        <w:tabs>
          <w:tab w:val="left" w:pos="675"/>
        </w:tabs>
        <w:ind w:left="360"/>
        <w:rPr>
          <w:rFonts w:ascii="StobiSerif Regular" w:hAnsi="StobiSerif Regular"/>
          <w:b/>
          <w:sz w:val="22"/>
          <w:szCs w:val="22"/>
          <w:lang w:val="en-US"/>
        </w:rPr>
      </w:pP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ab/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>Можни позитивни и негативни влијанија од секоја од опциите: /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4.1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Економски влијанија </w:t>
      </w: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E57443" w:rsidRPr="00065917" w:rsidRDefault="00E57443" w:rsidP="00E57443">
      <w:pPr>
        <w:suppressAutoHyphens/>
        <w:jc w:val="both"/>
        <w:rPr>
          <w:rFonts w:ascii="StobiSerif Regular" w:hAnsi="StobiSerif Regular" w:cs="StobiSerifPro"/>
          <w:sz w:val="22"/>
          <w:szCs w:val="22"/>
          <w:lang w:val="sq-AL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lastRenderedPageBreak/>
        <w:t xml:space="preserve">Понудената опција нема да предизвика трошоци за економијата во областа на вработувањето и конкурентноста и нема да има влијание врз малите и средни претпријатија и други економски субјекти. </w:t>
      </w:r>
      <w:r w:rsidRPr="00065917">
        <w:rPr>
          <w:rFonts w:ascii="StobiSerif Regular" w:hAnsi="StobiSerif Regular" w:cs="StobiSerifPro Cyr"/>
          <w:sz w:val="22"/>
          <w:szCs w:val="22"/>
          <w:lang w:val="mk-MK" w:eastAsia="zh-CN"/>
        </w:rPr>
        <w:t xml:space="preserve"> </w:t>
      </w:r>
      <w:r>
        <w:rPr>
          <w:rFonts w:ascii="StobiSerif Regular" w:hAnsi="StobiSerif Regular" w:cs="StobiSerifPro Cyr"/>
          <w:sz w:val="22"/>
          <w:szCs w:val="22"/>
          <w:lang w:val="mk-MK" w:eastAsia="zh-CN"/>
        </w:rPr>
        <w:t>Примената на Законот напротив ќе обезбеди поголема безбедност и сигурност на субјектите односно операторите или ентитетите, носителли на критична инфраструктура.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4.2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Фискални влијанија 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1D626C" w:rsidRDefault="00E57443" w:rsidP="00E57443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65917">
        <w:rPr>
          <w:rFonts w:ascii="StobiSerif Regular" w:hAnsi="StobiSerif Regular"/>
          <w:bCs/>
          <w:sz w:val="22"/>
          <w:szCs w:val="22"/>
          <w:lang w:val="mk-MK"/>
        </w:rPr>
        <w:t>Примената на Законот, ќе предизвика фискални влијанија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4.3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Социјални влијанија 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 w:cs="StobiSerifPro"/>
          <w:sz w:val="22"/>
          <w:szCs w:val="22"/>
          <w:lang w:val="sq-AL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Предложеното законско решение нема да влијае врз намалување на сиромаштијата, заштитата и унапредувањето на здравјето, заштитата и унапредувањето на човековите права и родовата еднаквост, заштита на ранливите групи и обесправените. </w:t>
      </w:r>
      <w:r>
        <w:rPr>
          <w:rFonts w:ascii="StobiSerif Regular" w:hAnsi="StobiSerif Regular" w:cs="StobiSerif Regular"/>
          <w:sz w:val="22"/>
          <w:szCs w:val="22"/>
          <w:lang w:val="mk-MK" w:eastAsia="zh-CN"/>
        </w:rPr>
        <w:t>Од друга страна примената на Законот ќе влијае на зголемување на социјалната сигурност и бебедност на граѓаните.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4.4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Влијанија врз животната средина 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  <w:r w:rsidRPr="001D626C">
        <w:rPr>
          <w:rFonts w:ascii="StobiSerif Regular" w:hAnsi="StobiSerif Regular" w:cs="StobiSerifPro"/>
          <w:sz w:val="22"/>
          <w:szCs w:val="22"/>
          <w:lang w:val="mk-MK"/>
        </w:rPr>
        <w:t>Со</w:t>
      </w:r>
      <w:r w:rsidRPr="00065917">
        <w:rPr>
          <w:rFonts w:ascii="StobiSerif Regular" w:hAnsi="StobiSerif Regular" w:cs="StobiSerifPro"/>
          <w:sz w:val="22"/>
          <w:szCs w:val="22"/>
          <w:lang w:val="mk-MK"/>
        </w:rPr>
        <w:t xml:space="preserve"> </w:t>
      </w:r>
      <w:r w:rsidRPr="001D626C">
        <w:rPr>
          <w:rFonts w:ascii="StobiSerif Regular" w:hAnsi="StobiSerif Regular" w:cs="StobiSerifPro"/>
          <w:sz w:val="22"/>
          <w:szCs w:val="22"/>
          <w:lang w:val="mk-MK"/>
        </w:rPr>
        <w:t xml:space="preserve">предложените </w:t>
      </w:r>
      <w:r w:rsidRPr="00065917">
        <w:rPr>
          <w:rFonts w:ascii="StobiSerif Regular" w:hAnsi="StobiSerif Regular" w:cs="StobiSerifPro"/>
          <w:sz w:val="22"/>
          <w:szCs w:val="22"/>
          <w:lang w:val="mk-MK"/>
        </w:rPr>
        <w:t>решенија на утврдените проблеми,</w:t>
      </w:r>
      <w:r w:rsidRPr="001D626C">
        <w:rPr>
          <w:rFonts w:ascii="StobiSerif Regular" w:hAnsi="StobiSerif Regular" w:cs="StobiSerifPro"/>
          <w:sz w:val="22"/>
          <w:szCs w:val="22"/>
          <w:lang w:val="mk-MK"/>
        </w:rPr>
        <w:t xml:space="preserve"> нема да се влијае врз воздухот, почвата, нема да има ефект на стаклена градина, бучава, био-диверзитет, а со тоа што нема влијание врз наведените делови на природата, нема да има ниту директно или индиректно влијание врз здравјето на луѓето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.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Од друга страна </w:t>
      </w:r>
      <w:r>
        <w:rPr>
          <w:rFonts w:ascii="StobiSerif Regular" w:hAnsi="StobiSerif Regular" w:cs="StobiSerif Regular"/>
          <w:sz w:val="22"/>
          <w:szCs w:val="22"/>
          <w:lang w:val="mk-MK" w:eastAsia="zh-CN"/>
        </w:rPr>
        <w:t>примената на Законот ќе влијае на зголемување на заштита на критичната инфраструктура чие оштетување би можело да доведе до загадување или нарушување на животната средина</w:t>
      </w:r>
    </w:p>
    <w:p w:rsidR="00E57443" w:rsidRDefault="00E57443" w:rsidP="00E57443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E57443" w:rsidRPr="001D626C" w:rsidRDefault="00E57443" w:rsidP="00E57443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4.5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Административни влијанија и трошоци – НЕ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 xml:space="preserve">а) трошоци за спроведување </w:t>
      </w:r>
    </w:p>
    <w:p w:rsidR="00E57443" w:rsidRPr="00065917" w:rsidRDefault="00E57443" w:rsidP="00E57443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eastAsia="StobiSerifPro" w:hAnsi="StobiSerif Regular" w:cs="StobiSerifPro Cyr"/>
          <w:sz w:val="22"/>
          <w:szCs w:val="22"/>
          <w:lang w:val="sq-AL" w:eastAsia="zh-CN"/>
        </w:rPr>
      </w:pPr>
      <w:r w:rsidRPr="00065917">
        <w:rPr>
          <w:rFonts w:ascii="StobiSerif Regular" w:eastAsia="StobiSerifPro" w:hAnsi="StobiSerif Regular" w:cs="StobiSerifPro"/>
          <w:sz w:val="22"/>
          <w:szCs w:val="22"/>
          <w:lang w:val="mk-MK" w:eastAsia="zh-CN"/>
        </w:rPr>
        <w:t xml:space="preserve">Со предложените законски решенија се предвидува воспоставување на Координативен центар, а се предвидува и министерот за одбрана да формира Национален совет за унапредување и заштита на критичната инфраструктура и именува претседател и членови од редот на академската заедница, претставници на министерствата задолжени за секторите на критичната инфраструктура, приватното обезбедување, граѓанскиот сектор и други субјекти доколку нивната дејност е од значење за безбедноста на критичната инфраструктура. 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ind w:left="720"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Б</w:t>
      </w:r>
      <w:r>
        <w:rPr>
          <w:rFonts w:ascii="StobiSerif Regular" w:hAnsi="StobiSerif Regular"/>
          <w:i/>
          <w:sz w:val="22"/>
          <w:szCs w:val="22"/>
          <w:lang w:val="mk-MK"/>
        </w:rPr>
        <w:t xml:space="preserve"> 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 xml:space="preserve">)трошоци за почитување на регулативата </w:t>
      </w:r>
    </w:p>
    <w:p w:rsidR="00E57443" w:rsidRPr="00065917" w:rsidRDefault="00E57443" w:rsidP="00E57443">
      <w:pPr>
        <w:ind w:left="720" w:firstLine="720"/>
        <w:jc w:val="both"/>
        <w:rPr>
          <w:rFonts w:ascii="StobiSerif Regular" w:hAnsi="StobiSerif Regular" w:cs="Calibri"/>
          <w:i/>
          <w:iCs/>
          <w:sz w:val="22"/>
          <w:szCs w:val="22"/>
          <w:lang w:val="mk-MK"/>
        </w:rPr>
      </w:pPr>
    </w:p>
    <w:p w:rsidR="00E57443" w:rsidRPr="001D626C" w:rsidRDefault="00E57443" w:rsidP="00E57443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1D626C">
        <w:rPr>
          <w:rFonts w:ascii="StobiSerif Regular" w:hAnsi="StobiSerif Regular"/>
          <w:bCs/>
          <w:sz w:val="22"/>
          <w:szCs w:val="22"/>
          <w:lang w:val="mk-MK"/>
        </w:rPr>
        <w:t xml:space="preserve">Со 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предложените законски решенија,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 xml:space="preserve"> не се предлага воведување на нови административни оптеретувања, формалности и трошоци, односно не се предвидени нови трошоци за издавање 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на 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лиценци, дозволи и друго за правните и физичките лица, со што не се влијае на конкурентноста.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 w:cs="Calibri"/>
          <w:i/>
          <w:iCs/>
          <w:color w:val="FF0000"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Консултации</w:t>
      </w: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5.1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Засегнати страни и начин на вклучување</w:t>
      </w:r>
    </w:p>
    <w:p w:rsidR="00E57443" w:rsidRPr="001D626C" w:rsidRDefault="00E57443" w:rsidP="00E57443">
      <w:pPr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Министерството за одбрана за изработка на Предлог законот за критична инфраструктура формираше работна група со претсавници од сите организациони единици на Министерството. Од работната група произлезе и Инфорамција доставена до Владата за потребата од уредување на оваа област, која досега како што е погоре кажано не е уредена. За таа цел се формираше Подкомитет за изработка на законот во кој членуваа претставници од секторските надлежни министерства</w:t>
      </w:r>
      <w:r>
        <w:rPr>
          <w:rFonts w:ascii="StobiSerif Regular" w:hAnsi="StobiSerif Regular" w:cs="StobiSerif Regular"/>
          <w:sz w:val="22"/>
          <w:szCs w:val="22"/>
          <w:lang w:val="mk-MK" w:eastAsia="zh-CN"/>
        </w:rPr>
        <w:t>, претставници од академската заедница, невладините организации како и претставници од комората за приватно обезбедување</w:t>
      </w: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. Работната група од Министерството за одбрана го презентираше Предлог законот пред Подкомитетот.</w:t>
      </w: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color w:val="FF0000"/>
          <w:sz w:val="22"/>
          <w:szCs w:val="22"/>
          <w:lang w:val="mk-MK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Предлог – законот за критичната инфраструктура е објавен ............................... (ќе се стави датумот кога ќе биде објавен).</w:t>
      </w: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5.2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Преглед на добиените и вградените мислења </w:t>
      </w:r>
    </w:p>
    <w:p w:rsidR="00E57443" w:rsidRPr="00065917" w:rsidRDefault="00E57443" w:rsidP="00E57443">
      <w:pPr>
        <w:ind w:firstLine="720"/>
        <w:rPr>
          <w:rFonts w:ascii="StobiSerif Regular" w:hAnsi="StobiSerif Regular" w:cs="StobiSerif Regular"/>
          <w:color w:val="000000"/>
          <w:sz w:val="22"/>
          <w:szCs w:val="22"/>
          <w:lang w:val="mk-MK" w:eastAsia="zh-CN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/ </w:t>
      </w: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 w:cs="StobiSerifPro"/>
          <w:color w:val="FF0000"/>
          <w:sz w:val="22"/>
          <w:szCs w:val="22"/>
          <w:lang w:val="sq-AL" w:eastAsia="zh-CN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5.3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Мислењата кои не биле земени предвид и зошто</w:t>
      </w:r>
    </w:p>
    <w:p w:rsidR="00E57443" w:rsidRPr="00065917" w:rsidRDefault="00E57443" w:rsidP="00E57443">
      <w:pPr>
        <w:tabs>
          <w:tab w:val="left" w:pos="675"/>
        </w:tabs>
        <w:jc w:val="both"/>
        <w:rPr>
          <w:rFonts w:ascii="StobiSerif Regular" w:hAnsi="StobiSerif Regular" w:cs="StobiSerif Regular"/>
          <w:color w:val="FF0000"/>
          <w:sz w:val="22"/>
          <w:szCs w:val="22"/>
          <w:lang w:val="mk-MK" w:eastAsia="zh-CN"/>
        </w:rPr>
      </w:pPr>
    </w:p>
    <w:p w:rsidR="00E57443" w:rsidRPr="00065917" w:rsidRDefault="00E57443" w:rsidP="00E57443">
      <w:pPr>
        <w:tabs>
          <w:tab w:val="left" w:pos="675"/>
        </w:tabs>
        <w:jc w:val="both"/>
        <w:rPr>
          <w:rFonts w:ascii="StobiSerif Regular" w:hAnsi="StobiSerif Regular" w:cs="StobiSans Regular"/>
          <w:sz w:val="22"/>
          <w:szCs w:val="22"/>
          <w:lang w:val="mk-MK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Во подоцнежна фаза од</w:t>
      </w:r>
      <w:r w:rsidRPr="00065917">
        <w:rPr>
          <w:rFonts w:ascii="StobiSerif Regular" w:hAnsi="StobiSerif Regular" w:cs="StobiSerif Regular"/>
          <w:i/>
          <w:sz w:val="22"/>
          <w:szCs w:val="22"/>
          <w:lang w:val="mk-MK" w:eastAsia="zh-CN"/>
        </w:rPr>
        <w:t xml:space="preserve"> </w:t>
      </w: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проценката на влијанието на регулативата</w:t>
      </w:r>
      <w:r w:rsidRPr="00065917">
        <w:rPr>
          <w:rFonts w:ascii="StobiSerif Regular" w:hAnsi="StobiSerif Regular" w:cs="StobiSerif Regular"/>
          <w:i/>
          <w:sz w:val="22"/>
          <w:szCs w:val="22"/>
          <w:lang w:val="mk-MK" w:eastAsia="zh-CN"/>
        </w:rPr>
        <w:t xml:space="preserve"> </w:t>
      </w: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ќе бидат земени во предвид мислењата на надлежните државни органи и институции, по предложената содржина. 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 xml:space="preserve">6. 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Заклучоци и препорачано решение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6.1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E57443" w:rsidRPr="00065917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</w:p>
    <w:p w:rsidR="00E57443" w:rsidRPr="00065917" w:rsidRDefault="00E57443" w:rsidP="00E57443">
      <w:pPr>
        <w:jc w:val="both"/>
        <w:rPr>
          <w:rFonts w:ascii="StobiSerif Regular" w:hAnsi="StobiSerif Regular" w:cs="Arial"/>
          <w:color w:val="FF0000"/>
          <w:sz w:val="22"/>
          <w:szCs w:val="22"/>
          <w:lang w:val="mk-MK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Предложените законски решенија, ќе имаат позитивно влијание врз </w:t>
      </w:r>
      <w:r w:rsidRPr="00065917">
        <w:rPr>
          <w:rFonts w:ascii="StobiSerif Regular" w:hAnsi="StobiSerif Regular"/>
          <w:sz w:val="22"/>
          <w:szCs w:val="22"/>
          <w:lang w:val="mk-MK"/>
        </w:rPr>
        <w:t>подобрување на статусот на критичната инфраструктура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color w:val="FF0000"/>
          <w:sz w:val="22"/>
          <w:szCs w:val="22"/>
          <w:lang w:val="mk-MK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6.2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Ризици во спроведувањето и примената на секое од можните решенија (опции)</w:t>
      </w:r>
    </w:p>
    <w:p w:rsidR="00E57443" w:rsidRPr="00065917" w:rsidRDefault="00E57443" w:rsidP="00E57443">
      <w:pPr>
        <w:tabs>
          <w:tab w:val="left" w:pos="675"/>
        </w:tabs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</w:p>
    <w:p w:rsidR="00E57443" w:rsidRPr="00065917" w:rsidRDefault="00E57443" w:rsidP="00E57443">
      <w:pPr>
        <w:tabs>
          <w:tab w:val="left" w:pos="675"/>
        </w:tabs>
        <w:suppressAutoHyphens/>
        <w:jc w:val="both"/>
        <w:rPr>
          <w:rFonts w:ascii="StobiSerif Regular" w:eastAsia="StobiSerifPro Cyr" w:hAnsi="StobiSerif Regular" w:cs="StobiSerifPro Cyr"/>
          <w:sz w:val="22"/>
          <w:szCs w:val="22"/>
          <w:lang w:val="mk-MK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 xml:space="preserve">При спроведување на предложените законски решенија, не постојат ризици во однос на неможност истите целосно да се имплементираат, да се надминат утврдените проблеми, како и да се исполнат потребните предуслови предвидени за негова практична примена. 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6.3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Препорачано решение со образложение</w:t>
      </w:r>
    </w:p>
    <w:p w:rsidR="00E57443" w:rsidRPr="00065917" w:rsidRDefault="00E57443" w:rsidP="00E57443">
      <w:pPr>
        <w:ind w:right="62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 w:cs="StobiSerif Regular"/>
          <w:sz w:val="22"/>
          <w:szCs w:val="22"/>
          <w:lang w:val="mk-MK" w:eastAsia="zh-CN"/>
        </w:rPr>
      </w:pPr>
      <w:r w:rsidRPr="00065917">
        <w:rPr>
          <w:rFonts w:ascii="StobiSerif Regular" w:hAnsi="StobiSerif Regular"/>
          <w:bCs/>
          <w:sz w:val="22"/>
          <w:szCs w:val="22"/>
          <w:lang w:val="mk-MK"/>
        </w:rPr>
        <w:t>Со предложениот закон ќе се овозможи дефинирање на националната критична инфраструктура на територијата на државата, која е од суштинско значење за одржување на виталните општествени функции, здравјето, безбеднота, сигурноста, економската или социјалната благосостојба на луѓето и животната средина.</w:t>
      </w:r>
    </w:p>
    <w:p w:rsidR="00E57443" w:rsidRPr="00065917" w:rsidRDefault="00E57443" w:rsidP="00E57443">
      <w:pPr>
        <w:suppressAutoHyphens/>
        <w:ind w:right="62" w:firstLine="7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</w:p>
    <w:p w:rsidR="00E57443" w:rsidRPr="00065917" w:rsidRDefault="00E57443" w:rsidP="00E57443">
      <w:pPr>
        <w:suppressAutoHyphens/>
        <w:ind w:right="62"/>
        <w:jc w:val="both"/>
        <w:rPr>
          <w:rFonts w:ascii="StobiSerif Regular" w:hAnsi="StobiSerif Regular"/>
          <w:i/>
          <w:color w:val="FF0000"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7.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Спроведување на препорачаното решение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7.1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 w:cs="Tahoma"/>
          <w:sz w:val="22"/>
          <w:szCs w:val="22"/>
          <w:lang w:val="mk-MK"/>
        </w:rPr>
      </w:pPr>
      <w:r w:rsidRPr="00065917">
        <w:rPr>
          <w:rFonts w:ascii="StobiSerif Regular" w:hAnsi="StobiSerif Regular" w:cs="Tahoma"/>
          <w:sz w:val="22"/>
          <w:szCs w:val="22"/>
          <w:lang w:val="mk-MK"/>
        </w:rPr>
        <w:t xml:space="preserve">Нема потреба од изменување на други закони, но има потреба од донесување на подзаконски акти од областа која се регулира со Предлог-законот. </w:t>
      </w:r>
    </w:p>
    <w:p w:rsidR="00E57443" w:rsidRPr="001D626C" w:rsidRDefault="00E57443" w:rsidP="00E57443">
      <w:pPr>
        <w:ind w:right="281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 w:cs="Tahoma"/>
          <w:color w:val="FF0000"/>
          <w:sz w:val="22"/>
          <w:szCs w:val="22"/>
          <w:lang w:val="mk-MK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7.2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:rsidR="00E57443" w:rsidRPr="00065917" w:rsidRDefault="00E57443" w:rsidP="00E57443">
      <w:pPr>
        <w:pStyle w:val="NoSpacing"/>
        <w:jc w:val="both"/>
        <w:rPr>
          <w:rFonts w:ascii="StobiSerif Regular" w:hAnsi="StobiSerif Regular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sz w:val="22"/>
          <w:szCs w:val="22"/>
          <w:lang w:val="mk-MK"/>
        </w:rPr>
        <w:t xml:space="preserve">Прашањата од интерес за заштита на критичната инфраструктура дополнително може да се уредат преку билатерални и мулитилатерални меѓународни договори во согласност со Уставот и позитивните законски прописи. </w:t>
      </w:r>
    </w:p>
    <w:p w:rsidR="00E57443" w:rsidRPr="001D626C" w:rsidRDefault="00E57443" w:rsidP="00E57443">
      <w:pPr>
        <w:tabs>
          <w:tab w:val="center" w:pos="5220"/>
          <w:tab w:val="left" w:pos="7572"/>
        </w:tabs>
        <w:spacing w:after="1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Временскиот период за донесување на 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Методологијата за проценка на ризици и опасности изнесува пет месеци од денот на влегувањето во сила на закон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от, а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 xml:space="preserve"> останатите подзаконски акти предвидени со </w:t>
      </w:r>
      <w:r>
        <w:rPr>
          <w:rFonts w:ascii="StobiSerif Regular" w:hAnsi="StobiSerif Regular"/>
          <w:bCs/>
          <w:sz w:val="22"/>
          <w:szCs w:val="22"/>
          <w:lang w:val="mk-MK"/>
        </w:rPr>
        <w:t>З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акон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от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, ќе се донесат во рок од девет месеци од  денот на влегувањето во сила на закон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от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.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</w:p>
    <w:p w:rsidR="00E57443" w:rsidRPr="00065917" w:rsidRDefault="00E57443" w:rsidP="00E57443">
      <w:pPr>
        <w:ind w:firstLine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 xml:space="preserve">          7.3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Органи на државната управа, државни органи и други органи надлежни за спроведување</w:t>
      </w:r>
    </w:p>
    <w:p w:rsidR="00E57443" w:rsidRPr="001D626C" w:rsidRDefault="00E57443" w:rsidP="00E57443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E57443" w:rsidRDefault="00E57443" w:rsidP="00E57443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lastRenderedPageBreak/>
        <w:t xml:space="preserve">Надлежни за спроведување согласно член 11 од Предлог-законот се </w:t>
      </w:r>
      <w:r w:rsidRPr="00B465ED">
        <w:rPr>
          <w:rFonts w:ascii="StobiSerif Regular" w:hAnsi="StobiSerif Regular"/>
          <w:bCs/>
          <w:sz w:val="22"/>
          <w:szCs w:val="22"/>
          <w:lang w:val="mk-MK"/>
        </w:rPr>
        <w:t>Владата на Република Северна Македонија, Координативниот центар при Министерството за одбрана, Националниот совет за унапредување на системот на заштитата и градењето на отпорноста на критичната инфраструктура, надлежните секторски министерства, регулаторните тела од соодветните сектори, сопствениците/операторите на критичната инфраструктура, офицерите за врска за безбедност на критичната инфраструктура и органи на државна управа и други државни органи, органи на локална самоуправа, јавни претпријатија и други органи формирани од државата и правни лица кои се одговорни за инвестирање, заштита, отпорност, координација и менаџирање со обврска да овозможат редовно функционирање и известување за системот на критичната инфраструктура и безбедност на граѓаните, секторот приватно обезбедување како и комори и стручни здруженија.</w:t>
      </w:r>
    </w:p>
    <w:p w:rsidR="00E57443" w:rsidRPr="001D626C" w:rsidRDefault="00E57443" w:rsidP="00E57443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1D626C">
        <w:rPr>
          <w:rFonts w:ascii="StobiSerif Regular" w:hAnsi="StobiSerif Regular"/>
          <w:bCs/>
          <w:sz w:val="22"/>
          <w:szCs w:val="22"/>
          <w:lang w:val="mk-MK"/>
        </w:rPr>
        <w:t>Министерство за одбрана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 преку инспекцискиот надзор 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и 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инспектори</w:t>
      </w:r>
      <w:r>
        <w:rPr>
          <w:rFonts w:ascii="StobiSerif Regular" w:hAnsi="StobiSerif Regular"/>
          <w:bCs/>
          <w:sz w:val="22"/>
          <w:szCs w:val="22"/>
          <w:lang w:val="mk-MK"/>
        </w:rPr>
        <w:t>те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 за одбрана</w:t>
      </w:r>
      <w:r>
        <w:rPr>
          <w:rFonts w:ascii="StobiSerif Regular" w:hAnsi="StobiSerif Regular"/>
          <w:bCs/>
          <w:sz w:val="22"/>
          <w:szCs w:val="22"/>
          <w:lang w:val="mk-MK"/>
        </w:rPr>
        <w:t xml:space="preserve"> ќе обезбеди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 спроведување на </w:t>
      </w:r>
      <w:r>
        <w:rPr>
          <w:rFonts w:ascii="StobiSerif Regular" w:hAnsi="StobiSerif Regular"/>
          <w:bCs/>
          <w:sz w:val="22"/>
          <w:szCs w:val="22"/>
          <w:lang w:val="mk-MK"/>
        </w:rPr>
        <w:t>З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>аконот.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7.4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>Активности за обезбедување на ефикасно спроведување на предлогот на закон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tabs>
          <w:tab w:val="left" w:pos="675"/>
        </w:tabs>
        <w:suppressAutoHyphens/>
        <w:jc w:val="both"/>
        <w:rPr>
          <w:rFonts w:ascii="StobiSerif Regular" w:hAnsi="StobiSerif Regular" w:cs="StobiSerifPro"/>
          <w:sz w:val="22"/>
          <w:szCs w:val="22"/>
          <w:lang w:val="sq-AL" w:eastAsia="zh-CN"/>
        </w:rPr>
      </w:pPr>
      <w:r w:rsidRPr="00065917">
        <w:rPr>
          <w:rFonts w:ascii="StobiSerif Regular" w:hAnsi="StobiSerif Regular" w:cs="StobiSerifPro"/>
          <w:sz w:val="22"/>
          <w:szCs w:val="22"/>
          <w:lang w:val="mk-MK" w:eastAsia="zh-CN"/>
        </w:rPr>
        <w:tab/>
        <w:t xml:space="preserve">Министерството за одбрана ќе преземе активности за целосна имплементација на предложените законски решенија. </w:t>
      </w:r>
    </w:p>
    <w:p w:rsidR="00E57443" w:rsidRPr="00065917" w:rsidRDefault="00E57443" w:rsidP="00E57443">
      <w:pPr>
        <w:tabs>
          <w:tab w:val="left" w:pos="675"/>
        </w:tabs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8.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ab/>
        <w:t>Следење и евалуација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ru-RU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 xml:space="preserve">8.1 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Начин на следење на спроведувањето </w:t>
      </w:r>
    </w:p>
    <w:p w:rsidR="00E57443" w:rsidRPr="001D626C" w:rsidRDefault="00E57443" w:rsidP="00E57443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</w:p>
    <w:p w:rsidR="00E57443" w:rsidRPr="001D626C" w:rsidRDefault="00E57443" w:rsidP="00E57443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mk-MK"/>
        </w:rPr>
      </w:pPr>
      <w:r w:rsidRPr="001D626C">
        <w:rPr>
          <w:rFonts w:ascii="StobiSerif Regular" w:hAnsi="StobiSerif Regular"/>
          <w:bCs/>
          <w:sz w:val="22"/>
          <w:szCs w:val="22"/>
          <w:lang w:val="mk-MK"/>
        </w:rPr>
        <w:t>Резултатите од предложените законски решенија</w:t>
      </w:r>
      <w:r w:rsidRPr="00065917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Pr="001D626C">
        <w:rPr>
          <w:rFonts w:ascii="StobiSerif Regular" w:hAnsi="StobiSerif Regular"/>
          <w:bCs/>
          <w:sz w:val="22"/>
          <w:szCs w:val="22"/>
          <w:lang w:val="mk-MK"/>
        </w:rPr>
        <w:t>ќе се следат преку континуирано следење на примената на предложениот закон.</w:t>
      </w:r>
    </w:p>
    <w:p w:rsidR="00E57443" w:rsidRPr="001D626C" w:rsidRDefault="00E57443" w:rsidP="00E57443">
      <w:pPr>
        <w:ind w:left="360"/>
        <w:jc w:val="both"/>
        <w:rPr>
          <w:rFonts w:ascii="StobiSerif Regular" w:hAnsi="StobiSerif Regular"/>
          <w:bCs/>
          <w:color w:val="FF0000"/>
          <w:sz w:val="22"/>
          <w:szCs w:val="22"/>
          <w:lang w:val="mk-MK"/>
        </w:rPr>
      </w:pPr>
    </w:p>
    <w:p w:rsidR="00E57443" w:rsidRPr="00065917" w:rsidRDefault="00E57443" w:rsidP="00E57443">
      <w:pPr>
        <w:tabs>
          <w:tab w:val="left" w:pos="675"/>
        </w:tabs>
        <w:ind w:left="720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ind w:left="720"/>
        <w:jc w:val="both"/>
        <w:rPr>
          <w:rFonts w:ascii="StobiSerif Regular" w:hAnsi="StobiSerif Regular"/>
          <w:i/>
          <w:sz w:val="22"/>
          <w:szCs w:val="22"/>
          <w:lang w:val="mk-MK"/>
        </w:rPr>
      </w:pPr>
      <w:r w:rsidRPr="00065917">
        <w:rPr>
          <w:rFonts w:ascii="StobiSerif Regular" w:hAnsi="StobiSerif Regular"/>
          <w:i/>
          <w:sz w:val="22"/>
          <w:szCs w:val="22"/>
          <w:lang w:val="mk-MK"/>
        </w:rPr>
        <w:t>8.2</w:t>
      </w:r>
      <w:r w:rsidRPr="00065917">
        <w:rPr>
          <w:rFonts w:ascii="StobiSerif Regular" w:hAnsi="StobiSerif Regular"/>
          <w:i/>
          <w:sz w:val="22"/>
          <w:szCs w:val="22"/>
          <w:lang w:val="mk-MK"/>
        </w:rPr>
        <w:tab/>
        <w:t xml:space="preserve">Евалуација на ефектите од предлогот на закон и рокови </w:t>
      </w:r>
    </w:p>
    <w:p w:rsidR="00E57443" w:rsidRPr="00065917" w:rsidRDefault="00E57443" w:rsidP="00E57443">
      <w:pPr>
        <w:jc w:val="both"/>
        <w:rPr>
          <w:rFonts w:ascii="StobiSerif Regular" w:hAnsi="StobiSerif Regular"/>
          <w:i/>
          <w:sz w:val="22"/>
          <w:szCs w:val="22"/>
          <w:lang w:val="mk-MK"/>
        </w:rPr>
      </w:pPr>
    </w:p>
    <w:p w:rsidR="00E57443" w:rsidRPr="00065917" w:rsidRDefault="00E57443" w:rsidP="00E57443">
      <w:pPr>
        <w:suppressAutoHyphens/>
        <w:ind w:firstLine="720"/>
        <w:jc w:val="both"/>
        <w:rPr>
          <w:rFonts w:ascii="StobiSerif Regular" w:hAnsi="StobiSerif Regular" w:cs="StobiSerifPro"/>
          <w:sz w:val="22"/>
          <w:szCs w:val="22"/>
          <w:lang w:val="sq-AL" w:eastAsia="zh-CN"/>
        </w:rPr>
      </w:pPr>
      <w:r w:rsidRPr="00065917">
        <w:rPr>
          <w:rFonts w:ascii="StobiSerif Regular" w:hAnsi="StobiSerif Regular" w:cs="StobiSerif Regular"/>
          <w:sz w:val="22"/>
          <w:szCs w:val="22"/>
          <w:lang w:val="mk-MK" w:eastAsia="zh-CN"/>
        </w:rPr>
        <w:t>Резултатите од предложените законски решенија ќе се следат преку континуирано следење на примената на предложениот закон</w:t>
      </w:r>
      <w:r>
        <w:rPr>
          <w:rFonts w:ascii="StobiSerif Regular" w:hAnsi="StobiSerif Regular" w:cs="StobiSerif Regular"/>
          <w:sz w:val="22"/>
          <w:szCs w:val="22"/>
          <w:lang w:val="mk-MK" w:eastAsia="zh-CN"/>
        </w:rPr>
        <w:t>.</w:t>
      </w:r>
    </w:p>
    <w:p w:rsidR="00E57443" w:rsidRPr="001D626C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A7755E" w:rsidRDefault="00A7755E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A7755E" w:rsidRDefault="00A7755E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A7755E" w:rsidRDefault="00A7755E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A7755E" w:rsidRPr="00065917" w:rsidRDefault="00A7755E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lastRenderedPageBreak/>
        <w:t>Изјава од државниот секретар</w:t>
      </w:r>
    </w:p>
    <w:p w:rsidR="00E57443" w:rsidRPr="00065917" w:rsidRDefault="00E57443" w:rsidP="00E57443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ru-RU"/>
        </w:rPr>
        <w:t xml:space="preserve">Нацрт 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>.</w:t>
      </w: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Датум</w:t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>:</w:t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  <w:t xml:space="preserve">       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>_____________</w:t>
      </w:r>
      <w:r w:rsidRPr="001D626C">
        <w:rPr>
          <w:rFonts w:ascii="StobiSerif Regular" w:hAnsi="StobiSerif Regular"/>
          <w:b/>
          <w:sz w:val="22"/>
          <w:szCs w:val="22"/>
          <w:lang w:val="mk-MK"/>
        </w:rPr>
        <w:t>______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 xml:space="preserve">__                                                                      </w:t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</w:t>
      </w:r>
      <w:r w:rsidRPr="001D626C">
        <w:rPr>
          <w:rFonts w:ascii="StobiSerif Regular" w:hAnsi="StobiSerif Regular"/>
          <w:b/>
          <w:sz w:val="22"/>
          <w:szCs w:val="22"/>
          <w:lang w:val="mk-MK"/>
        </w:rPr>
        <w:t>_____________________</w:t>
      </w:r>
    </w:p>
    <w:p w:rsidR="00E57443" w:rsidRPr="001D626C" w:rsidRDefault="00E57443" w:rsidP="00E57443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ab/>
        <w:t xml:space="preserve">                                </w:t>
      </w:r>
    </w:p>
    <w:p w:rsidR="00E57443" w:rsidRPr="00065917" w:rsidRDefault="00E57443" w:rsidP="00E57443">
      <w:pPr>
        <w:spacing w:line="276" w:lineRule="auto"/>
        <w:ind w:left="504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ru-RU"/>
        </w:rPr>
        <w:t xml:space="preserve">потпис на 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>државен секретар</w:t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E57443" w:rsidRPr="00065917" w:rsidRDefault="00E57443" w:rsidP="00E5744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1D626C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1D626C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1D626C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mk-MK"/>
        </w:rPr>
      </w:pPr>
    </w:p>
    <w:p w:rsidR="00E57443" w:rsidRPr="00065917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Изјава од министерот</w:t>
      </w:r>
    </w:p>
    <w:p w:rsidR="00E57443" w:rsidRPr="00065917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E57443" w:rsidRPr="00065917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E57443" w:rsidRPr="00065917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1D626C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E57443" w:rsidRPr="001D626C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E57443" w:rsidRPr="00065917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065917">
        <w:rPr>
          <w:rFonts w:ascii="StobiSerif Regular" w:hAnsi="StobiSerif Regular"/>
          <w:b/>
          <w:sz w:val="22"/>
          <w:szCs w:val="22"/>
          <w:lang w:val="mk-MK"/>
        </w:rPr>
        <w:t>Датум:____________</w:t>
      </w:r>
      <w:r w:rsidRPr="00065917">
        <w:rPr>
          <w:rFonts w:ascii="StobiSerif Regular" w:hAnsi="StobiSerif Regular"/>
          <w:b/>
          <w:sz w:val="22"/>
          <w:szCs w:val="22"/>
          <w:lang w:val="en-US"/>
        </w:rPr>
        <w:t>_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</w:t>
      </w:r>
      <w:r w:rsidRPr="00065917">
        <w:rPr>
          <w:rFonts w:ascii="StobiSerif Regular" w:hAnsi="StobiSerif Regular"/>
          <w:b/>
          <w:sz w:val="22"/>
          <w:szCs w:val="22"/>
          <w:lang w:val="en-US"/>
        </w:rPr>
        <w:t>____________________</w:t>
      </w:r>
    </w:p>
    <w:p w:rsidR="00E57443" w:rsidRPr="00065917" w:rsidRDefault="00E57443" w:rsidP="00E5744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Regular" w:hAnsi="StobiSerif Regular"/>
          <w:sz w:val="22"/>
          <w:szCs w:val="22"/>
          <w:lang w:val="ru-RU"/>
        </w:rPr>
      </w:pPr>
      <w:r w:rsidRPr="00065917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Pr="00065917">
        <w:rPr>
          <w:rFonts w:ascii="StobiSerif Regular" w:hAnsi="StobiSerif Regular"/>
          <w:b/>
          <w:sz w:val="22"/>
          <w:szCs w:val="22"/>
          <w:lang w:val="mk-MK"/>
        </w:rPr>
        <w:t>потпис на министерот</w:t>
      </w:r>
      <w:r w:rsidRPr="00065917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  <w:lang w:val="en-US"/>
        </w:rPr>
      </w:pPr>
    </w:p>
    <w:p w:rsidR="00E57443" w:rsidRPr="00065917" w:rsidRDefault="00E57443" w:rsidP="00E57443">
      <w:pPr>
        <w:rPr>
          <w:rFonts w:ascii="StobiSerif Regular" w:hAnsi="StobiSerif Regular"/>
          <w:sz w:val="22"/>
          <w:szCs w:val="22"/>
        </w:rPr>
      </w:pPr>
    </w:p>
    <w:p w:rsidR="004B0F3A" w:rsidRDefault="004B0F3A"/>
    <w:sectPr w:rsidR="004B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Pro">
    <w:altName w:val="Arial"/>
    <w:charset w:val="00"/>
    <w:family w:val="modern"/>
    <w:pitch w:val="variable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QOfficina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obiSerifPro Cyr">
    <w:altName w:val="Arial"/>
    <w:charset w:val="CC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D6"/>
    <w:multiLevelType w:val="multilevel"/>
    <w:tmpl w:val="5FF2545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/>
        <w:i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 w15:restartNumberingAfterBreak="0">
    <w:nsid w:val="783D0F5C"/>
    <w:multiLevelType w:val="hybridMultilevel"/>
    <w:tmpl w:val="A23A12B2"/>
    <w:lvl w:ilvl="0" w:tplc="0D6EB5C4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3"/>
    <w:rsid w:val="004B0F3A"/>
    <w:rsid w:val="00501363"/>
    <w:rsid w:val="00A2146B"/>
    <w:rsid w:val="00A7755E"/>
    <w:rsid w:val="00E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E9B92-1656-4E41-9BA8-E1ADA49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44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7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Tosevska</dc:creator>
  <cp:keywords/>
  <dc:description/>
  <cp:lastModifiedBy>Marija Jankova</cp:lastModifiedBy>
  <cp:revision>2</cp:revision>
  <dcterms:created xsi:type="dcterms:W3CDTF">2022-12-20T14:05:00Z</dcterms:created>
  <dcterms:modified xsi:type="dcterms:W3CDTF">2022-12-20T14:05:00Z</dcterms:modified>
</cp:coreProperties>
</file>