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33" w:rsidRPr="00764659" w:rsidRDefault="00386833" w:rsidP="00764659">
      <w:pPr>
        <w:jc w:val="center"/>
        <w:rPr>
          <w:rFonts w:ascii="StobiSerif Regular" w:hAnsi="StobiSerif Regular"/>
          <w:b/>
          <w:sz w:val="22"/>
          <w:szCs w:val="22"/>
          <w:lang w:val="mk-MK"/>
        </w:rPr>
      </w:pPr>
    </w:p>
    <w:p w:rsidR="00386833" w:rsidRPr="00764659" w:rsidRDefault="00386833" w:rsidP="00F1532B">
      <w:pPr>
        <w:jc w:val="center"/>
        <w:outlineLvl w:val="0"/>
        <w:rPr>
          <w:rFonts w:ascii="StobiSerif Regular" w:hAnsi="StobiSerif Regular"/>
          <w:b/>
          <w:sz w:val="22"/>
          <w:szCs w:val="22"/>
          <w:lang w:val="mk-MK"/>
        </w:rPr>
      </w:pPr>
      <w:r w:rsidRPr="00764659">
        <w:rPr>
          <w:rFonts w:ascii="StobiSerif Regular" w:hAnsi="StobiSerif Regular"/>
          <w:b/>
          <w:sz w:val="22"/>
          <w:szCs w:val="22"/>
          <w:lang w:val="mk-MK"/>
        </w:rPr>
        <w:t>ИЗВЕШТАЈ ЗА ПРОЦЕНКА НА ВЛИЈАНИЕТО НА РЕГУЛАТИВАТА</w:t>
      </w:r>
    </w:p>
    <w:p w:rsidR="00386833" w:rsidRPr="00764659" w:rsidRDefault="00386833" w:rsidP="00764659">
      <w:pPr>
        <w:jc w:val="center"/>
        <w:rPr>
          <w:rFonts w:ascii="StobiSerif Regular" w:hAnsi="StobiSerif Regular"/>
          <w:b/>
          <w:sz w:val="22"/>
          <w:szCs w:val="22"/>
          <w:lang w:val="mk-MK"/>
        </w:rPr>
      </w:pPr>
    </w:p>
    <w:p w:rsidR="00386833" w:rsidRPr="00764659" w:rsidRDefault="00386833" w:rsidP="00764659">
      <w:pPr>
        <w:jc w:val="center"/>
        <w:rPr>
          <w:rFonts w:ascii="StobiSerif Regular" w:hAnsi="StobiSerif Regular"/>
          <w:b/>
          <w:sz w:val="22"/>
          <w:szCs w:val="22"/>
          <w:lang w:val="mk-MK"/>
        </w:rPr>
      </w:pPr>
    </w:p>
    <w:p w:rsidR="00386833" w:rsidRPr="00764659" w:rsidRDefault="00386833" w:rsidP="00764659">
      <w:pPr>
        <w:rPr>
          <w:rFonts w:ascii="StobiSerif Regular" w:hAnsi="StobiSerif Regular"/>
          <w:b/>
          <w:sz w:val="22"/>
          <w:szCs w:val="22"/>
          <w:lang w:val="mk-MK"/>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5"/>
        <w:gridCol w:w="6196"/>
      </w:tblGrid>
      <w:tr w:rsidR="00386833" w:rsidRPr="00764659" w:rsidTr="001C50D3">
        <w:trPr>
          <w:trHeight w:val="622"/>
        </w:trPr>
        <w:tc>
          <w:tcPr>
            <w:tcW w:w="3105" w:type="dxa"/>
          </w:tcPr>
          <w:p w:rsidR="00386833" w:rsidRPr="00764659" w:rsidRDefault="00386833" w:rsidP="001C50D3">
            <w:pPr>
              <w:spacing w:line="276" w:lineRule="auto"/>
              <w:rPr>
                <w:rFonts w:ascii="StobiSerif Regular" w:hAnsi="StobiSerif Regular"/>
                <w:lang w:val="mk-MK"/>
              </w:rPr>
            </w:pPr>
            <w:r w:rsidRPr="00764659">
              <w:rPr>
                <w:rFonts w:ascii="StobiSerif Regular" w:hAnsi="StobiSerif Regular"/>
                <w:sz w:val="22"/>
                <w:szCs w:val="22"/>
                <w:lang w:val="mk-MK"/>
              </w:rPr>
              <w:t>Назив на министерство:</w:t>
            </w:r>
          </w:p>
        </w:tc>
        <w:tc>
          <w:tcPr>
            <w:tcW w:w="6196" w:type="dxa"/>
          </w:tcPr>
          <w:p w:rsidR="00386833" w:rsidRPr="00764659" w:rsidRDefault="00386833" w:rsidP="001C50D3">
            <w:pPr>
              <w:spacing w:line="276" w:lineRule="auto"/>
              <w:rPr>
                <w:rFonts w:ascii="StobiSerif Regular" w:hAnsi="StobiSerif Regular"/>
                <w:lang w:val="mk-MK"/>
              </w:rPr>
            </w:pPr>
          </w:p>
          <w:p w:rsidR="00386833" w:rsidRPr="00764659" w:rsidRDefault="00386833" w:rsidP="001C50D3">
            <w:pPr>
              <w:spacing w:line="276" w:lineRule="auto"/>
              <w:rPr>
                <w:rFonts w:ascii="StobiSerif Regular" w:hAnsi="StobiSerif Regular"/>
                <w:lang w:val="mk-MK"/>
              </w:rPr>
            </w:pPr>
            <w:r w:rsidRPr="00764659">
              <w:rPr>
                <w:rFonts w:ascii="StobiSerif Regular" w:hAnsi="StobiSerif Regular"/>
                <w:sz w:val="22"/>
                <w:szCs w:val="22"/>
                <w:lang w:val="mk-MK"/>
              </w:rPr>
              <w:t>Министерство за одбрана</w:t>
            </w:r>
          </w:p>
        </w:tc>
      </w:tr>
      <w:tr w:rsidR="00386833" w:rsidRPr="00764659" w:rsidTr="001C50D3">
        <w:trPr>
          <w:trHeight w:val="622"/>
        </w:trPr>
        <w:tc>
          <w:tcPr>
            <w:tcW w:w="3105" w:type="dxa"/>
          </w:tcPr>
          <w:p w:rsidR="00386833" w:rsidRPr="00764659" w:rsidRDefault="00386833" w:rsidP="001C50D3">
            <w:pPr>
              <w:spacing w:line="276" w:lineRule="auto"/>
              <w:rPr>
                <w:rFonts w:ascii="StobiSerif Regular" w:hAnsi="StobiSerif Regular"/>
                <w:lang w:val="mk-MK"/>
              </w:rPr>
            </w:pPr>
            <w:r w:rsidRPr="00764659">
              <w:rPr>
                <w:rFonts w:ascii="StobiSerif Regular" w:hAnsi="StobiSerif Regular"/>
                <w:sz w:val="22"/>
                <w:szCs w:val="22"/>
                <w:lang w:val="mk-MK"/>
              </w:rPr>
              <w:t>Назив на предлогот на закон:</w:t>
            </w:r>
          </w:p>
        </w:tc>
        <w:tc>
          <w:tcPr>
            <w:tcW w:w="6196" w:type="dxa"/>
          </w:tcPr>
          <w:p w:rsidR="00386833" w:rsidRPr="00764659" w:rsidRDefault="00386833" w:rsidP="001C50D3">
            <w:pPr>
              <w:spacing w:line="276" w:lineRule="auto"/>
              <w:rPr>
                <w:rFonts w:ascii="StobiSerif Regular" w:hAnsi="StobiSerif Regular"/>
                <w:lang w:val="mk-MK"/>
              </w:rPr>
            </w:pPr>
          </w:p>
          <w:p w:rsidR="00386833" w:rsidRPr="00764659" w:rsidRDefault="00386833" w:rsidP="001C50D3">
            <w:pPr>
              <w:spacing w:line="276" w:lineRule="auto"/>
              <w:rPr>
                <w:rFonts w:ascii="StobiSerif Regular" w:hAnsi="StobiSerif Regular"/>
                <w:lang w:val="mk-MK"/>
              </w:rPr>
            </w:pPr>
            <w:r w:rsidRPr="00764659">
              <w:rPr>
                <w:rFonts w:ascii="StobiSerif Regular" w:hAnsi="StobiSerif Regular"/>
                <w:sz w:val="22"/>
                <w:szCs w:val="22"/>
                <w:lang w:val="mk-MK"/>
              </w:rPr>
              <w:t>Нацрт на закон за дополнување на Законот за управување со кризи</w:t>
            </w:r>
          </w:p>
        </w:tc>
      </w:tr>
      <w:tr w:rsidR="00386833" w:rsidRPr="00764659" w:rsidTr="001C50D3">
        <w:trPr>
          <w:trHeight w:val="622"/>
        </w:trPr>
        <w:tc>
          <w:tcPr>
            <w:tcW w:w="3105" w:type="dxa"/>
          </w:tcPr>
          <w:p w:rsidR="00386833" w:rsidRPr="00764659" w:rsidRDefault="00386833" w:rsidP="001C50D3">
            <w:pPr>
              <w:spacing w:line="276" w:lineRule="auto"/>
              <w:rPr>
                <w:rFonts w:ascii="StobiSerif Regular" w:hAnsi="StobiSerif Regular"/>
                <w:lang w:val="mk-MK"/>
              </w:rPr>
            </w:pPr>
            <w:r w:rsidRPr="00764659">
              <w:rPr>
                <w:rFonts w:ascii="StobiSerif Regular" w:hAnsi="StobiSerif Regular"/>
                <w:sz w:val="22"/>
                <w:szCs w:val="22"/>
                <w:lang w:val="mk-MK"/>
              </w:rPr>
              <w:t>Одговорно лице и контакт информации:</w:t>
            </w:r>
          </w:p>
        </w:tc>
        <w:tc>
          <w:tcPr>
            <w:tcW w:w="6196" w:type="dxa"/>
          </w:tcPr>
          <w:p w:rsidR="00386833" w:rsidRPr="00764659" w:rsidRDefault="00386833" w:rsidP="001C50D3">
            <w:pPr>
              <w:spacing w:line="276" w:lineRule="auto"/>
              <w:rPr>
                <w:rFonts w:ascii="StobiSerif Regular" w:hAnsi="StobiSerif Regular"/>
                <w:lang w:val="mk-MK"/>
              </w:rPr>
            </w:pPr>
          </w:p>
        </w:tc>
      </w:tr>
      <w:tr w:rsidR="00386833" w:rsidRPr="00764659" w:rsidTr="001C50D3">
        <w:trPr>
          <w:trHeight w:val="939"/>
        </w:trPr>
        <w:tc>
          <w:tcPr>
            <w:tcW w:w="3105" w:type="dxa"/>
          </w:tcPr>
          <w:p w:rsidR="00386833" w:rsidRPr="00764659" w:rsidRDefault="00386833" w:rsidP="001C50D3">
            <w:pPr>
              <w:spacing w:line="276" w:lineRule="auto"/>
              <w:rPr>
                <w:rFonts w:ascii="StobiSerif Regular" w:hAnsi="StobiSerif Regular"/>
                <w:highlight w:val="yellow"/>
                <w:lang w:val="mk-MK"/>
              </w:rPr>
            </w:pPr>
            <w:r w:rsidRPr="00764659">
              <w:rPr>
                <w:rFonts w:ascii="StobiSerif Regular" w:hAnsi="StobiSerif Regular"/>
                <w:sz w:val="22"/>
                <w:szCs w:val="22"/>
                <w:lang w:val="mk-MK"/>
              </w:rPr>
              <w:t>Вид на Извештај</w:t>
            </w:r>
          </w:p>
        </w:tc>
        <w:bookmarkStart w:id="0" w:name="Check11"/>
        <w:tc>
          <w:tcPr>
            <w:tcW w:w="6196" w:type="dxa"/>
          </w:tcPr>
          <w:p w:rsidR="00386833" w:rsidRPr="00764659" w:rsidRDefault="00386833" w:rsidP="001C50D3">
            <w:pPr>
              <w:pStyle w:val="ListParagraph"/>
              <w:spacing w:after="0" w:line="240" w:lineRule="auto"/>
              <w:ind w:left="360"/>
              <w:rPr>
                <w:rFonts w:ascii="StobiSerif Regular" w:hAnsi="StobiSerif Regular"/>
              </w:rPr>
            </w:pPr>
            <w:r w:rsidRPr="00764659">
              <w:rPr>
                <w:rFonts w:ascii="StobiSerif Regular" w:hAnsi="StobiSerif Regular"/>
              </w:rPr>
              <w:fldChar w:fldCharType="begin">
                <w:ffData>
                  <w:name w:val="Check11"/>
                  <w:enabled/>
                  <w:calcOnExit w:val="0"/>
                  <w:checkBox>
                    <w:sizeAuto/>
                    <w:default w:val="0"/>
                    <w:checked w:val="0"/>
                  </w:checkBox>
                </w:ffData>
              </w:fldChar>
            </w:r>
            <w:r w:rsidRPr="00764659">
              <w:rPr>
                <w:rFonts w:ascii="StobiSerif Regular" w:hAnsi="StobiSerif Regular"/>
              </w:rPr>
              <w:instrText xml:space="preserve"> FORMCHECKBOX </w:instrText>
            </w:r>
            <w:r w:rsidRPr="00764659">
              <w:rPr>
                <w:rFonts w:ascii="StobiSerif Regular" w:hAnsi="StobiSerif Regular"/>
              </w:rPr>
            </w:r>
            <w:r w:rsidRPr="00764659">
              <w:rPr>
                <w:rFonts w:ascii="StobiSerif Regular" w:hAnsi="StobiSerif Regular"/>
              </w:rPr>
              <w:fldChar w:fldCharType="end"/>
            </w:r>
            <w:bookmarkEnd w:id="0"/>
            <w:r w:rsidRPr="00764659">
              <w:rPr>
                <w:rFonts w:ascii="StobiSerif Regular" w:hAnsi="StobiSerif Regular"/>
                <w:u w:val="single"/>
              </w:rPr>
              <w:t>Нацрт</w:t>
            </w:r>
          </w:p>
          <w:p w:rsidR="00386833" w:rsidRPr="00764659" w:rsidRDefault="00386833" w:rsidP="001C50D3">
            <w:pPr>
              <w:pStyle w:val="ListParagraph"/>
              <w:spacing w:after="0" w:line="240" w:lineRule="auto"/>
              <w:ind w:left="360"/>
              <w:rPr>
                <w:rFonts w:ascii="StobiSerif Regular" w:hAnsi="StobiSerif Regular"/>
              </w:rPr>
            </w:pPr>
          </w:p>
        </w:tc>
      </w:tr>
      <w:tr w:rsidR="00386833" w:rsidRPr="00764659" w:rsidTr="001C50D3">
        <w:trPr>
          <w:trHeight w:val="1243"/>
        </w:trPr>
        <w:tc>
          <w:tcPr>
            <w:tcW w:w="3105" w:type="dxa"/>
          </w:tcPr>
          <w:p w:rsidR="00386833" w:rsidRPr="00764659" w:rsidRDefault="00386833" w:rsidP="001C50D3">
            <w:pPr>
              <w:spacing w:line="276" w:lineRule="auto"/>
              <w:rPr>
                <w:rFonts w:ascii="StobiSerif Regular" w:hAnsi="StobiSerif Regular"/>
                <w:lang w:val="mk-MK"/>
              </w:rPr>
            </w:pPr>
            <w:r w:rsidRPr="00764659">
              <w:rPr>
                <w:rFonts w:ascii="StobiSerif Regular" w:hAnsi="StobiSerif Regular"/>
                <w:sz w:val="22"/>
                <w:szCs w:val="22"/>
                <w:lang w:val="mk-MK"/>
              </w:rPr>
              <w:t>Обврската за подготовка на предлогот на закон произлегува од:</w:t>
            </w:r>
          </w:p>
        </w:tc>
        <w:bookmarkStart w:id="1" w:name="Check16"/>
        <w:tc>
          <w:tcPr>
            <w:tcW w:w="6196" w:type="dxa"/>
          </w:tcPr>
          <w:p w:rsidR="00386833" w:rsidRPr="00764659" w:rsidRDefault="00386833" w:rsidP="001C50D3">
            <w:pPr>
              <w:pStyle w:val="ListParagraph"/>
              <w:spacing w:after="0" w:line="240" w:lineRule="auto"/>
              <w:ind w:left="360"/>
              <w:rPr>
                <w:rFonts w:ascii="StobiSerif Regular" w:hAnsi="StobiSerif Regular"/>
              </w:rPr>
            </w:pPr>
            <w:r w:rsidRPr="00764659">
              <w:rPr>
                <w:rFonts w:ascii="StobiSerif Regular" w:hAnsi="StobiSerif Regular"/>
              </w:rPr>
              <w:fldChar w:fldCharType="begin">
                <w:ffData>
                  <w:name w:val="Check16"/>
                  <w:enabled/>
                  <w:calcOnExit w:val="0"/>
                  <w:checkBox>
                    <w:sizeAuto/>
                    <w:default w:val="0"/>
                  </w:checkBox>
                </w:ffData>
              </w:fldChar>
            </w:r>
            <w:r w:rsidRPr="00764659">
              <w:rPr>
                <w:rFonts w:ascii="StobiSerif Regular" w:hAnsi="StobiSerif Regular"/>
              </w:rPr>
              <w:instrText xml:space="preserve"> FORMCHECKBOX </w:instrText>
            </w:r>
            <w:r w:rsidRPr="00764659">
              <w:rPr>
                <w:rFonts w:ascii="StobiSerif Regular" w:hAnsi="StobiSerif Regular"/>
              </w:rPr>
            </w:r>
            <w:r w:rsidRPr="00764659">
              <w:rPr>
                <w:rFonts w:ascii="StobiSerif Regular" w:hAnsi="StobiSerif Regular"/>
              </w:rPr>
              <w:fldChar w:fldCharType="end"/>
            </w:r>
            <w:bookmarkEnd w:id="1"/>
            <w:r w:rsidRPr="00764659">
              <w:rPr>
                <w:rFonts w:ascii="StobiSerif Regular" w:hAnsi="StobiSerif Regular"/>
              </w:rPr>
              <w:t>Заклучок на Владата на Република Македонија</w:t>
            </w:r>
          </w:p>
          <w:p w:rsidR="00386833" w:rsidRPr="00764659" w:rsidRDefault="00386833" w:rsidP="001C50D3">
            <w:pPr>
              <w:pStyle w:val="ListParagraph"/>
              <w:spacing w:after="0" w:line="240" w:lineRule="auto"/>
              <w:ind w:left="360"/>
              <w:rPr>
                <w:rFonts w:ascii="StobiSerif Regular" w:hAnsi="StobiSerif Regular"/>
              </w:rPr>
            </w:pPr>
          </w:p>
        </w:tc>
      </w:tr>
      <w:tr w:rsidR="00386833" w:rsidRPr="00764659" w:rsidTr="001C50D3">
        <w:trPr>
          <w:trHeight w:val="634"/>
        </w:trPr>
        <w:tc>
          <w:tcPr>
            <w:tcW w:w="3105" w:type="dxa"/>
          </w:tcPr>
          <w:p w:rsidR="00386833" w:rsidRPr="00764659" w:rsidRDefault="00386833" w:rsidP="001C50D3">
            <w:pPr>
              <w:spacing w:line="276" w:lineRule="auto"/>
              <w:rPr>
                <w:rFonts w:ascii="StobiSerif Regular" w:hAnsi="StobiSerif Regular"/>
                <w:lang w:val="mk-MK"/>
              </w:rPr>
            </w:pPr>
            <w:r w:rsidRPr="00764659">
              <w:rPr>
                <w:rFonts w:ascii="StobiSerif Regular" w:hAnsi="StobiSerif Regular"/>
                <w:sz w:val="22"/>
                <w:szCs w:val="22"/>
                <w:lang w:val="mk-MK"/>
              </w:rPr>
              <w:t>Поврзаност со Директивите на ЕУ</w:t>
            </w:r>
          </w:p>
        </w:tc>
        <w:tc>
          <w:tcPr>
            <w:tcW w:w="6196" w:type="dxa"/>
          </w:tcPr>
          <w:p w:rsidR="00386833" w:rsidRPr="00764659" w:rsidRDefault="00386833" w:rsidP="001C50D3">
            <w:pPr>
              <w:pStyle w:val="ListParagraph"/>
              <w:rPr>
                <w:rFonts w:ascii="StobiSerif Regular" w:hAnsi="StobiSerif Regular"/>
              </w:rPr>
            </w:pPr>
            <w:r w:rsidRPr="00764659">
              <w:rPr>
                <w:rFonts w:ascii="StobiSerif Regular" w:hAnsi="StobiSerif Regular"/>
              </w:rPr>
              <w:t>Не</w:t>
            </w:r>
          </w:p>
        </w:tc>
      </w:tr>
      <w:tr w:rsidR="00386833" w:rsidRPr="00764659" w:rsidTr="001C50D3">
        <w:trPr>
          <w:trHeight w:val="1865"/>
        </w:trPr>
        <w:tc>
          <w:tcPr>
            <w:tcW w:w="3105" w:type="dxa"/>
          </w:tcPr>
          <w:p w:rsidR="00386833" w:rsidRPr="00764659" w:rsidRDefault="00386833" w:rsidP="001C50D3">
            <w:pPr>
              <w:spacing w:line="276" w:lineRule="auto"/>
              <w:rPr>
                <w:rFonts w:ascii="StobiSerif Regular" w:hAnsi="StobiSerif Regular"/>
                <w:lang w:val="mk-MK"/>
              </w:rPr>
            </w:pPr>
            <w:r w:rsidRPr="00764659">
              <w:rPr>
                <w:rFonts w:ascii="StobiSerif Regular" w:hAnsi="StobiSerif Regular"/>
                <w:sz w:val="22"/>
                <w:szCs w:val="22"/>
                <w:lang w:val="mk-MK"/>
              </w:rPr>
              <w:t xml:space="preserve">Дали нацрт извештајот содржи информации согласно прописите кои се однесуваат на класифицираните информации </w:t>
            </w:r>
          </w:p>
        </w:tc>
        <w:tc>
          <w:tcPr>
            <w:tcW w:w="6196" w:type="dxa"/>
          </w:tcPr>
          <w:p w:rsidR="00386833" w:rsidRPr="00764659" w:rsidRDefault="00386833" w:rsidP="001C50D3">
            <w:pPr>
              <w:pStyle w:val="ListParagraph"/>
              <w:spacing w:after="0" w:line="240" w:lineRule="auto"/>
              <w:ind w:left="360"/>
              <w:rPr>
                <w:rFonts w:ascii="StobiSerif Regular" w:hAnsi="StobiSerif Regular"/>
              </w:rPr>
            </w:pPr>
            <w:r w:rsidRPr="00764659">
              <w:rPr>
                <w:rFonts w:ascii="StobiSerif Regular" w:hAnsi="StobiSerif Regular"/>
              </w:rPr>
              <w:t>/</w:t>
            </w:r>
          </w:p>
        </w:tc>
      </w:tr>
      <w:tr w:rsidR="00386833" w:rsidRPr="00764659" w:rsidTr="001C50D3">
        <w:trPr>
          <w:trHeight w:val="939"/>
        </w:trPr>
        <w:tc>
          <w:tcPr>
            <w:tcW w:w="3105" w:type="dxa"/>
          </w:tcPr>
          <w:p w:rsidR="00386833" w:rsidRPr="00764659" w:rsidRDefault="00386833" w:rsidP="001C50D3">
            <w:pPr>
              <w:spacing w:line="276" w:lineRule="auto"/>
              <w:rPr>
                <w:rFonts w:ascii="StobiSerif Regular" w:hAnsi="StobiSerif Regular"/>
                <w:lang w:val="mk-MK"/>
              </w:rPr>
            </w:pPr>
            <w:r w:rsidRPr="00764659">
              <w:rPr>
                <w:rFonts w:ascii="StobiSerif Regular" w:hAnsi="StobiSerif Regular"/>
                <w:sz w:val="22"/>
                <w:szCs w:val="22"/>
                <w:lang w:val="mk-MK"/>
              </w:rPr>
              <w:t>Датум на објавување на нацрт Извештајот на ЕНЕР:</w:t>
            </w:r>
          </w:p>
        </w:tc>
        <w:tc>
          <w:tcPr>
            <w:tcW w:w="6196" w:type="dxa"/>
          </w:tcPr>
          <w:p w:rsidR="00386833" w:rsidRPr="00764659" w:rsidRDefault="00386833" w:rsidP="001C50D3">
            <w:pPr>
              <w:spacing w:line="276" w:lineRule="auto"/>
              <w:rPr>
                <w:rFonts w:ascii="StobiSerif Regular" w:hAnsi="StobiSerif Regular"/>
                <w:lang w:val="mk-MK"/>
              </w:rPr>
            </w:pPr>
            <w:r w:rsidRPr="00764659">
              <w:rPr>
                <w:rFonts w:ascii="StobiSerif Regular" w:hAnsi="StobiSerif Regular"/>
                <w:sz w:val="22"/>
                <w:szCs w:val="22"/>
                <w:lang w:val="mk-MK"/>
              </w:rPr>
              <w:t>23.04.2015 година</w:t>
            </w:r>
          </w:p>
        </w:tc>
      </w:tr>
      <w:tr w:rsidR="00386833" w:rsidRPr="00764659" w:rsidTr="001C50D3">
        <w:trPr>
          <w:trHeight w:val="691"/>
        </w:trPr>
        <w:tc>
          <w:tcPr>
            <w:tcW w:w="3105" w:type="dxa"/>
          </w:tcPr>
          <w:p w:rsidR="00386833" w:rsidRPr="00764659" w:rsidRDefault="00386833" w:rsidP="001C50D3">
            <w:pPr>
              <w:spacing w:line="276" w:lineRule="auto"/>
              <w:rPr>
                <w:rFonts w:ascii="StobiSerif Regular" w:hAnsi="StobiSerif Regular"/>
                <w:lang w:val="mk-MK"/>
              </w:rPr>
            </w:pPr>
            <w:r w:rsidRPr="00764659">
              <w:rPr>
                <w:rFonts w:ascii="StobiSerif Regular" w:hAnsi="StobiSerif Regular"/>
                <w:sz w:val="22"/>
                <w:szCs w:val="22"/>
                <w:lang w:val="mk-MK"/>
              </w:rPr>
              <w:t xml:space="preserve">Датум на доставување на нацрт Извештајот до </w:t>
            </w:r>
            <w:r w:rsidRPr="00764659">
              <w:rPr>
                <w:rFonts w:ascii="StobiSerif Regular" w:hAnsi="StobiSerif Regular"/>
                <w:sz w:val="22"/>
                <w:szCs w:val="22"/>
                <w:lang w:val="ru-RU"/>
              </w:rPr>
              <w:t>Министерството за информатичко општество и администрација</w:t>
            </w:r>
            <w:r w:rsidRPr="00764659">
              <w:rPr>
                <w:rFonts w:ascii="StobiSerif Regular" w:hAnsi="StobiSerif Regular"/>
                <w:sz w:val="22"/>
                <w:szCs w:val="22"/>
                <w:lang w:val="mk-MK"/>
              </w:rPr>
              <w:t>:</w:t>
            </w:r>
          </w:p>
        </w:tc>
        <w:tc>
          <w:tcPr>
            <w:tcW w:w="6196" w:type="dxa"/>
          </w:tcPr>
          <w:p w:rsidR="00386833" w:rsidRPr="00764659" w:rsidRDefault="00386833" w:rsidP="001C50D3">
            <w:pPr>
              <w:spacing w:line="276" w:lineRule="auto"/>
              <w:rPr>
                <w:rFonts w:ascii="StobiSerif Regular" w:hAnsi="StobiSerif Regular"/>
                <w:lang w:val="mk-MK"/>
              </w:rPr>
            </w:pPr>
            <w:r w:rsidRPr="00764659">
              <w:rPr>
                <w:rFonts w:ascii="StobiSerif Regular" w:hAnsi="StobiSerif Regular"/>
                <w:sz w:val="22"/>
                <w:szCs w:val="22"/>
                <w:lang w:val="mk-MK"/>
              </w:rPr>
              <w:t>/</w:t>
            </w:r>
          </w:p>
        </w:tc>
      </w:tr>
      <w:tr w:rsidR="00386833" w:rsidRPr="00764659" w:rsidTr="001C50D3">
        <w:trPr>
          <w:trHeight w:val="622"/>
        </w:trPr>
        <w:tc>
          <w:tcPr>
            <w:tcW w:w="3105" w:type="dxa"/>
          </w:tcPr>
          <w:p w:rsidR="00386833" w:rsidRPr="00764659" w:rsidRDefault="00386833" w:rsidP="001C50D3">
            <w:pPr>
              <w:spacing w:line="276" w:lineRule="auto"/>
              <w:rPr>
                <w:rFonts w:ascii="StobiSerif Regular" w:hAnsi="StobiSerif Regular"/>
                <w:lang w:val="mk-MK"/>
              </w:rPr>
            </w:pPr>
            <w:r w:rsidRPr="00764659">
              <w:rPr>
                <w:rFonts w:ascii="StobiSerif Regular" w:hAnsi="StobiSerif Regular"/>
                <w:sz w:val="22"/>
                <w:szCs w:val="22"/>
                <w:lang w:val="mk-MK"/>
              </w:rPr>
              <w:t xml:space="preserve">Датум на добивање на мислењето од </w:t>
            </w:r>
            <w:r w:rsidRPr="00764659">
              <w:rPr>
                <w:rFonts w:ascii="StobiSerif Regular" w:hAnsi="StobiSerif Regular"/>
                <w:sz w:val="22"/>
                <w:szCs w:val="22"/>
                <w:lang w:val="ru-RU"/>
              </w:rPr>
              <w:t>Министерството за информатичко општество и администрација</w:t>
            </w:r>
            <w:r w:rsidRPr="00764659">
              <w:rPr>
                <w:rFonts w:ascii="StobiSerif Regular" w:hAnsi="StobiSerif Regular"/>
                <w:sz w:val="22"/>
                <w:szCs w:val="22"/>
                <w:lang w:val="mk-MK"/>
              </w:rPr>
              <w:t>:</w:t>
            </w:r>
          </w:p>
        </w:tc>
        <w:tc>
          <w:tcPr>
            <w:tcW w:w="6196" w:type="dxa"/>
          </w:tcPr>
          <w:p w:rsidR="00386833" w:rsidRPr="00764659" w:rsidRDefault="00386833" w:rsidP="001C50D3">
            <w:pPr>
              <w:spacing w:line="276" w:lineRule="auto"/>
              <w:rPr>
                <w:rFonts w:ascii="StobiSerif Regular" w:hAnsi="StobiSerif Regular"/>
                <w:lang w:val="mk-MK"/>
              </w:rPr>
            </w:pPr>
            <w:r w:rsidRPr="00764659">
              <w:rPr>
                <w:rFonts w:ascii="StobiSerif Regular" w:hAnsi="StobiSerif Regular"/>
                <w:sz w:val="22"/>
                <w:szCs w:val="22"/>
                <w:lang w:val="mk-MK"/>
              </w:rPr>
              <w:t>/</w:t>
            </w:r>
          </w:p>
        </w:tc>
      </w:tr>
      <w:tr w:rsidR="00386833" w:rsidRPr="00764659" w:rsidTr="001C50D3">
        <w:trPr>
          <w:trHeight w:val="951"/>
        </w:trPr>
        <w:tc>
          <w:tcPr>
            <w:tcW w:w="3105" w:type="dxa"/>
          </w:tcPr>
          <w:p w:rsidR="00386833" w:rsidRPr="00764659" w:rsidRDefault="00386833" w:rsidP="001C50D3">
            <w:pPr>
              <w:spacing w:line="276" w:lineRule="auto"/>
              <w:rPr>
                <w:rFonts w:ascii="StobiSerif Regular" w:hAnsi="StobiSerif Regular"/>
                <w:highlight w:val="yellow"/>
                <w:lang w:val="mk-MK"/>
              </w:rPr>
            </w:pPr>
            <w:r w:rsidRPr="00764659">
              <w:rPr>
                <w:rFonts w:ascii="StobiSerif Regular" w:hAnsi="StobiSerif Regular"/>
                <w:sz w:val="22"/>
                <w:szCs w:val="22"/>
                <w:lang w:val="mk-MK"/>
              </w:rPr>
              <w:t xml:space="preserve">Рок за доставување на предлогот на закон до Генералниот секретаријат  </w:t>
            </w:r>
          </w:p>
        </w:tc>
        <w:tc>
          <w:tcPr>
            <w:tcW w:w="6196" w:type="dxa"/>
          </w:tcPr>
          <w:p w:rsidR="00386833" w:rsidRPr="00764659" w:rsidRDefault="00386833" w:rsidP="001C50D3">
            <w:pPr>
              <w:spacing w:line="276" w:lineRule="auto"/>
              <w:rPr>
                <w:rFonts w:ascii="StobiSerif Regular" w:hAnsi="StobiSerif Regular"/>
                <w:lang w:val="mk-MK"/>
              </w:rPr>
            </w:pPr>
            <w:r w:rsidRPr="00764659">
              <w:rPr>
                <w:rFonts w:ascii="StobiSerif Regular" w:hAnsi="StobiSerif Regular"/>
                <w:sz w:val="22"/>
                <w:szCs w:val="22"/>
                <w:lang w:val="mk-MK"/>
              </w:rPr>
              <w:t>Прва недела од мај месец 2015 година</w:t>
            </w:r>
          </w:p>
        </w:tc>
      </w:tr>
    </w:tbl>
    <w:p w:rsidR="00386833" w:rsidRPr="00764659" w:rsidRDefault="00386833" w:rsidP="00764659">
      <w:pPr>
        <w:shd w:val="clear" w:color="auto" w:fill="CCFFFF"/>
        <w:tabs>
          <w:tab w:val="left" w:pos="675"/>
        </w:tabs>
        <w:rPr>
          <w:rFonts w:ascii="StobiSerif Regular" w:hAnsi="StobiSerif Regular"/>
          <w:b/>
          <w:sz w:val="22"/>
          <w:szCs w:val="22"/>
          <w:lang w:val="mk-MK"/>
        </w:rPr>
      </w:pPr>
    </w:p>
    <w:p w:rsidR="00386833" w:rsidRPr="00764659" w:rsidRDefault="00386833" w:rsidP="00764659">
      <w:pPr>
        <w:shd w:val="clear" w:color="auto" w:fill="CCFFFF"/>
        <w:tabs>
          <w:tab w:val="left" w:pos="675"/>
        </w:tabs>
        <w:rPr>
          <w:rFonts w:ascii="StobiSerif Regular" w:hAnsi="StobiSerif Regular"/>
          <w:b/>
          <w:sz w:val="22"/>
          <w:szCs w:val="22"/>
          <w:lang w:val="mk-MK"/>
        </w:rPr>
      </w:pPr>
    </w:p>
    <w:p w:rsidR="00386833" w:rsidRPr="00764659" w:rsidRDefault="00386833" w:rsidP="00764659">
      <w:pPr>
        <w:shd w:val="clear" w:color="auto" w:fill="CCFFFF"/>
        <w:tabs>
          <w:tab w:val="left" w:pos="675"/>
        </w:tabs>
        <w:rPr>
          <w:rFonts w:ascii="StobiSerif Regular" w:hAnsi="StobiSerif Regular"/>
          <w:b/>
          <w:sz w:val="22"/>
          <w:szCs w:val="22"/>
          <w:lang w:val="mk-MK"/>
        </w:rPr>
      </w:pPr>
    </w:p>
    <w:p w:rsidR="00386833" w:rsidRPr="00764659" w:rsidRDefault="00386833" w:rsidP="00764659">
      <w:pPr>
        <w:shd w:val="clear" w:color="auto" w:fill="CCFFFF"/>
        <w:tabs>
          <w:tab w:val="left" w:pos="675"/>
        </w:tabs>
        <w:rPr>
          <w:rFonts w:ascii="StobiSerif Regular" w:hAnsi="StobiSerif Regular"/>
          <w:b/>
          <w:sz w:val="22"/>
          <w:szCs w:val="22"/>
          <w:lang w:val="mk-MK"/>
        </w:rPr>
      </w:pPr>
    </w:p>
    <w:p w:rsidR="00386833" w:rsidRPr="00764659" w:rsidRDefault="00386833" w:rsidP="00764659">
      <w:pPr>
        <w:shd w:val="clear" w:color="auto" w:fill="CCFFFF"/>
        <w:tabs>
          <w:tab w:val="left" w:pos="675"/>
        </w:tabs>
        <w:rPr>
          <w:rFonts w:ascii="StobiSerif Regular" w:hAnsi="StobiSerif Regular"/>
          <w:b/>
          <w:sz w:val="22"/>
          <w:szCs w:val="22"/>
          <w:lang w:val="mk-MK"/>
        </w:rPr>
      </w:pPr>
    </w:p>
    <w:p w:rsidR="00386833" w:rsidRPr="00764659" w:rsidRDefault="00386833" w:rsidP="00764659">
      <w:pPr>
        <w:shd w:val="clear" w:color="auto" w:fill="CCFFFF"/>
        <w:tabs>
          <w:tab w:val="left" w:pos="675"/>
        </w:tabs>
        <w:rPr>
          <w:rFonts w:ascii="StobiSerif Regular" w:hAnsi="StobiSerif Regular"/>
          <w:b/>
          <w:sz w:val="22"/>
          <w:szCs w:val="22"/>
          <w:lang w:val="mk-MK"/>
        </w:rPr>
      </w:pPr>
    </w:p>
    <w:p w:rsidR="00386833" w:rsidRPr="00764659" w:rsidRDefault="00386833" w:rsidP="00764659">
      <w:pPr>
        <w:shd w:val="clear" w:color="auto" w:fill="CCFFFF"/>
        <w:tabs>
          <w:tab w:val="left" w:pos="675"/>
        </w:tabs>
        <w:rPr>
          <w:rFonts w:ascii="StobiSerif Regular" w:hAnsi="StobiSerif Regular"/>
          <w:b/>
          <w:sz w:val="22"/>
          <w:szCs w:val="22"/>
          <w:lang w:val="mk-MK"/>
        </w:rPr>
      </w:pPr>
      <w:r w:rsidRPr="00764659">
        <w:rPr>
          <w:rFonts w:ascii="StobiSerif Regular" w:hAnsi="StobiSerif Regular"/>
          <w:b/>
          <w:sz w:val="22"/>
          <w:szCs w:val="22"/>
          <w:lang w:val="mk-MK"/>
        </w:rPr>
        <w:t>1.</w:t>
      </w:r>
      <w:r w:rsidRPr="00764659">
        <w:rPr>
          <w:rFonts w:ascii="StobiSerif Regular" w:hAnsi="StobiSerif Regular"/>
          <w:b/>
          <w:sz w:val="22"/>
          <w:szCs w:val="22"/>
          <w:lang w:val="mk-MK"/>
        </w:rPr>
        <w:tab/>
        <w:t>Опис на состојбите во областа и дефинирање на проблемот</w:t>
      </w:r>
    </w:p>
    <w:p w:rsidR="00386833" w:rsidRPr="00764659" w:rsidRDefault="00386833" w:rsidP="00764659">
      <w:pPr>
        <w:spacing w:line="276" w:lineRule="auto"/>
        <w:jc w:val="both"/>
        <w:rPr>
          <w:rFonts w:ascii="StobiSerif Regular" w:hAnsi="StobiSerif Regular"/>
          <w:sz w:val="22"/>
          <w:szCs w:val="22"/>
          <w:lang w:val="ru-RU"/>
        </w:rPr>
      </w:pPr>
    </w:p>
    <w:p w:rsidR="00386833" w:rsidRPr="00764659" w:rsidRDefault="00386833" w:rsidP="00F1532B">
      <w:pPr>
        <w:spacing w:line="276" w:lineRule="auto"/>
        <w:ind w:firstLine="720"/>
        <w:jc w:val="both"/>
        <w:outlineLvl w:val="0"/>
        <w:rPr>
          <w:rFonts w:ascii="StobiSerif Regular" w:hAnsi="StobiSerif Regular" w:cs="Calibri"/>
          <w:iCs/>
          <w:sz w:val="22"/>
          <w:szCs w:val="22"/>
          <w:lang w:val="mk-MK"/>
        </w:rPr>
      </w:pPr>
      <w:r w:rsidRPr="00764659">
        <w:rPr>
          <w:rFonts w:ascii="StobiSerif Regular" w:hAnsi="StobiSerif Regular"/>
          <w:sz w:val="22"/>
          <w:szCs w:val="22"/>
          <w:lang w:val="mk-MK"/>
        </w:rPr>
        <w:t>1.1</w:t>
      </w:r>
      <w:r w:rsidRPr="00764659">
        <w:rPr>
          <w:rFonts w:ascii="StobiSerif Regular" w:hAnsi="StobiSerif Regular"/>
          <w:sz w:val="22"/>
          <w:szCs w:val="22"/>
          <w:lang w:val="mk-MK"/>
        </w:rPr>
        <w:tab/>
      </w:r>
      <w:r w:rsidRPr="00764659">
        <w:rPr>
          <w:rFonts w:ascii="StobiSerif Regular" w:hAnsi="StobiSerif Regular" w:cs="Calibri"/>
          <w:sz w:val="22"/>
          <w:szCs w:val="22"/>
          <w:lang w:val="mk-MK"/>
        </w:rPr>
        <w:t xml:space="preserve">Îïèñ íà ñîñòî¼áèòå </w:t>
      </w:r>
    </w:p>
    <w:p w:rsidR="00386833" w:rsidRPr="00764659" w:rsidRDefault="00386833" w:rsidP="00764659">
      <w:pPr>
        <w:rPr>
          <w:rFonts w:ascii="StobiSerif Regular" w:hAnsi="StobiSerif Regular"/>
          <w:sz w:val="22"/>
          <w:szCs w:val="22"/>
          <w:lang w:val="mk-MK"/>
        </w:rPr>
      </w:pPr>
    </w:p>
    <w:p w:rsidR="00386833" w:rsidRPr="00764659" w:rsidRDefault="00386833" w:rsidP="00764659">
      <w:pPr>
        <w:pStyle w:val="Default"/>
        <w:ind w:firstLine="720"/>
        <w:jc w:val="both"/>
        <w:rPr>
          <w:rFonts w:ascii="StobiSerif Regular" w:hAnsi="StobiSerif Regular"/>
          <w:sz w:val="22"/>
          <w:szCs w:val="22"/>
          <w:lang w:val="mk-MK"/>
        </w:rPr>
      </w:pPr>
      <w:r w:rsidRPr="00764659">
        <w:rPr>
          <w:rFonts w:ascii="StobiSerif Regular" w:hAnsi="StobiSerif Regular" w:cs="Arial"/>
          <w:sz w:val="22"/>
          <w:szCs w:val="22"/>
          <w:lang w:val="mk-MK"/>
        </w:rPr>
        <w:t>Владата на Република Македонија на Шеесет и петтата седница на одржана на 31.03.2015 година ја усвои Информацијата за листата на закони ко треба да се изменат со цел да се обезбеди електронско поврзување на институциите со Катастарот на недвижности. Предложеното дополнување на законот претставува усогласување со Законот за катастар на недвижности</w:t>
      </w:r>
      <w:r w:rsidRPr="00764659">
        <w:rPr>
          <w:rFonts w:ascii="StobiSerif Regular" w:hAnsi="StobiSerif Regular" w:cs="TimesNewRoman"/>
          <w:sz w:val="22"/>
          <w:szCs w:val="22"/>
          <w:lang w:val="mk-MK"/>
        </w:rPr>
        <w:t xml:space="preserve"> поточно со членот 20 од Законот за изменување и дополнување на Законот за катастар на недвижности („Сл. весник на РМ) бр. 11/14), с</w:t>
      </w:r>
      <w:r w:rsidRPr="00764659">
        <w:rPr>
          <w:rFonts w:ascii="StobiSerif Regular" w:hAnsi="StobiSerif Regular"/>
          <w:sz w:val="22"/>
          <w:szCs w:val="22"/>
          <w:lang w:val="mk-MK"/>
        </w:rPr>
        <w:t xml:space="preserve">о кој е додаден нов член 141-в. </w:t>
      </w:r>
    </w:p>
    <w:p w:rsidR="00386833" w:rsidRPr="00764659" w:rsidRDefault="00386833" w:rsidP="00764659">
      <w:pPr>
        <w:pStyle w:val="Default"/>
        <w:ind w:firstLine="720"/>
        <w:jc w:val="both"/>
        <w:rPr>
          <w:rFonts w:ascii="StobiSerif Regular" w:hAnsi="StobiSerif Regular"/>
          <w:sz w:val="22"/>
          <w:szCs w:val="22"/>
          <w:lang w:val="mk-MK"/>
        </w:rPr>
      </w:pPr>
      <w:r w:rsidRPr="00764659">
        <w:rPr>
          <w:rFonts w:ascii="StobiSerif Regular" w:hAnsi="StobiSerif Regular"/>
          <w:sz w:val="22"/>
          <w:szCs w:val="22"/>
          <w:lang w:val="mk-MK"/>
        </w:rPr>
        <w:t>Според членот 141-в став 1, судовите, министерствата, органите на државната управа, единиците на локалната самоуправа, нотарите, извршителите и сите други субјекти со пренесени јавни овластувања, сите исправи кои содржат правен основ врз основа на кој се врши запишување во катастарот на недвижности, заедно со пријавите на запишување и доказот за платен надоместок, се должни по електронски пат да ги достават до Агенцијата.</w:t>
      </w:r>
    </w:p>
    <w:p w:rsidR="00386833" w:rsidRPr="00764659" w:rsidRDefault="00386833" w:rsidP="00764659">
      <w:pPr>
        <w:pStyle w:val="Default"/>
        <w:ind w:firstLine="720"/>
        <w:jc w:val="both"/>
        <w:rPr>
          <w:rFonts w:ascii="StobiSerif Regular" w:hAnsi="StobiSerif Regular"/>
          <w:sz w:val="22"/>
          <w:szCs w:val="22"/>
          <w:lang w:val="mk-MK"/>
        </w:rPr>
      </w:pPr>
      <w:r w:rsidRPr="00764659">
        <w:rPr>
          <w:rFonts w:ascii="StobiSerif Regular" w:hAnsi="StobiSerif Regular"/>
          <w:sz w:val="22"/>
          <w:szCs w:val="22"/>
          <w:lang w:val="mk-MK"/>
        </w:rPr>
        <w:t>Законот за управување со кризи се усогласува со Законот за катастар на недвижности.</w:t>
      </w:r>
    </w:p>
    <w:p w:rsidR="00386833" w:rsidRPr="00764659" w:rsidRDefault="00386833" w:rsidP="00764659">
      <w:pPr>
        <w:ind w:firstLine="720"/>
        <w:jc w:val="both"/>
        <w:rPr>
          <w:rFonts w:ascii="StobiSerif Regular" w:hAnsi="StobiSerif Regular" w:cs="TimesNewRoman"/>
          <w:sz w:val="22"/>
          <w:szCs w:val="22"/>
          <w:lang w:val="mk-MK"/>
        </w:rPr>
      </w:pPr>
    </w:p>
    <w:p w:rsidR="00386833" w:rsidRPr="00764659" w:rsidRDefault="00386833" w:rsidP="00764659">
      <w:pPr>
        <w:jc w:val="both"/>
        <w:rPr>
          <w:rFonts w:ascii="StobiSerif Regular" w:hAnsi="StobiSerif Regular" w:cs="StobiSerif Regular"/>
          <w:sz w:val="22"/>
          <w:szCs w:val="22"/>
          <w:lang w:val="mk-MK"/>
        </w:rPr>
      </w:pPr>
    </w:p>
    <w:p w:rsidR="00386833" w:rsidRPr="00764659" w:rsidRDefault="00386833" w:rsidP="00764659">
      <w:pPr>
        <w:tabs>
          <w:tab w:val="left" w:pos="675"/>
        </w:tabs>
        <w:rPr>
          <w:rFonts w:ascii="StobiSerif Regular" w:hAnsi="StobiSerif Regular"/>
          <w:sz w:val="22"/>
          <w:szCs w:val="22"/>
          <w:lang w:val="mk-MK"/>
        </w:rPr>
      </w:pPr>
    </w:p>
    <w:p w:rsidR="00386833" w:rsidRPr="00764659" w:rsidRDefault="00386833" w:rsidP="00F1532B">
      <w:pPr>
        <w:spacing w:line="276" w:lineRule="auto"/>
        <w:ind w:firstLine="720"/>
        <w:jc w:val="both"/>
        <w:outlineLvl w:val="0"/>
        <w:rPr>
          <w:rFonts w:ascii="StobiSerif Regular" w:hAnsi="StobiSerif Regular" w:cs="Calibri"/>
          <w:iCs/>
          <w:sz w:val="22"/>
          <w:szCs w:val="22"/>
          <w:lang w:val="mk-MK"/>
        </w:rPr>
      </w:pPr>
      <w:r w:rsidRPr="00764659">
        <w:rPr>
          <w:rFonts w:ascii="StobiSerif Regular" w:hAnsi="StobiSerif Regular"/>
          <w:sz w:val="22"/>
          <w:szCs w:val="22"/>
          <w:lang w:val="mk-MK"/>
        </w:rPr>
        <w:t>1.2</w:t>
      </w:r>
      <w:r w:rsidRPr="00764659">
        <w:rPr>
          <w:rFonts w:ascii="StobiSerif Regular" w:hAnsi="StobiSerif Regular"/>
          <w:sz w:val="22"/>
          <w:szCs w:val="22"/>
          <w:lang w:val="mk-MK"/>
        </w:rPr>
        <w:tab/>
      </w:r>
      <w:r w:rsidRPr="00764659">
        <w:rPr>
          <w:rFonts w:ascii="StobiSerif Regular" w:hAnsi="StobiSerif Regular" w:cs="Calibri"/>
          <w:sz w:val="22"/>
          <w:szCs w:val="22"/>
          <w:lang w:val="mk-MK"/>
        </w:rPr>
        <w:t xml:space="preserve">Ïðè÷èíè çà ïðîáëåìèòå êîè ñå ïðåäìåò íà ðàçãëåäóâàœå </w:t>
      </w:r>
    </w:p>
    <w:p w:rsidR="00386833" w:rsidRPr="00764659" w:rsidRDefault="00386833" w:rsidP="00764659">
      <w:pPr>
        <w:jc w:val="both"/>
        <w:rPr>
          <w:rFonts w:ascii="StobiSerif Regular" w:hAnsi="StobiSerif Regular" w:cs="Calibri"/>
          <w:sz w:val="22"/>
          <w:szCs w:val="22"/>
          <w:lang w:val="mk-MK"/>
        </w:rPr>
      </w:pPr>
    </w:p>
    <w:p w:rsidR="00386833" w:rsidRPr="00764659" w:rsidRDefault="00386833" w:rsidP="00764659">
      <w:pPr>
        <w:tabs>
          <w:tab w:val="left" w:pos="675"/>
        </w:tabs>
        <w:rPr>
          <w:rFonts w:ascii="StobiSerif Regular" w:hAnsi="StobiSerif Regular" w:cs="Calibri"/>
          <w:sz w:val="22"/>
          <w:szCs w:val="22"/>
          <w:lang w:val="mk-MK"/>
        </w:rPr>
      </w:pPr>
    </w:p>
    <w:p w:rsidR="00386833" w:rsidRPr="00764659" w:rsidRDefault="00386833" w:rsidP="00764659">
      <w:pPr>
        <w:shd w:val="clear" w:color="auto" w:fill="CCFFFF"/>
        <w:tabs>
          <w:tab w:val="left" w:pos="675"/>
        </w:tabs>
        <w:rPr>
          <w:rFonts w:ascii="StobiSerif Regular" w:hAnsi="StobiSerif Regular" w:cs="Calibri"/>
          <w:b/>
          <w:sz w:val="22"/>
          <w:szCs w:val="22"/>
          <w:lang w:val="mk-MK"/>
        </w:rPr>
      </w:pPr>
      <w:r w:rsidRPr="00764659">
        <w:rPr>
          <w:rFonts w:ascii="StobiSerif Regular" w:hAnsi="StobiSerif Regular"/>
          <w:b/>
          <w:sz w:val="22"/>
          <w:szCs w:val="22"/>
          <w:lang w:val="mk-MK"/>
        </w:rPr>
        <w:t xml:space="preserve">2. </w:t>
      </w:r>
      <w:r w:rsidRPr="00764659">
        <w:rPr>
          <w:rFonts w:ascii="StobiSerif Regular" w:hAnsi="StobiSerif Regular"/>
          <w:b/>
          <w:sz w:val="22"/>
          <w:szCs w:val="22"/>
          <w:lang w:val="mk-MK"/>
        </w:rPr>
        <w:tab/>
        <w:t>Цели на предлог регулативата</w:t>
      </w:r>
    </w:p>
    <w:p w:rsidR="00386833" w:rsidRPr="00764659" w:rsidRDefault="00386833" w:rsidP="00764659">
      <w:pPr>
        <w:jc w:val="both"/>
        <w:rPr>
          <w:rFonts w:ascii="StobiSerif Regular" w:hAnsi="StobiSerif Regular"/>
          <w:sz w:val="22"/>
          <w:szCs w:val="22"/>
          <w:lang w:val="ru-RU"/>
        </w:rPr>
      </w:pPr>
    </w:p>
    <w:p w:rsidR="00386833" w:rsidRPr="00764659" w:rsidRDefault="00386833" w:rsidP="00764659">
      <w:pPr>
        <w:jc w:val="both"/>
        <w:rPr>
          <w:rFonts w:ascii="StobiSerif Regular" w:hAnsi="StobiSerif Regular"/>
          <w:sz w:val="22"/>
          <w:szCs w:val="22"/>
          <w:lang w:val="ru-RU"/>
        </w:rPr>
      </w:pPr>
      <w:r w:rsidRPr="00764659">
        <w:rPr>
          <w:rFonts w:ascii="StobiSerif Regular" w:hAnsi="StobiSerif Regular"/>
          <w:sz w:val="22"/>
          <w:szCs w:val="22"/>
          <w:lang w:val="ru-RU"/>
        </w:rPr>
        <w:t xml:space="preserve">Целта на Предлог законот е да се овозможи, државнтие орган, вклушително и </w:t>
      </w:r>
      <w:r>
        <w:rPr>
          <w:rFonts w:ascii="StobiSerif Regular" w:hAnsi="StobiSerif Regular"/>
          <w:sz w:val="22"/>
          <w:szCs w:val="22"/>
          <w:lang w:val="ru-RU"/>
        </w:rPr>
        <w:t>Центарот за управуање со кризи,</w:t>
      </w:r>
      <w:r w:rsidRPr="00764659">
        <w:rPr>
          <w:rFonts w:ascii="StobiSerif Regular" w:hAnsi="StobiSerif Regular"/>
          <w:sz w:val="22"/>
          <w:szCs w:val="22"/>
          <w:lang w:val="ru-RU"/>
        </w:rPr>
        <w:t xml:space="preserve"> по добивањер на соодветен документ со кој се стекнале со крисничпко право за одредена недвижност, истиот да го доставуваат до Агенцијата за катастар на недвижности, заедно со пријавите за запишување  и доказот за платен надоместок  по електоронски пат.</w:t>
      </w:r>
    </w:p>
    <w:p w:rsidR="00386833" w:rsidRPr="00764659" w:rsidRDefault="00386833" w:rsidP="00764659">
      <w:pPr>
        <w:tabs>
          <w:tab w:val="left" w:pos="675"/>
        </w:tabs>
        <w:rPr>
          <w:rFonts w:ascii="StobiSerif Regular" w:hAnsi="StobiSerif Regular"/>
          <w:sz w:val="22"/>
          <w:szCs w:val="22"/>
          <w:lang w:val="mk-MK"/>
        </w:rPr>
      </w:pPr>
    </w:p>
    <w:p w:rsidR="00386833" w:rsidRPr="00764659" w:rsidRDefault="00386833" w:rsidP="00764659">
      <w:pPr>
        <w:shd w:val="clear" w:color="auto" w:fill="CCFFFF"/>
        <w:tabs>
          <w:tab w:val="left" w:pos="675"/>
        </w:tabs>
        <w:rPr>
          <w:rFonts w:ascii="StobiSerif Regular" w:hAnsi="StobiSerif Regular"/>
          <w:b/>
          <w:sz w:val="22"/>
          <w:szCs w:val="22"/>
          <w:lang w:val="mk-MK"/>
        </w:rPr>
      </w:pPr>
      <w:r w:rsidRPr="00764659">
        <w:rPr>
          <w:rFonts w:ascii="StobiSerif Regular" w:hAnsi="StobiSerif Regular"/>
          <w:b/>
          <w:sz w:val="22"/>
          <w:szCs w:val="22"/>
          <w:lang w:val="mk-MK"/>
        </w:rPr>
        <w:t>3.</w:t>
      </w:r>
      <w:r w:rsidRPr="00764659">
        <w:rPr>
          <w:rFonts w:ascii="StobiSerif Regular" w:hAnsi="StobiSerif Regular"/>
          <w:b/>
          <w:sz w:val="22"/>
          <w:szCs w:val="22"/>
          <w:lang w:val="mk-MK"/>
        </w:rPr>
        <w:tab/>
        <w:t>Можни решенија (опции)</w:t>
      </w:r>
    </w:p>
    <w:p w:rsidR="00386833" w:rsidRPr="00764659" w:rsidRDefault="00386833" w:rsidP="00764659">
      <w:pPr>
        <w:spacing w:line="276" w:lineRule="auto"/>
        <w:jc w:val="both"/>
        <w:rPr>
          <w:rFonts w:ascii="StobiSerif Regular" w:hAnsi="StobiSerif Regular"/>
          <w:sz w:val="22"/>
          <w:szCs w:val="22"/>
          <w:lang w:val="ru-RU"/>
        </w:rPr>
      </w:pPr>
    </w:p>
    <w:p w:rsidR="00386833" w:rsidRPr="00764659" w:rsidRDefault="00386833" w:rsidP="00F1532B">
      <w:pPr>
        <w:spacing w:line="276" w:lineRule="auto"/>
        <w:ind w:firstLine="720"/>
        <w:jc w:val="both"/>
        <w:outlineLvl w:val="0"/>
        <w:rPr>
          <w:rFonts w:ascii="StobiSerif Regular" w:hAnsi="StobiSerif Regular" w:cs="Calibri"/>
          <w:sz w:val="22"/>
          <w:szCs w:val="22"/>
          <w:lang w:val="mk-MK"/>
        </w:rPr>
      </w:pPr>
      <w:r w:rsidRPr="00764659">
        <w:rPr>
          <w:rFonts w:ascii="StobiSerif Regular" w:hAnsi="StobiSerif Regular"/>
          <w:sz w:val="22"/>
          <w:szCs w:val="22"/>
          <w:lang w:val="mk-MK"/>
        </w:rPr>
        <w:t>3.1</w:t>
      </w:r>
      <w:r w:rsidRPr="00764659">
        <w:rPr>
          <w:rFonts w:ascii="StobiSerif Regular" w:hAnsi="StobiSerif Regular"/>
          <w:sz w:val="22"/>
          <w:szCs w:val="22"/>
          <w:lang w:val="mk-MK"/>
        </w:rPr>
        <w:tab/>
      </w:r>
      <w:r w:rsidRPr="00764659">
        <w:rPr>
          <w:rFonts w:ascii="StobiSerif Regular" w:hAnsi="StobiSerif Regular" w:cs="Calibri"/>
          <w:sz w:val="22"/>
          <w:szCs w:val="22"/>
          <w:lang w:val="mk-MK"/>
        </w:rPr>
        <w:t xml:space="preserve">Îïèñ íà ðåøåíèåòî „не прави ништо“  </w:t>
      </w:r>
    </w:p>
    <w:p w:rsidR="00386833" w:rsidRPr="00764659" w:rsidRDefault="00386833" w:rsidP="00764659">
      <w:pPr>
        <w:tabs>
          <w:tab w:val="left" w:pos="675"/>
        </w:tabs>
        <w:spacing w:line="276" w:lineRule="auto"/>
        <w:jc w:val="both"/>
        <w:rPr>
          <w:rFonts w:ascii="StobiSerif Regular" w:hAnsi="StobiSerif Regular" w:cs="Calibri"/>
          <w:sz w:val="22"/>
          <w:szCs w:val="22"/>
          <w:lang w:val="mk-MK"/>
        </w:rPr>
      </w:pPr>
      <w:r w:rsidRPr="00764659">
        <w:rPr>
          <w:rFonts w:ascii="StobiSerif Regular" w:hAnsi="StobiSerif Regular" w:cs="Calibri"/>
          <w:sz w:val="22"/>
          <w:szCs w:val="22"/>
          <w:lang w:val="mk-MK"/>
        </w:rPr>
        <w:t>Ќе се задржи старата состојба во која не се вршело доставување на исправите по електронски пат</w:t>
      </w:r>
      <w:r>
        <w:rPr>
          <w:rFonts w:ascii="StobiSerif Regular" w:hAnsi="StobiSerif Regular" w:cs="Calibri"/>
          <w:sz w:val="22"/>
          <w:szCs w:val="22"/>
          <w:lang w:val="mk-MK"/>
        </w:rPr>
        <w:t xml:space="preserve"> </w:t>
      </w:r>
      <w:r w:rsidRPr="00764659">
        <w:rPr>
          <w:rFonts w:ascii="StobiSerif Regular" w:hAnsi="StobiSerif Regular" w:cs="Calibri"/>
          <w:sz w:val="22"/>
          <w:szCs w:val="22"/>
          <w:lang w:val="mk-MK"/>
        </w:rPr>
        <w:t xml:space="preserve">за  евидентирање на промените во запишувањето на корисничкото </w:t>
      </w:r>
      <w:r>
        <w:rPr>
          <w:rFonts w:ascii="StobiSerif Regular" w:hAnsi="StobiSerif Regular" w:cs="Calibri"/>
          <w:sz w:val="22"/>
          <w:szCs w:val="22"/>
          <w:lang w:val="mk-MK"/>
        </w:rPr>
        <w:t xml:space="preserve"> </w:t>
      </w:r>
      <w:r w:rsidRPr="00764659">
        <w:rPr>
          <w:rFonts w:ascii="StobiSerif Regular" w:hAnsi="StobiSerif Regular" w:cs="Calibri"/>
          <w:sz w:val="22"/>
          <w:szCs w:val="22"/>
          <w:lang w:val="mk-MK"/>
        </w:rPr>
        <w:t xml:space="preserve">право.во </w:t>
      </w:r>
      <w:r w:rsidRPr="00764659">
        <w:rPr>
          <w:rStyle w:val="WW-DefaultParagraphFont"/>
          <w:rFonts w:ascii="StobiSerif Regular" w:hAnsi="StobiSerif Regular" w:cs="StobiSerif Regular"/>
          <w:sz w:val="22"/>
          <w:szCs w:val="22"/>
          <w:lang w:val="en-US"/>
        </w:rPr>
        <w:t>Јавната книга за запишување на правата на недвижностите</w:t>
      </w:r>
      <w:r w:rsidRPr="00764659">
        <w:rPr>
          <w:rStyle w:val="WW-DefaultParagraphFont"/>
          <w:rFonts w:ascii="StobiSerif Regular" w:hAnsi="StobiSerif Regular" w:cs="StobiSerif Regular"/>
          <w:sz w:val="22"/>
          <w:szCs w:val="22"/>
          <w:lang w:val="mk-MK"/>
        </w:rPr>
        <w:t>.</w:t>
      </w:r>
    </w:p>
    <w:p w:rsidR="00386833" w:rsidRPr="00764659" w:rsidRDefault="00386833" w:rsidP="00F1532B">
      <w:pPr>
        <w:ind w:firstLine="720"/>
        <w:jc w:val="both"/>
        <w:outlineLvl w:val="0"/>
        <w:rPr>
          <w:rFonts w:ascii="StobiSerif Regular" w:hAnsi="StobiSerif Regular"/>
          <w:sz w:val="22"/>
          <w:szCs w:val="22"/>
          <w:lang w:val="mk-MK"/>
        </w:rPr>
      </w:pPr>
      <w:r w:rsidRPr="00764659">
        <w:rPr>
          <w:rFonts w:ascii="StobiSerif Regular" w:hAnsi="StobiSerif Regular"/>
          <w:sz w:val="22"/>
          <w:szCs w:val="22"/>
          <w:lang w:val="mk-MK"/>
        </w:rPr>
        <w:t>3.2</w:t>
      </w:r>
      <w:r w:rsidRPr="00764659">
        <w:rPr>
          <w:rFonts w:ascii="StobiSerif Regular" w:hAnsi="StobiSerif Regular"/>
          <w:sz w:val="22"/>
          <w:szCs w:val="22"/>
          <w:lang w:val="mk-MK"/>
        </w:rPr>
        <w:tab/>
        <w:t>Опис на можните решенија (опции) за решавање на проблемот</w:t>
      </w:r>
    </w:p>
    <w:p w:rsidR="00386833" w:rsidRPr="00764659" w:rsidRDefault="00386833" w:rsidP="00764659">
      <w:pPr>
        <w:autoSpaceDE w:val="0"/>
        <w:autoSpaceDN w:val="0"/>
        <w:adjustRightInd w:val="0"/>
        <w:jc w:val="both"/>
        <w:rPr>
          <w:rFonts w:ascii="StobiSerif Regular" w:hAnsi="StobiSerif Regular"/>
          <w:sz w:val="22"/>
          <w:szCs w:val="22"/>
          <w:lang w:val="mk-MK"/>
        </w:rPr>
      </w:pPr>
      <w:r w:rsidRPr="00764659">
        <w:rPr>
          <w:rFonts w:ascii="StobiSerif Regular" w:hAnsi="StobiSerif Regular"/>
          <w:sz w:val="22"/>
          <w:szCs w:val="22"/>
          <w:lang w:val="mk-MK"/>
        </w:rPr>
        <w:t>Со имплементирањето на одреда во Законот за управување со кризи се дава обврска за органот по електронски пат да доставува пријави за платен надоместок заедно со пријавите за запишување дека настанала промена во состојбата со недвижностите. Исто така и Агенцијата за катастар на недвижност има обврска по службена должност да изврши прибележување на актите  во јавната книга за запишување на правата на недвижностите.</w:t>
      </w:r>
    </w:p>
    <w:p w:rsidR="00386833" w:rsidRPr="00764659" w:rsidRDefault="00386833" w:rsidP="00764659">
      <w:pPr>
        <w:jc w:val="both"/>
        <w:rPr>
          <w:rFonts w:ascii="StobiSerif Regular" w:hAnsi="StobiSerif Regular"/>
          <w:sz w:val="22"/>
          <w:szCs w:val="22"/>
          <w:lang w:val="mk-MK"/>
        </w:rPr>
      </w:pPr>
    </w:p>
    <w:p w:rsidR="00386833" w:rsidRPr="00764659" w:rsidRDefault="00386833" w:rsidP="00764659">
      <w:pPr>
        <w:tabs>
          <w:tab w:val="left" w:pos="675"/>
        </w:tabs>
        <w:rPr>
          <w:rFonts w:ascii="StobiSerif Regular" w:hAnsi="StobiSerif Regular"/>
          <w:sz w:val="22"/>
          <w:szCs w:val="22"/>
          <w:lang w:val="mk-MK"/>
        </w:rPr>
      </w:pPr>
    </w:p>
    <w:p w:rsidR="00386833" w:rsidRPr="00764659" w:rsidRDefault="00386833" w:rsidP="00764659">
      <w:pPr>
        <w:numPr>
          <w:ilvl w:val="0"/>
          <w:numId w:val="1"/>
        </w:numPr>
        <w:shd w:val="clear" w:color="auto" w:fill="CCFFFF"/>
        <w:tabs>
          <w:tab w:val="left" w:pos="675"/>
        </w:tabs>
        <w:rPr>
          <w:rFonts w:ascii="StobiSerif Regular" w:hAnsi="StobiSerif Regular"/>
          <w:b/>
          <w:sz w:val="22"/>
          <w:szCs w:val="22"/>
          <w:lang w:val="en-US"/>
        </w:rPr>
      </w:pPr>
      <w:r w:rsidRPr="00764659">
        <w:rPr>
          <w:rFonts w:ascii="StobiSerif Regular" w:hAnsi="StobiSerif Regular"/>
          <w:b/>
          <w:sz w:val="22"/>
          <w:szCs w:val="22"/>
          <w:lang w:val="mk-MK"/>
        </w:rPr>
        <w:t>Проценка на влијанијата на регулативата</w:t>
      </w:r>
    </w:p>
    <w:p w:rsidR="00386833" w:rsidRPr="00764659" w:rsidRDefault="00386833" w:rsidP="00764659">
      <w:pPr>
        <w:tabs>
          <w:tab w:val="left" w:pos="675"/>
        </w:tabs>
        <w:ind w:left="360"/>
        <w:rPr>
          <w:rFonts w:ascii="StobiSerif Regular" w:hAnsi="StobiSerif Regular"/>
          <w:b/>
          <w:sz w:val="22"/>
          <w:szCs w:val="22"/>
          <w:lang w:val="en-US"/>
        </w:rPr>
      </w:pPr>
    </w:p>
    <w:p w:rsidR="00386833" w:rsidRPr="00764659" w:rsidRDefault="00386833" w:rsidP="00764659">
      <w:pPr>
        <w:jc w:val="both"/>
        <w:rPr>
          <w:rFonts w:ascii="StobiSerif Regular" w:hAnsi="StobiSerif Regular"/>
          <w:sz w:val="22"/>
          <w:szCs w:val="22"/>
          <w:lang w:val="mk-MK"/>
        </w:rPr>
      </w:pPr>
      <w:r w:rsidRPr="00764659">
        <w:rPr>
          <w:rFonts w:ascii="StobiSerif Regular" w:hAnsi="StobiSerif Regular"/>
          <w:sz w:val="22"/>
          <w:szCs w:val="22"/>
          <w:lang w:val="mk-MK"/>
        </w:rPr>
        <w:tab/>
        <w:t>Можни позитивни и негативни влијанија од секоја од опциите:</w:t>
      </w:r>
    </w:p>
    <w:p w:rsidR="00386833" w:rsidRPr="00764659" w:rsidRDefault="00386833" w:rsidP="00764659">
      <w:pPr>
        <w:tabs>
          <w:tab w:val="left" w:pos="675"/>
        </w:tabs>
        <w:rPr>
          <w:rFonts w:ascii="StobiSerif Regular" w:hAnsi="StobiSerif Regular"/>
          <w:sz w:val="22"/>
          <w:szCs w:val="22"/>
          <w:lang w:val="mk-MK"/>
        </w:rPr>
      </w:pPr>
    </w:p>
    <w:p w:rsidR="00386833" w:rsidRPr="00764659" w:rsidRDefault="00386833" w:rsidP="00764659">
      <w:pPr>
        <w:ind w:firstLine="720"/>
        <w:jc w:val="both"/>
        <w:rPr>
          <w:rFonts w:ascii="StobiSerif Regular" w:hAnsi="StobiSerif Regular"/>
          <w:sz w:val="22"/>
          <w:szCs w:val="22"/>
          <w:lang w:val="mk-MK"/>
        </w:rPr>
      </w:pPr>
      <w:r w:rsidRPr="00764659">
        <w:rPr>
          <w:rFonts w:ascii="StobiSerif Regular" w:hAnsi="StobiSerif Regular"/>
          <w:sz w:val="22"/>
          <w:szCs w:val="22"/>
          <w:lang w:val="mk-MK"/>
        </w:rPr>
        <w:t>4.1</w:t>
      </w:r>
      <w:r w:rsidRPr="00764659">
        <w:rPr>
          <w:rFonts w:ascii="StobiSerif Regular" w:hAnsi="StobiSerif Regular"/>
          <w:sz w:val="22"/>
          <w:szCs w:val="22"/>
          <w:lang w:val="mk-MK"/>
        </w:rPr>
        <w:tab/>
        <w:t xml:space="preserve">Економски влијанија </w:t>
      </w:r>
    </w:p>
    <w:p w:rsidR="00386833" w:rsidRPr="00764659" w:rsidRDefault="00386833" w:rsidP="00764659">
      <w:pPr>
        <w:jc w:val="both"/>
        <w:rPr>
          <w:rFonts w:ascii="StobiSerif Regular" w:hAnsi="StobiSerif Regular"/>
          <w:sz w:val="22"/>
          <w:szCs w:val="22"/>
          <w:lang w:val="mk-MK"/>
        </w:rPr>
      </w:pPr>
    </w:p>
    <w:p w:rsidR="00386833" w:rsidRPr="00764659" w:rsidRDefault="00386833" w:rsidP="00764659">
      <w:pPr>
        <w:tabs>
          <w:tab w:val="left" w:pos="675"/>
        </w:tabs>
        <w:rPr>
          <w:rFonts w:ascii="StobiSerif Regular" w:hAnsi="StobiSerif Regular"/>
          <w:sz w:val="22"/>
          <w:szCs w:val="22"/>
          <w:lang w:val="mk-MK"/>
        </w:rPr>
      </w:pPr>
    </w:p>
    <w:p w:rsidR="00386833" w:rsidRPr="00764659" w:rsidRDefault="00386833" w:rsidP="00764659">
      <w:pPr>
        <w:ind w:firstLine="720"/>
        <w:jc w:val="both"/>
        <w:rPr>
          <w:rFonts w:ascii="StobiSerif Regular" w:hAnsi="StobiSerif Regular"/>
          <w:sz w:val="22"/>
          <w:szCs w:val="22"/>
          <w:lang w:val="mk-MK"/>
        </w:rPr>
      </w:pPr>
      <w:r w:rsidRPr="00764659">
        <w:rPr>
          <w:rFonts w:ascii="StobiSerif Regular" w:hAnsi="StobiSerif Regular"/>
          <w:sz w:val="22"/>
          <w:szCs w:val="22"/>
          <w:lang w:val="mk-MK"/>
        </w:rPr>
        <w:t>4.2</w:t>
      </w:r>
      <w:r w:rsidRPr="00764659">
        <w:rPr>
          <w:rFonts w:ascii="StobiSerif Regular" w:hAnsi="StobiSerif Regular"/>
          <w:sz w:val="22"/>
          <w:szCs w:val="22"/>
          <w:lang w:val="mk-MK"/>
        </w:rPr>
        <w:tab/>
        <w:t xml:space="preserve">Фискални влијанија </w:t>
      </w:r>
    </w:p>
    <w:p w:rsidR="00386833" w:rsidRPr="00764659" w:rsidRDefault="00386833" w:rsidP="00764659">
      <w:pPr>
        <w:jc w:val="both"/>
        <w:rPr>
          <w:rFonts w:ascii="StobiSerif Regular" w:hAnsi="StobiSerif Regular"/>
          <w:sz w:val="22"/>
          <w:szCs w:val="22"/>
          <w:lang w:val="mk-MK"/>
        </w:rPr>
      </w:pPr>
      <w:r w:rsidRPr="00764659">
        <w:rPr>
          <w:rFonts w:ascii="StobiSerif Regular" w:hAnsi="StobiSerif Regular"/>
          <w:sz w:val="22"/>
          <w:szCs w:val="22"/>
          <w:lang w:val="mk-MK"/>
        </w:rPr>
        <w:t>Предлогот на закон нема да предизвика фискални влијанија врз Буџетто н аРЕпублика Макеоднија.</w:t>
      </w:r>
    </w:p>
    <w:p w:rsidR="00386833" w:rsidRPr="00764659" w:rsidRDefault="00386833" w:rsidP="00764659">
      <w:pPr>
        <w:tabs>
          <w:tab w:val="left" w:pos="675"/>
        </w:tabs>
        <w:rPr>
          <w:rFonts w:ascii="StobiSerif Regular" w:hAnsi="StobiSerif Regular"/>
          <w:sz w:val="22"/>
          <w:szCs w:val="22"/>
          <w:lang w:val="mk-MK"/>
        </w:rPr>
      </w:pPr>
    </w:p>
    <w:p w:rsidR="00386833" w:rsidRPr="00764659" w:rsidRDefault="00386833" w:rsidP="00764659">
      <w:pPr>
        <w:ind w:firstLine="720"/>
        <w:jc w:val="both"/>
        <w:rPr>
          <w:rFonts w:ascii="StobiSerif Regular" w:hAnsi="StobiSerif Regular"/>
          <w:sz w:val="22"/>
          <w:szCs w:val="22"/>
          <w:lang w:val="mk-MK"/>
        </w:rPr>
      </w:pPr>
      <w:r w:rsidRPr="00764659">
        <w:rPr>
          <w:rFonts w:ascii="StobiSerif Regular" w:hAnsi="StobiSerif Regular"/>
          <w:sz w:val="22"/>
          <w:szCs w:val="22"/>
          <w:lang w:val="mk-MK"/>
        </w:rPr>
        <w:t>4.3</w:t>
      </w:r>
      <w:r w:rsidRPr="00764659">
        <w:rPr>
          <w:rFonts w:ascii="StobiSerif Regular" w:hAnsi="StobiSerif Regular"/>
          <w:sz w:val="22"/>
          <w:szCs w:val="22"/>
          <w:lang w:val="mk-MK"/>
        </w:rPr>
        <w:tab/>
        <w:t xml:space="preserve">Социјални влијанија </w:t>
      </w:r>
    </w:p>
    <w:p w:rsidR="00386833" w:rsidRPr="00764659" w:rsidRDefault="00386833" w:rsidP="00764659">
      <w:pPr>
        <w:jc w:val="both"/>
        <w:rPr>
          <w:rFonts w:ascii="StobiSerif Regular" w:hAnsi="StobiSerif Regular"/>
          <w:sz w:val="22"/>
          <w:szCs w:val="22"/>
          <w:lang w:val="mk-MK"/>
        </w:rPr>
      </w:pPr>
    </w:p>
    <w:p w:rsidR="00386833" w:rsidRPr="00764659" w:rsidRDefault="00386833" w:rsidP="00764659">
      <w:pPr>
        <w:tabs>
          <w:tab w:val="left" w:pos="675"/>
        </w:tabs>
        <w:rPr>
          <w:rFonts w:ascii="StobiSerif Regular" w:hAnsi="StobiSerif Regular"/>
          <w:sz w:val="22"/>
          <w:szCs w:val="22"/>
          <w:lang w:val="mk-MK"/>
        </w:rPr>
      </w:pPr>
    </w:p>
    <w:p w:rsidR="00386833" w:rsidRPr="00764659" w:rsidRDefault="00386833" w:rsidP="00764659">
      <w:pPr>
        <w:ind w:firstLine="720"/>
        <w:jc w:val="both"/>
        <w:rPr>
          <w:rFonts w:ascii="StobiSerif Regular" w:hAnsi="StobiSerif Regular"/>
          <w:sz w:val="22"/>
          <w:szCs w:val="22"/>
          <w:lang w:val="mk-MK"/>
        </w:rPr>
      </w:pPr>
      <w:r w:rsidRPr="00764659">
        <w:rPr>
          <w:rFonts w:ascii="StobiSerif Regular" w:hAnsi="StobiSerif Regular"/>
          <w:sz w:val="22"/>
          <w:szCs w:val="22"/>
          <w:lang w:val="mk-MK"/>
        </w:rPr>
        <w:t>4.4</w:t>
      </w:r>
      <w:r w:rsidRPr="00764659">
        <w:rPr>
          <w:rFonts w:ascii="StobiSerif Regular" w:hAnsi="StobiSerif Regular"/>
          <w:sz w:val="22"/>
          <w:szCs w:val="22"/>
          <w:lang w:val="mk-MK"/>
        </w:rPr>
        <w:tab/>
        <w:t xml:space="preserve">Влијанија врз животната средина </w:t>
      </w:r>
    </w:p>
    <w:p w:rsidR="00386833" w:rsidRPr="00764659" w:rsidRDefault="00386833" w:rsidP="00764659">
      <w:pPr>
        <w:jc w:val="both"/>
        <w:rPr>
          <w:rFonts w:ascii="StobiSerif Regular" w:hAnsi="StobiSerif Regular"/>
          <w:sz w:val="22"/>
          <w:szCs w:val="22"/>
          <w:lang w:val="mk-MK"/>
        </w:rPr>
      </w:pPr>
    </w:p>
    <w:p w:rsidR="00386833" w:rsidRPr="00764659" w:rsidRDefault="00386833" w:rsidP="00764659">
      <w:pPr>
        <w:tabs>
          <w:tab w:val="left" w:pos="675"/>
        </w:tabs>
        <w:rPr>
          <w:rFonts w:ascii="StobiSerif Regular" w:hAnsi="StobiSerif Regular"/>
          <w:sz w:val="22"/>
          <w:szCs w:val="22"/>
          <w:lang w:val="mk-MK"/>
        </w:rPr>
      </w:pPr>
    </w:p>
    <w:p w:rsidR="00386833" w:rsidRPr="00764659" w:rsidRDefault="00386833" w:rsidP="00764659">
      <w:pPr>
        <w:ind w:firstLine="720"/>
        <w:jc w:val="both"/>
        <w:rPr>
          <w:rFonts w:ascii="StobiSerif Regular" w:hAnsi="StobiSerif Regular"/>
          <w:sz w:val="22"/>
          <w:szCs w:val="22"/>
          <w:lang w:val="mk-MK"/>
        </w:rPr>
      </w:pPr>
      <w:r w:rsidRPr="00764659">
        <w:rPr>
          <w:rFonts w:ascii="StobiSerif Regular" w:hAnsi="StobiSerif Regular"/>
          <w:sz w:val="22"/>
          <w:szCs w:val="22"/>
          <w:lang w:val="mk-MK"/>
        </w:rPr>
        <w:t>4.5</w:t>
      </w:r>
      <w:r w:rsidRPr="00764659">
        <w:rPr>
          <w:rFonts w:ascii="StobiSerif Regular" w:hAnsi="StobiSerif Regular"/>
          <w:sz w:val="22"/>
          <w:szCs w:val="22"/>
          <w:lang w:val="mk-MK"/>
        </w:rPr>
        <w:tab/>
        <w:t xml:space="preserve">Административни влијанија и трошоци – </w:t>
      </w:r>
    </w:p>
    <w:p w:rsidR="00386833" w:rsidRPr="00764659" w:rsidRDefault="00386833" w:rsidP="00764659">
      <w:pPr>
        <w:jc w:val="both"/>
        <w:rPr>
          <w:rFonts w:ascii="StobiSerif Regular" w:hAnsi="StobiSerif Regular"/>
          <w:sz w:val="22"/>
          <w:szCs w:val="22"/>
          <w:lang w:val="mk-MK"/>
        </w:rPr>
      </w:pPr>
    </w:p>
    <w:p w:rsidR="00386833" w:rsidRPr="00764659" w:rsidRDefault="00386833" w:rsidP="00764659">
      <w:pPr>
        <w:ind w:left="720" w:firstLine="720"/>
        <w:jc w:val="both"/>
        <w:rPr>
          <w:rFonts w:ascii="StobiSerif Regular" w:hAnsi="StobiSerif Regular"/>
          <w:sz w:val="22"/>
          <w:szCs w:val="22"/>
          <w:lang w:val="mk-MK"/>
        </w:rPr>
      </w:pPr>
      <w:r w:rsidRPr="00764659">
        <w:rPr>
          <w:rFonts w:ascii="StobiSerif Regular" w:hAnsi="StobiSerif Regular"/>
          <w:sz w:val="22"/>
          <w:szCs w:val="22"/>
          <w:lang w:val="mk-MK"/>
        </w:rPr>
        <w:t xml:space="preserve">а) трошоци за спроведување </w:t>
      </w:r>
    </w:p>
    <w:p w:rsidR="00386833" w:rsidRPr="00764659" w:rsidRDefault="00386833" w:rsidP="00764659">
      <w:pPr>
        <w:jc w:val="both"/>
        <w:rPr>
          <w:rFonts w:ascii="StobiSerif Regular" w:hAnsi="StobiSerif Regular"/>
          <w:sz w:val="22"/>
          <w:szCs w:val="22"/>
          <w:lang w:val="mk-MK"/>
        </w:rPr>
      </w:pPr>
      <w:r w:rsidRPr="00764659">
        <w:rPr>
          <w:rFonts w:ascii="StobiSerif Regular" w:hAnsi="StobiSerif Regular"/>
          <w:sz w:val="22"/>
          <w:szCs w:val="22"/>
          <w:lang w:val="mk-MK"/>
        </w:rPr>
        <w:t xml:space="preserve"> </w:t>
      </w:r>
    </w:p>
    <w:p w:rsidR="00386833" w:rsidRPr="00764659" w:rsidRDefault="00386833" w:rsidP="00764659">
      <w:pPr>
        <w:ind w:left="720" w:firstLine="720"/>
        <w:jc w:val="both"/>
        <w:rPr>
          <w:rFonts w:ascii="StobiSerif Regular" w:hAnsi="StobiSerif Regular" w:cs="Calibri"/>
          <w:iCs/>
          <w:sz w:val="22"/>
          <w:szCs w:val="22"/>
          <w:lang w:val="mk-MK"/>
        </w:rPr>
      </w:pPr>
      <w:r w:rsidRPr="00764659">
        <w:rPr>
          <w:rFonts w:ascii="StobiSerif Regular" w:hAnsi="StobiSerif Regular"/>
          <w:sz w:val="22"/>
          <w:szCs w:val="22"/>
          <w:lang w:val="mk-MK"/>
        </w:rPr>
        <w:t xml:space="preserve">б)трошоци за почитување на регулативата </w:t>
      </w:r>
    </w:p>
    <w:p w:rsidR="00386833" w:rsidRPr="00764659" w:rsidRDefault="00386833" w:rsidP="00764659">
      <w:pPr>
        <w:tabs>
          <w:tab w:val="left" w:pos="675"/>
        </w:tabs>
        <w:rPr>
          <w:rFonts w:ascii="StobiSerif Regular" w:hAnsi="StobiSerif Regular" w:cs="Calibri"/>
          <w:iCs/>
          <w:sz w:val="22"/>
          <w:szCs w:val="22"/>
          <w:lang w:val="mk-MK"/>
        </w:rPr>
      </w:pPr>
    </w:p>
    <w:p w:rsidR="00386833" w:rsidRPr="00764659" w:rsidRDefault="00386833" w:rsidP="00764659">
      <w:pPr>
        <w:shd w:val="clear" w:color="auto" w:fill="CCFFFF"/>
        <w:tabs>
          <w:tab w:val="left" w:pos="675"/>
        </w:tabs>
        <w:rPr>
          <w:rFonts w:ascii="StobiSerif Regular" w:hAnsi="StobiSerif Regular"/>
          <w:b/>
          <w:sz w:val="22"/>
          <w:szCs w:val="22"/>
          <w:lang w:val="mk-MK"/>
        </w:rPr>
      </w:pPr>
      <w:r w:rsidRPr="00764659">
        <w:rPr>
          <w:rFonts w:ascii="StobiSerif Regular" w:hAnsi="StobiSerif Regular"/>
          <w:b/>
          <w:sz w:val="22"/>
          <w:szCs w:val="22"/>
          <w:lang w:val="mk-MK"/>
        </w:rPr>
        <w:t>5.</w:t>
      </w:r>
      <w:r w:rsidRPr="00764659">
        <w:rPr>
          <w:rFonts w:ascii="StobiSerif Regular" w:hAnsi="StobiSerif Regular"/>
          <w:b/>
          <w:sz w:val="22"/>
          <w:szCs w:val="22"/>
          <w:lang w:val="mk-MK"/>
        </w:rPr>
        <w:tab/>
        <w:t>Консултации</w:t>
      </w:r>
    </w:p>
    <w:p w:rsidR="00386833" w:rsidRPr="00764659" w:rsidRDefault="00386833" w:rsidP="00764659">
      <w:pPr>
        <w:ind w:firstLine="720"/>
        <w:jc w:val="both"/>
        <w:rPr>
          <w:rFonts w:ascii="StobiSerif Regular" w:hAnsi="StobiSerif Regular"/>
          <w:sz w:val="22"/>
          <w:szCs w:val="22"/>
          <w:lang w:val="ru-RU"/>
        </w:rPr>
      </w:pPr>
    </w:p>
    <w:p w:rsidR="00386833" w:rsidRPr="00764659" w:rsidRDefault="00386833" w:rsidP="00764659">
      <w:pPr>
        <w:ind w:firstLine="720"/>
        <w:jc w:val="both"/>
        <w:rPr>
          <w:rFonts w:ascii="StobiSerif Regular" w:hAnsi="StobiSerif Regular"/>
          <w:sz w:val="22"/>
          <w:szCs w:val="22"/>
          <w:lang w:val="mk-MK"/>
        </w:rPr>
      </w:pPr>
      <w:r w:rsidRPr="00764659">
        <w:rPr>
          <w:rFonts w:ascii="StobiSerif Regular" w:hAnsi="StobiSerif Regular"/>
          <w:sz w:val="22"/>
          <w:szCs w:val="22"/>
          <w:lang w:val="mk-MK"/>
        </w:rPr>
        <w:t>5.1</w:t>
      </w:r>
      <w:r w:rsidRPr="00764659">
        <w:rPr>
          <w:rFonts w:ascii="StobiSerif Regular" w:hAnsi="StobiSerif Regular"/>
          <w:sz w:val="22"/>
          <w:szCs w:val="22"/>
          <w:lang w:val="mk-MK"/>
        </w:rPr>
        <w:tab/>
        <w:t>Засегнати страни и начин на вклучување</w:t>
      </w:r>
    </w:p>
    <w:p w:rsidR="00386833" w:rsidRPr="00764659" w:rsidRDefault="00386833" w:rsidP="00764659">
      <w:pPr>
        <w:tabs>
          <w:tab w:val="left" w:pos="675"/>
        </w:tabs>
        <w:rPr>
          <w:rFonts w:ascii="StobiSerif Regular" w:hAnsi="StobiSerif Regular"/>
          <w:sz w:val="22"/>
          <w:szCs w:val="22"/>
          <w:lang w:val="mk-MK"/>
        </w:rPr>
      </w:pPr>
    </w:p>
    <w:p w:rsidR="00386833" w:rsidRPr="00764659" w:rsidRDefault="00386833" w:rsidP="00764659">
      <w:pPr>
        <w:ind w:firstLine="720"/>
        <w:jc w:val="both"/>
        <w:rPr>
          <w:rFonts w:ascii="StobiSerif Regular" w:hAnsi="StobiSerif Regular"/>
          <w:sz w:val="22"/>
          <w:szCs w:val="22"/>
          <w:lang w:val="mk-MK"/>
        </w:rPr>
      </w:pPr>
      <w:r w:rsidRPr="00764659">
        <w:rPr>
          <w:rFonts w:ascii="StobiSerif Regular" w:hAnsi="StobiSerif Regular"/>
          <w:sz w:val="22"/>
          <w:szCs w:val="22"/>
          <w:lang w:val="mk-MK"/>
        </w:rPr>
        <w:t>5.2</w:t>
      </w:r>
      <w:r w:rsidRPr="00764659">
        <w:rPr>
          <w:rFonts w:ascii="StobiSerif Regular" w:hAnsi="StobiSerif Regular"/>
          <w:sz w:val="22"/>
          <w:szCs w:val="22"/>
          <w:lang w:val="mk-MK"/>
        </w:rPr>
        <w:tab/>
        <w:t xml:space="preserve">Преглед на добиените и вградените мислења </w:t>
      </w:r>
    </w:p>
    <w:p w:rsidR="00386833" w:rsidRPr="00764659" w:rsidRDefault="00386833" w:rsidP="00764659">
      <w:pPr>
        <w:tabs>
          <w:tab w:val="left" w:pos="675"/>
        </w:tabs>
        <w:rPr>
          <w:rFonts w:ascii="StobiSerif Regular" w:hAnsi="StobiSerif Regular"/>
          <w:sz w:val="22"/>
          <w:szCs w:val="22"/>
          <w:lang w:val="mk-MK"/>
        </w:rPr>
      </w:pPr>
      <w:r w:rsidRPr="00764659">
        <w:rPr>
          <w:rFonts w:ascii="StobiSerif Regular" w:hAnsi="StobiSerif Regular"/>
          <w:sz w:val="22"/>
          <w:szCs w:val="22"/>
          <w:lang w:val="en-US"/>
        </w:rPr>
        <w:tab/>
      </w:r>
      <w:r w:rsidRPr="00764659">
        <w:rPr>
          <w:rFonts w:ascii="StobiSerif Regular" w:hAnsi="StobiSerif Regular"/>
          <w:sz w:val="22"/>
          <w:szCs w:val="22"/>
          <w:lang w:val="mk-MK"/>
        </w:rPr>
        <w:t>Предлог текстот на Законот  не ги содржи мислењата од Секретаријатот за законодавство, Министерството за финансии и Агенцијата за катастар на недвижности</w:t>
      </w:r>
    </w:p>
    <w:p w:rsidR="00386833" w:rsidRPr="00764659" w:rsidRDefault="00386833" w:rsidP="00764659">
      <w:pPr>
        <w:ind w:firstLine="720"/>
        <w:jc w:val="both"/>
        <w:rPr>
          <w:rFonts w:ascii="StobiSerif Regular" w:hAnsi="StobiSerif Regular"/>
          <w:sz w:val="22"/>
          <w:szCs w:val="22"/>
          <w:lang w:val="mk-MK"/>
        </w:rPr>
      </w:pPr>
      <w:r w:rsidRPr="00764659">
        <w:rPr>
          <w:rFonts w:ascii="StobiSerif Regular" w:hAnsi="StobiSerif Regular"/>
          <w:sz w:val="22"/>
          <w:szCs w:val="22"/>
          <w:lang w:val="mk-MK"/>
        </w:rPr>
        <w:t>5.3</w:t>
      </w:r>
      <w:r w:rsidRPr="00764659">
        <w:rPr>
          <w:rFonts w:ascii="StobiSerif Regular" w:hAnsi="StobiSerif Regular"/>
          <w:sz w:val="22"/>
          <w:szCs w:val="22"/>
          <w:lang w:val="mk-MK"/>
        </w:rPr>
        <w:tab/>
        <w:t>Мислењата кои не биле земени предвид и зошто</w:t>
      </w:r>
    </w:p>
    <w:p w:rsidR="00386833" w:rsidRPr="00764659" w:rsidRDefault="00386833" w:rsidP="00764659">
      <w:pPr>
        <w:tabs>
          <w:tab w:val="left" w:pos="675"/>
        </w:tabs>
        <w:rPr>
          <w:rFonts w:ascii="StobiSerif Regular" w:hAnsi="StobiSerif Regular"/>
          <w:sz w:val="22"/>
          <w:szCs w:val="22"/>
          <w:lang w:val="mk-MK"/>
        </w:rPr>
      </w:pPr>
      <w:r w:rsidRPr="00764659">
        <w:rPr>
          <w:rFonts w:ascii="StobiSerif Regular" w:hAnsi="StobiSerif Regular"/>
          <w:sz w:val="22"/>
          <w:szCs w:val="22"/>
          <w:lang w:val="mk-MK"/>
        </w:rPr>
        <w:t>/</w:t>
      </w:r>
    </w:p>
    <w:p w:rsidR="00386833" w:rsidRPr="00764659" w:rsidRDefault="00386833" w:rsidP="00764659">
      <w:pPr>
        <w:shd w:val="clear" w:color="auto" w:fill="CCFFFF"/>
        <w:tabs>
          <w:tab w:val="left" w:pos="675"/>
        </w:tabs>
        <w:rPr>
          <w:rFonts w:ascii="StobiSerif Regular" w:hAnsi="StobiSerif Regular"/>
          <w:b/>
          <w:sz w:val="22"/>
          <w:szCs w:val="22"/>
          <w:lang w:val="mk-MK"/>
        </w:rPr>
      </w:pPr>
      <w:r w:rsidRPr="00764659">
        <w:rPr>
          <w:rFonts w:ascii="StobiSerif Regular" w:hAnsi="StobiSerif Regular"/>
          <w:b/>
          <w:sz w:val="22"/>
          <w:szCs w:val="22"/>
          <w:lang w:val="mk-MK"/>
        </w:rPr>
        <w:t xml:space="preserve">6. </w:t>
      </w:r>
      <w:r w:rsidRPr="00764659">
        <w:rPr>
          <w:rFonts w:ascii="StobiSerif Regular" w:hAnsi="StobiSerif Regular"/>
          <w:b/>
          <w:sz w:val="22"/>
          <w:szCs w:val="22"/>
          <w:lang w:val="mk-MK"/>
        </w:rPr>
        <w:tab/>
        <w:t>Заклучоци и препорачано решение</w:t>
      </w:r>
    </w:p>
    <w:p w:rsidR="00386833" w:rsidRPr="00764659" w:rsidRDefault="00386833" w:rsidP="00764659">
      <w:pPr>
        <w:jc w:val="both"/>
        <w:rPr>
          <w:rFonts w:ascii="StobiSerif Regular" w:hAnsi="StobiSerif Regular"/>
          <w:sz w:val="22"/>
          <w:szCs w:val="22"/>
          <w:lang w:val="ru-RU"/>
        </w:rPr>
      </w:pPr>
    </w:p>
    <w:p w:rsidR="00386833" w:rsidRPr="00764659" w:rsidRDefault="00386833" w:rsidP="00764659">
      <w:pPr>
        <w:ind w:left="720"/>
        <w:jc w:val="both"/>
        <w:rPr>
          <w:rFonts w:ascii="StobiSerif Regular" w:hAnsi="StobiSerif Regular"/>
          <w:sz w:val="22"/>
          <w:szCs w:val="22"/>
          <w:lang w:val="mk-MK"/>
        </w:rPr>
      </w:pPr>
      <w:r w:rsidRPr="00764659">
        <w:rPr>
          <w:rFonts w:ascii="StobiSerif Regular" w:hAnsi="StobiSerif Regular"/>
          <w:sz w:val="22"/>
          <w:szCs w:val="22"/>
          <w:lang w:val="mk-MK"/>
        </w:rPr>
        <w:t>6.1</w:t>
      </w:r>
      <w:r w:rsidRPr="00764659">
        <w:rPr>
          <w:rFonts w:ascii="StobiSerif Regular" w:hAnsi="StobiSerif Regular"/>
          <w:sz w:val="22"/>
          <w:szCs w:val="22"/>
          <w:lang w:val="mk-MK"/>
        </w:rPr>
        <w:tab/>
        <w:t>Споредбен преглед на позитивните и негативните влијанија на можните решенија (опции)</w:t>
      </w:r>
    </w:p>
    <w:p w:rsidR="00386833" w:rsidRPr="00764659" w:rsidRDefault="00386833" w:rsidP="00764659">
      <w:pPr>
        <w:tabs>
          <w:tab w:val="left" w:pos="675"/>
        </w:tabs>
        <w:ind w:left="720"/>
        <w:rPr>
          <w:rFonts w:ascii="StobiSerif Regular" w:hAnsi="StobiSerif Regular"/>
          <w:sz w:val="22"/>
          <w:szCs w:val="22"/>
          <w:lang w:val="mk-MK"/>
        </w:rPr>
      </w:pPr>
    </w:p>
    <w:p w:rsidR="00386833" w:rsidRPr="00764659" w:rsidRDefault="00386833" w:rsidP="00764659">
      <w:pPr>
        <w:ind w:left="720"/>
        <w:jc w:val="both"/>
        <w:rPr>
          <w:rFonts w:ascii="StobiSerif Regular" w:hAnsi="StobiSerif Regular"/>
          <w:sz w:val="22"/>
          <w:szCs w:val="22"/>
          <w:lang w:val="mk-MK"/>
        </w:rPr>
      </w:pPr>
      <w:r w:rsidRPr="00764659">
        <w:rPr>
          <w:rFonts w:ascii="StobiSerif Regular" w:hAnsi="StobiSerif Regular"/>
          <w:sz w:val="22"/>
          <w:szCs w:val="22"/>
          <w:lang w:val="mk-MK"/>
        </w:rPr>
        <w:t>6.2</w:t>
      </w:r>
      <w:r w:rsidRPr="00764659">
        <w:rPr>
          <w:rFonts w:ascii="StobiSerif Regular" w:hAnsi="StobiSerif Regular"/>
          <w:sz w:val="22"/>
          <w:szCs w:val="22"/>
          <w:lang w:val="mk-MK"/>
        </w:rPr>
        <w:tab/>
        <w:t>Ризици во спроведувањето и примената на секое од можните решенија (опции)</w:t>
      </w:r>
    </w:p>
    <w:p w:rsidR="00386833" w:rsidRPr="00764659" w:rsidRDefault="00386833" w:rsidP="00764659">
      <w:pPr>
        <w:tabs>
          <w:tab w:val="left" w:pos="675"/>
        </w:tabs>
        <w:rPr>
          <w:rFonts w:ascii="StobiSerif Regular" w:hAnsi="StobiSerif Regular"/>
          <w:sz w:val="22"/>
          <w:szCs w:val="22"/>
          <w:lang w:val="mk-MK"/>
        </w:rPr>
      </w:pPr>
    </w:p>
    <w:p w:rsidR="00386833" w:rsidRPr="00764659" w:rsidRDefault="00386833" w:rsidP="00764659">
      <w:pPr>
        <w:ind w:firstLine="720"/>
        <w:jc w:val="both"/>
        <w:rPr>
          <w:rFonts w:ascii="StobiSerif Regular" w:hAnsi="StobiSerif Regular"/>
          <w:sz w:val="22"/>
          <w:szCs w:val="22"/>
          <w:lang w:val="mk-MK"/>
        </w:rPr>
      </w:pPr>
      <w:r w:rsidRPr="00764659">
        <w:rPr>
          <w:rFonts w:ascii="StobiSerif Regular" w:hAnsi="StobiSerif Regular"/>
          <w:sz w:val="22"/>
          <w:szCs w:val="22"/>
          <w:lang w:val="mk-MK"/>
        </w:rPr>
        <w:t>6.3</w:t>
      </w:r>
      <w:r w:rsidRPr="00764659">
        <w:rPr>
          <w:rFonts w:ascii="StobiSerif Regular" w:hAnsi="StobiSerif Regular"/>
          <w:sz w:val="22"/>
          <w:szCs w:val="22"/>
          <w:lang w:val="mk-MK"/>
        </w:rPr>
        <w:tab/>
        <w:t>Препорачано решение со образложение</w:t>
      </w:r>
    </w:p>
    <w:p w:rsidR="00386833" w:rsidRPr="00764659" w:rsidRDefault="00386833" w:rsidP="00764659">
      <w:pPr>
        <w:tabs>
          <w:tab w:val="left" w:pos="675"/>
        </w:tabs>
        <w:rPr>
          <w:rFonts w:ascii="StobiSerif Regular" w:hAnsi="StobiSerif Regular"/>
          <w:sz w:val="22"/>
          <w:szCs w:val="22"/>
          <w:lang w:val="mk-MK"/>
        </w:rPr>
      </w:pPr>
    </w:p>
    <w:p w:rsidR="00386833" w:rsidRPr="00764659" w:rsidRDefault="00386833" w:rsidP="00764659">
      <w:pPr>
        <w:shd w:val="clear" w:color="auto" w:fill="CCFFFF"/>
        <w:tabs>
          <w:tab w:val="left" w:pos="675"/>
        </w:tabs>
        <w:rPr>
          <w:rFonts w:ascii="StobiSerif Regular" w:hAnsi="StobiSerif Regular"/>
          <w:b/>
          <w:sz w:val="22"/>
          <w:szCs w:val="22"/>
          <w:lang w:val="mk-MK"/>
        </w:rPr>
      </w:pPr>
      <w:r w:rsidRPr="00764659">
        <w:rPr>
          <w:rFonts w:ascii="StobiSerif Regular" w:hAnsi="StobiSerif Regular"/>
          <w:b/>
          <w:sz w:val="22"/>
          <w:szCs w:val="22"/>
          <w:lang w:val="mk-MK"/>
        </w:rPr>
        <w:t>7.</w:t>
      </w:r>
      <w:r w:rsidRPr="00764659">
        <w:rPr>
          <w:rFonts w:ascii="StobiSerif Regular" w:hAnsi="StobiSerif Regular"/>
          <w:b/>
          <w:sz w:val="22"/>
          <w:szCs w:val="22"/>
          <w:lang w:val="mk-MK"/>
        </w:rPr>
        <w:tab/>
        <w:t>Спроведување на препорачаното решение</w:t>
      </w:r>
    </w:p>
    <w:p w:rsidR="00386833" w:rsidRPr="00764659" w:rsidRDefault="00386833" w:rsidP="00764659">
      <w:pPr>
        <w:jc w:val="both"/>
        <w:rPr>
          <w:rFonts w:ascii="StobiSerif Regular" w:hAnsi="StobiSerif Regular"/>
          <w:sz w:val="22"/>
          <w:szCs w:val="22"/>
          <w:lang w:val="ru-RU"/>
        </w:rPr>
      </w:pPr>
    </w:p>
    <w:p w:rsidR="00386833" w:rsidRPr="00764659" w:rsidRDefault="00386833" w:rsidP="00764659">
      <w:pPr>
        <w:ind w:left="720"/>
        <w:jc w:val="both"/>
        <w:rPr>
          <w:rFonts w:ascii="StobiSerif Regular" w:hAnsi="StobiSerif Regular"/>
          <w:sz w:val="22"/>
          <w:szCs w:val="22"/>
          <w:lang w:val="mk-MK"/>
        </w:rPr>
      </w:pPr>
      <w:r w:rsidRPr="00764659">
        <w:rPr>
          <w:rFonts w:ascii="StobiSerif Regular" w:hAnsi="StobiSerif Regular"/>
          <w:sz w:val="22"/>
          <w:szCs w:val="22"/>
          <w:lang w:val="mk-MK"/>
        </w:rPr>
        <w:t>7.1</w:t>
      </w:r>
      <w:r w:rsidRPr="00764659">
        <w:rPr>
          <w:rFonts w:ascii="StobiSerif Regular" w:hAnsi="StobiSerif Regular"/>
          <w:sz w:val="22"/>
          <w:szCs w:val="22"/>
          <w:lang w:val="mk-MK"/>
        </w:rPr>
        <w:tab/>
        <w:t>Потреба од менување на закони и подзаконска регулатива во областа или други сродни области</w:t>
      </w:r>
    </w:p>
    <w:p w:rsidR="00386833" w:rsidRPr="00764659" w:rsidRDefault="00386833" w:rsidP="00764659">
      <w:pPr>
        <w:tabs>
          <w:tab w:val="left" w:pos="675"/>
        </w:tabs>
        <w:ind w:left="720"/>
        <w:rPr>
          <w:rFonts w:ascii="StobiSerif Regular" w:hAnsi="StobiSerif Regular"/>
          <w:sz w:val="22"/>
          <w:szCs w:val="22"/>
          <w:lang w:val="mk-MK"/>
        </w:rPr>
      </w:pPr>
    </w:p>
    <w:p w:rsidR="00386833" w:rsidRPr="00764659" w:rsidRDefault="00386833" w:rsidP="00764659">
      <w:pPr>
        <w:ind w:left="720"/>
        <w:jc w:val="both"/>
        <w:rPr>
          <w:rFonts w:ascii="StobiSerif Regular" w:hAnsi="StobiSerif Regular"/>
          <w:sz w:val="22"/>
          <w:szCs w:val="22"/>
          <w:lang w:val="mk-MK"/>
        </w:rPr>
      </w:pPr>
      <w:r w:rsidRPr="00764659">
        <w:rPr>
          <w:rFonts w:ascii="StobiSerif Regular" w:hAnsi="StobiSerif Regular"/>
          <w:sz w:val="22"/>
          <w:szCs w:val="22"/>
          <w:lang w:val="mk-MK"/>
        </w:rPr>
        <w:t>7.2</w:t>
      </w:r>
      <w:r w:rsidRPr="00764659">
        <w:rPr>
          <w:rFonts w:ascii="StobiSerif Regular" w:hAnsi="StobiSerif Regular"/>
          <w:sz w:val="22"/>
          <w:szCs w:val="22"/>
          <w:lang w:val="mk-MK"/>
        </w:rPr>
        <w:tab/>
        <w:t>Потребни подзаконски акти и рок за нивно донесување</w:t>
      </w:r>
    </w:p>
    <w:p w:rsidR="00386833" w:rsidRPr="00764659" w:rsidRDefault="00386833" w:rsidP="00764659">
      <w:pPr>
        <w:tabs>
          <w:tab w:val="left" w:pos="675"/>
        </w:tabs>
        <w:ind w:left="720"/>
        <w:rPr>
          <w:rFonts w:ascii="StobiSerif Regular" w:hAnsi="StobiSerif Regular"/>
          <w:sz w:val="22"/>
          <w:szCs w:val="22"/>
          <w:lang w:val="mk-MK"/>
        </w:rPr>
      </w:pPr>
    </w:p>
    <w:p w:rsidR="00386833" w:rsidRPr="00764659" w:rsidRDefault="00386833" w:rsidP="00764659">
      <w:pPr>
        <w:ind w:left="720"/>
        <w:jc w:val="both"/>
        <w:rPr>
          <w:rFonts w:ascii="StobiSerif Regular" w:hAnsi="StobiSerif Regular"/>
          <w:sz w:val="22"/>
          <w:szCs w:val="22"/>
          <w:lang w:val="mk-MK"/>
        </w:rPr>
      </w:pPr>
      <w:r w:rsidRPr="00764659">
        <w:rPr>
          <w:rFonts w:ascii="StobiSerif Regular" w:hAnsi="StobiSerif Regular"/>
          <w:sz w:val="22"/>
          <w:szCs w:val="22"/>
          <w:lang w:val="mk-MK"/>
        </w:rPr>
        <w:t>7.3</w:t>
      </w:r>
      <w:r w:rsidRPr="00764659">
        <w:rPr>
          <w:rFonts w:ascii="StobiSerif Regular" w:hAnsi="StobiSerif Regular"/>
          <w:sz w:val="22"/>
          <w:szCs w:val="22"/>
          <w:lang w:val="mk-MK"/>
        </w:rPr>
        <w:tab/>
        <w:t>Органи на државната управа, државни органи и други органи надлежни за спроведување</w:t>
      </w:r>
    </w:p>
    <w:p w:rsidR="00386833" w:rsidRPr="00764659" w:rsidRDefault="00386833" w:rsidP="00764659">
      <w:pPr>
        <w:tabs>
          <w:tab w:val="left" w:pos="675"/>
        </w:tabs>
        <w:rPr>
          <w:rFonts w:ascii="StobiSerif Regular" w:hAnsi="StobiSerif Regular"/>
          <w:sz w:val="22"/>
          <w:szCs w:val="22"/>
          <w:lang w:val="mk-MK"/>
        </w:rPr>
      </w:pPr>
      <w:r w:rsidRPr="00764659">
        <w:rPr>
          <w:rFonts w:ascii="StobiSerif Regular" w:hAnsi="StobiSerif Regular"/>
          <w:sz w:val="22"/>
          <w:szCs w:val="22"/>
          <w:lang w:val="mk-MK"/>
        </w:rPr>
        <w:t>Центар за управување со кризи и Агенција за катастар на недвижности.</w:t>
      </w:r>
    </w:p>
    <w:p w:rsidR="00386833" w:rsidRPr="00764659" w:rsidRDefault="00386833" w:rsidP="00764659">
      <w:pPr>
        <w:ind w:left="720"/>
        <w:jc w:val="both"/>
        <w:rPr>
          <w:rFonts w:ascii="StobiSerif Regular" w:hAnsi="StobiSerif Regular"/>
          <w:sz w:val="22"/>
          <w:szCs w:val="22"/>
          <w:lang w:val="mk-MK"/>
        </w:rPr>
      </w:pPr>
      <w:r w:rsidRPr="00764659">
        <w:rPr>
          <w:rFonts w:ascii="StobiSerif Regular" w:hAnsi="StobiSerif Regular"/>
          <w:sz w:val="22"/>
          <w:szCs w:val="22"/>
          <w:lang w:val="mk-MK"/>
        </w:rPr>
        <w:t>7.4</w:t>
      </w:r>
      <w:r w:rsidRPr="00764659">
        <w:rPr>
          <w:rFonts w:ascii="StobiSerif Regular" w:hAnsi="StobiSerif Regular"/>
          <w:sz w:val="22"/>
          <w:szCs w:val="22"/>
          <w:lang w:val="mk-MK"/>
        </w:rPr>
        <w:tab/>
        <w:t>Активности за обезбедување на ефикасно спроведување на предлогот на закон</w:t>
      </w:r>
    </w:p>
    <w:p w:rsidR="00386833" w:rsidRPr="00764659" w:rsidRDefault="00386833" w:rsidP="00764659">
      <w:pPr>
        <w:tabs>
          <w:tab w:val="left" w:pos="675"/>
        </w:tabs>
        <w:rPr>
          <w:rFonts w:ascii="StobiSerif Regular" w:hAnsi="StobiSerif Regular"/>
          <w:sz w:val="22"/>
          <w:szCs w:val="22"/>
          <w:lang w:val="mk-MK"/>
        </w:rPr>
      </w:pPr>
    </w:p>
    <w:p w:rsidR="00386833" w:rsidRPr="00764659" w:rsidRDefault="00386833" w:rsidP="00764659">
      <w:pPr>
        <w:shd w:val="clear" w:color="auto" w:fill="CCFFFF"/>
        <w:tabs>
          <w:tab w:val="left" w:pos="675"/>
        </w:tabs>
        <w:rPr>
          <w:rFonts w:ascii="StobiSerif Regular" w:hAnsi="StobiSerif Regular"/>
          <w:b/>
          <w:sz w:val="22"/>
          <w:szCs w:val="22"/>
          <w:lang w:val="mk-MK"/>
        </w:rPr>
      </w:pPr>
      <w:r w:rsidRPr="00764659">
        <w:rPr>
          <w:rFonts w:ascii="StobiSerif Regular" w:hAnsi="StobiSerif Regular"/>
          <w:b/>
          <w:sz w:val="22"/>
          <w:szCs w:val="22"/>
          <w:lang w:val="mk-MK"/>
        </w:rPr>
        <w:t>8.</w:t>
      </w:r>
      <w:r w:rsidRPr="00764659">
        <w:rPr>
          <w:rFonts w:ascii="StobiSerif Regular" w:hAnsi="StobiSerif Regular"/>
          <w:b/>
          <w:sz w:val="22"/>
          <w:szCs w:val="22"/>
          <w:lang w:val="mk-MK"/>
        </w:rPr>
        <w:tab/>
        <w:t>Следење и евалуација</w:t>
      </w:r>
    </w:p>
    <w:p w:rsidR="00386833" w:rsidRPr="00764659" w:rsidRDefault="00386833" w:rsidP="00764659">
      <w:pPr>
        <w:jc w:val="both"/>
        <w:rPr>
          <w:rFonts w:ascii="StobiSerif Regular" w:hAnsi="StobiSerif Regular"/>
          <w:sz w:val="22"/>
          <w:szCs w:val="22"/>
          <w:lang w:val="ru-RU"/>
        </w:rPr>
      </w:pPr>
    </w:p>
    <w:p w:rsidR="00386833" w:rsidRPr="00764659" w:rsidRDefault="00386833" w:rsidP="00764659">
      <w:pPr>
        <w:ind w:left="720"/>
        <w:jc w:val="both"/>
        <w:rPr>
          <w:rFonts w:ascii="StobiSerif Regular" w:hAnsi="StobiSerif Regular"/>
          <w:sz w:val="22"/>
          <w:szCs w:val="22"/>
          <w:lang w:val="mk-MK"/>
        </w:rPr>
      </w:pPr>
      <w:r w:rsidRPr="00764659">
        <w:rPr>
          <w:rFonts w:ascii="StobiSerif Regular" w:hAnsi="StobiSerif Regular"/>
          <w:sz w:val="22"/>
          <w:szCs w:val="22"/>
          <w:lang w:val="mk-MK"/>
        </w:rPr>
        <w:t xml:space="preserve">8.1 </w:t>
      </w:r>
      <w:r w:rsidRPr="00764659">
        <w:rPr>
          <w:rFonts w:ascii="StobiSerif Regular" w:hAnsi="StobiSerif Regular"/>
          <w:sz w:val="22"/>
          <w:szCs w:val="22"/>
          <w:lang w:val="mk-MK"/>
        </w:rPr>
        <w:tab/>
        <w:t xml:space="preserve">Начин на следење на спроведувањето </w:t>
      </w:r>
    </w:p>
    <w:p w:rsidR="00386833" w:rsidRPr="00764659" w:rsidRDefault="00386833" w:rsidP="00764659">
      <w:pPr>
        <w:tabs>
          <w:tab w:val="left" w:pos="675"/>
        </w:tabs>
        <w:ind w:left="720"/>
        <w:rPr>
          <w:rFonts w:ascii="StobiSerif Regular" w:hAnsi="StobiSerif Regular"/>
          <w:sz w:val="22"/>
          <w:szCs w:val="22"/>
          <w:lang w:val="mk-MK"/>
        </w:rPr>
      </w:pPr>
    </w:p>
    <w:p w:rsidR="00386833" w:rsidRPr="00764659" w:rsidRDefault="00386833" w:rsidP="00764659">
      <w:pPr>
        <w:ind w:left="720"/>
        <w:jc w:val="both"/>
        <w:rPr>
          <w:rFonts w:ascii="StobiSerif Regular" w:hAnsi="StobiSerif Regular"/>
          <w:sz w:val="22"/>
          <w:szCs w:val="22"/>
          <w:lang w:val="en-US"/>
        </w:rPr>
      </w:pPr>
      <w:r w:rsidRPr="00764659">
        <w:rPr>
          <w:rFonts w:ascii="StobiSerif Regular" w:hAnsi="StobiSerif Regular"/>
          <w:sz w:val="22"/>
          <w:szCs w:val="22"/>
          <w:lang w:val="mk-MK"/>
        </w:rPr>
        <w:t>8.2</w:t>
      </w:r>
      <w:r w:rsidRPr="00764659">
        <w:rPr>
          <w:rFonts w:ascii="StobiSerif Regular" w:hAnsi="StobiSerif Regular"/>
          <w:sz w:val="22"/>
          <w:szCs w:val="22"/>
          <w:lang w:val="mk-MK"/>
        </w:rPr>
        <w:tab/>
        <w:t xml:space="preserve">Евалуација на ефектите од предлогот на закон и рокови </w:t>
      </w:r>
    </w:p>
    <w:p w:rsidR="00386833" w:rsidRPr="00764659" w:rsidRDefault="00386833" w:rsidP="00764659">
      <w:pPr>
        <w:ind w:left="720"/>
        <w:jc w:val="both"/>
        <w:rPr>
          <w:rFonts w:ascii="StobiSerif Regular" w:hAnsi="StobiSerif Regular"/>
          <w:sz w:val="22"/>
          <w:szCs w:val="22"/>
          <w:lang w:val="en-US"/>
        </w:rPr>
      </w:pPr>
    </w:p>
    <w:p w:rsidR="00386833" w:rsidRPr="00764659" w:rsidRDefault="00386833" w:rsidP="00764659">
      <w:pPr>
        <w:ind w:left="720"/>
        <w:jc w:val="both"/>
        <w:rPr>
          <w:rFonts w:ascii="StobiSerif Regular" w:hAnsi="StobiSerif Regular"/>
          <w:sz w:val="22"/>
          <w:szCs w:val="22"/>
          <w:lang w:val="en-US"/>
        </w:rPr>
      </w:pPr>
    </w:p>
    <w:p w:rsidR="00386833" w:rsidRPr="00764659" w:rsidRDefault="00386833" w:rsidP="00764659">
      <w:pPr>
        <w:rPr>
          <w:rFonts w:ascii="StobiSerif Regular" w:hAnsi="StobiSerif Regular"/>
          <w:sz w:val="22"/>
          <w:szCs w:val="22"/>
          <w:lang w:val="mk-MK"/>
        </w:rPr>
      </w:pPr>
    </w:p>
    <w:p w:rsidR="00386833" w:rsidRPr="00764659" w:rsidRDefault="00386833" w:rsidP="00764659">
      <w:pPr>
        <w:rPr>
          <w:rFonts w:ascii="StobiSerif Regular" w:hAnsi="StobiSerif Regular"/>
          <w:sz w:val="22"/>
          <w:szCs w:val="22"/>
        </w:rPr>
      </w:pPr>
    </w:p>
    <w:sectPr w:rsidR="00386833" w:rsidRPr="00764659" w:rsidSect="005945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I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D0F5C"/>
    <w:multiLevelType w:val="hybridMultilevel"/>
    <w:tmpl w:val="A23A12B2"/>
    <w:lvl w:ilvl="0" w:tplc="0D6EB5C4">
      <w:start w:val="4"/>
      <w:numFmt w:val="decimal"/>
      <w:lvlText w:val="%1."/>
      <w:lvlJc w:val="left"/>
      <w:pPr>
        <w:tabs>
          <w:tab w:val="num" w:pos="675"/>
        </w:tabs>
        <w:ind w:left="675" w:hanging="675"/>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659"/>
    <w:rsid w:val="001A6995"/>
    <w:rsid w:val="001C50D3"/>
    <w:rsid w:val="00386833"/>
    <w:rsid w:val="0059455C"/>
    <w:rsid w:val="00694CF1"/>
    <w:rsid w:val="00764659"/>
    <w:rsid w:val="009C2131"/>
    <w:rsid w:val="00DB7DF0"/>
    <w:rsid w:val="00DD5776"/>
    <w:rsid w:val="00F153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59"/>
    <w:rPr>
      <w:rFonts w:ascii="Times New Roman" w:eastAsia="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4659"/>
    <w:pPr>
      <w:spacing w:after="200" w:line="276" w:lineRule="auto"/>
      <w:ind w:left="720"/>
      <w:contextualSpacing/>
    </w:pPr>
    <w:rPr>
      <w:rFonts w:ascii="Calibri" w:eastAsia="Calibri" w:hAnsi="Calibri"/>
      <w:sz w:val="22"/>
      <w:szCs w:val="22"/>
      <w:lang w:val="mk-MK"/>
    </w:rPr>
  </w:style>
  <w:style w:type="paragraph" w:customStyle="1" w:styleId="Default">
    <w:name w:val="Default"/>
    <w:uiPriority w:val="99"/>
    <w:rsid w:val="00764659"/>
    <w:pPr>
      <w:autoSpaceDE w:val="0"/>
      <w:autoSpaceDN w:val="0"/>
      <w:adjustRightInd w:val="0"/>
    </w:pPr>
    <w:rPr>
      <w:rFonts w:ascii="DIN" w:eastAsia="Times New Roman" w:hAnsi="DIN" w:cs="DIN"/>
      <w:color w:val="000000"/>
      <w:sz w:val="24"/>
      <w:szCs w:val="24"/>
    </w:rPr>
  </w:style>
  <w:style w:type="character" w:customStyle="1" w:styleId="WW-DefaultParagraphFont">
    <w:name w:val="WW-Default Paragraph Font"/>
    <w:uiPriority w:val="99"/>
    <w:rsid w:val="00764659"/>
  </w:style>
  <w:style w:type="paragraph" w:styleId="DocumentMap">
    <w:name w:val="Document Map"/>
    <w:basedOn w:val="Normal"/>
    <w:link w:val="DocumentMapChar"/>
    <w:uiPriority w:val="99"/>
    <w:semiHidden/>
    <w:rsid w:val="00F1532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D523A"/>
    <w:rPr>
      <w:rFonts w:ascii="Times New Roman" w:eastAsia="Times New Roman" w:hAnsi="Times New Roman"/>
      <w:sz w:val="0"/>
      <w:szCs w:val="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175BE3A973E8974CB1E36BCBBBED47D0" ma:contentTypeVersion="" ma:contentTypeDescription="" ma:contentTypeScope="" ma:versionID="69cd51ac40e5f80394dbea1869b89641">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27</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47F20FA4-2B26-47CA-A440-0D5B6CF6191A}"/>
</file>

<file path=customXml/itemProps2.xml><?xml version="1.0" encoding="utf-8"?>
<ds:datastoreItem xmlns:ds="http://schemas.openxmlformats.org/officeDocument/2006/customXml" ds:itemID="{6C870D41-7AD2-423A-854C-5A5F47864273}"/>
</file>

<file path=docProps/app.xml><?xml version="1.0" encoding="utf-8"?>
<Properties xmlns="http://schemas.openxmlformats.org/officeDocument/2006/extended-properties" xmlns:vt="http://schemas.openxmlformats.org/officeDocument/2006/docPropsVTypes">
  <Template>Normal_Wordconv.dotm</Template>
  <TotalTime>0</TotalTime>
  <Pages>4</Pages>
  <Words>720</Words>
  <Characters>4106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Нацрт извештај за проценка на влијанието на регулативата</dc:title>
  <dc:subject/>
  <dc:creator>irenat</dc:creator>
  <cp:keywords/>
  <dc:description/>
  <cp:lastModifiedBy>ruskap</cp:lastModifiedBy>
  <cp:revision>2</cp:revision>
  <dcterms:created xsi:type="dcterms:W3CDTF">2015-04-23T12:46:00Z</dcterms:created>
  <dcterms:modified xsi:type="dcterms:W3CDTF">2015-04-23T12:46:00Z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0x01010086FCDBBC86574C7ABFC9FD714B80DE6C00175BE3A973E8974CB1E36BCBBBED47D0</vt:lpwstr>
  </property>
  <property fmtid="{D5CDD505-2E9C-101B-9397-08002B2CF9AE}" pid="3" name="CreatedBy">
    <vt:lpwstr>i:0e.t|e-vlada.mk sts|ruska.petrovska</vt:lpwstr>
  </property>
  <property fmtid="{D5CDD505-2E9C-101B-9397-08002B2CF9AE}" pid="4" name="ModifiedBy">
    <vt:lpwstr>i:0e.t|e-vlada.mk sts|ruska.petrovska</vt:lpwstr>
  </property>
</Properties>
</file>