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D1" w:rsidRDefault="008371D1" w:rsidP="008371D1">
      <w:pPr>
        <w:jc w:val="center"/>
        <w:rPr>
          <w:rFonts w:ascii="StobiSerifPro" w:hAnsi="StobiSerifPro"/>
          <w:b/>
          <w:sz w:val="20"/>
          <w:szCs w:val="20"/>
          <w:lang w:val="mk-MK"/>
        </w:rPr>
      </w:pPr>
      <w:r>
        <w:rPr>
          <w:rFonts w:ascii="StobiSerifPro" w:hAnsi="StobiSerifPro"/>
          <w:b/>
          <w:sz w:val="20"/>
          <w:szCs w:val="20"/>
          <w:lang w:val="mk-MK"/>
        </w:rPr>
        <w:t>ИЗВЕШТАЈ ЗА ПРОЦЕНКА НА ВЛИЈАНИЕТО НА РЕГУЛАТИВАТА</w:t>
      </w:r>
    </w:p>
    <w:p w:rsidR="008371D1" w:rsidRDefault="008371D1" w:rsidP="008371D1">
      <w:pPr>
        <w:jc w:val="center"/>
        <w:rPr>
          <w:rFonts w:ascii="StobiSerifPro" w:hAnsi="StobiSerifPro"/>
          <w:b/>
          <w:sz w:val="20"/>
          <w:szCs w:val="20"/>
          <w:lang w:val="mk-MK"/>
        </w:rPr>
      </w:pPr>
    </w:p>
    <w:p w:rsidR="008371D1" w:rsidRDefault="008371D1" w:rsidP="008371D1">
      <w:pPr>
        <w:jc w:val="center"/>
        <w:rPr>
          <w:rFonts w:ascii="StobiSerifPro" w:hAnsi="StobiSerifPro"/>
          <w:b/>
          <w:sz w:val="20"/>
          <w:szCs w:val="20"/>
          <w:lang w:val="mk-MK"/>
        </w:rPr>
      </w:pPr>
    </w:p>
    <w:p w:rsidR="008371D1" w:rsidRDefault="008371D1" w:rsidP="008371D1">
      <w:pPr>
        <w:rPr>
          <w:rFonts w:ascii="StobiSerifPro" w:hAnsi="StobiSerifPro"/>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196"/>
      </w:tblGrid>
      <w:tr w:rsidR="008371D1" w:rsidTr="008371D1">
        <w:trPr>
          <w:trHeight w:val="622"/>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Назив на министерство:</w:t>
            </w:r>
          </w:p>
        </w:tc>
        <w:tc>
          <w:tcPr>
            <w:tcW w:w="6196" w:type="dxa"/>
            <w:tcBorders>
              <w:top w:val="single" w:sz="4" w:space="0" w:color="auto"/>
              <w:left w:val="single" w:sz="4" w:space="0" w:color="auto"/>
              <w:bottom w:val="single" w:sz="4" w:space="0" w:color="auto"/>
              <w:right w:val="single" w:sz="4" w:space="0" w:color="auto"/>
            </w:tcBorders>
          </w:tcPr>
          <w:p w:rsidR="008371D1" w:rsidRDefault="008371D1">
            <w:pPr>
              <w:rPr>
                <w:rFonts w:ascii="StobiSerifPro" w:hAnsi="StobiSerifPro"/>
                <w:sz w:val="20"/>
                <w:szCs w:val="20"/>
                <w:lang w:val="mk-MK"/>
              </w:rPr>
            </w:pPr>
          </w:p>
          <w:p w:rsidR="008371D1" w:rsidRDefault="008371D1">
            <w:pPr>
              <w:rPr>
                <w:rFonts w:ascii="StobiSerifPro" w:hAnsi="StobiSerifPro"/>
                <w:sz w:val="20"/>
                <w:szCs w:val="20"/>
                <w:lang w:val="mk-MK"/>
              </w:rPr>
            </w:pPr>
            <w:r>
              <w:rPr>
                <w:rFonts w:ascii="StobiSerifPro" w:hAnsi="StobiSerifPro"/>
                <w:sz w:val="20"/>
                <w:szCs w:val="20"/>
                <w:lang w:val="mk-MK"/>
              </w:rPr>
              <w:t>Министерство за одбрана</w:t>
            </w:r>
          </w:p>
        </w:tc>
      </w:tr>
      <w:tr w:rsidR="008371D1" w:rsidTr="008371D1">
        <w:trPr>
          <w:trHeight w:val="622"/>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Назив на предлогот на закон:</w:t>
            </w:r>
          </w:p>
        </w:tc>
        <w:tc>
          <w:tcPr>
            <w:tcW w:w="6196" w:type="dxa"/>
            <w:tcBorders>
              <w:top w:val="single" w:sz="4" w:space="0" w:color="auto"/>
              <w:left w:val="single" w:sz="4" w:space="0" w:color="auto"/>
              <w:bottom w:val="single" w:sz="4" w:space="0" w:color="auto"/>
              <w:right w:val="single" w:sz="4" w:space="0" w:color="auto"/>
            </w:tcBorders>
            <w:hideMark/>
          </w:tcPr>
          <w:p w:rsidR="008371D1" w:rsidRPr="00542809" w:rsidRDefault="008371D1" w:rsidP="00DA29BD">
            <w:pPr>
              <w:rPr>
                <w:rFonts w:ascii="StobiSerifPro" w:hAnsi="StobiSerifPro"/>
                <w:sz w:val="20"/>
                <w:szCs w:val="20"/>
                <w:lang w:val="mk-MK"/>
              </w:rPr>
            </w:pPr>
            <w:r>
              <w:rPr>
                <w:rFonts w:ascii="StobiSerifPro" w:hAnsi="StobiSerifPro"/>
                <w:sz w:val="20"/>
                <w:szCs w:val="20"/>
                <w:lang w:val="mk-MK"/>
              </w:rPr>
              <w:t xml:space="preserve">Предлог - Закон за </w:t>
            </w:r>
            <w:r w:rsidR="00542809">
              <w:rPr>
                <w:rFonts w:ascii="StobiSerifPro" w:hAnsi="StobiSerifPro"/>
                <w:sz w:val="20"/>
                <w:szCs w:val="20"/>
                <w:lang w:val="mk-MK"/>
              </w:rPr>
              <w:t xml:space="preserve">дополнување на Законот </w:t>
            </w:r>
            <w:r w:rsidR="00DA29BD">
              <w:rPr>
                <w:rFonts w:ascii="StobiSerifPro" w:hAnsi="StobiSerifPro"/>
                <w:sz w:val="20"/>
                <w:szCs w:val="20"/>
                <w:lang w:val="mk-MK"/>
              </w:rPr>
              <w:t>одбрана</w:t>
            </w:r>
          </w:p>
        </w:tc>
      </w:tr>
      <w:tr w:rsidR="008371D1" w:rsidTr="008371D1">
        <w:trPr>
          <w:trHeight w:val="622"/>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Одговорно лице и контакт информации:</w:t>
            </w:r>
          </w:p>
        </w:tc>
        <w:tc>
          <w:tcPr>
            <w:tcW w:w="6196" w:type="dxa"/>
            <w:tcBorders>
              <w:top w:val="single" w:sz="4" w:space="0" w:color="auto"/>
              <w:left w:val="single" w:sz="4" w:space="0" w:color="auto"/>
              <w:bottom w:val="single" w:sz="4" w:space="0" w:color="auto"/>
              <w:right w:val="single" w:sz="4" w:space="0" w:color="auto"/>
            </w:tcBorders>
            <w:hideMark/>
          </w:tcPr>
          <w:p w:rsidR="008371D1" w:rsidRDefault="00542809">
            <w:pPr>
              <w:rPr>
                <w:rFonts w:ascii="StobiSerifPro" w:hAnsi="StobiSerifPro"/>
                <w:sz w:val="20"/>
                <w:szCs w:val="20"/>
                <w:lang w:val="mk-MK"/>
              </w:rPr>
            </w:pPr>
            <w:r>
              <w:rPr>
                <w:rFonts w:ascii="StobiSerifPro" w:hAnsi="StobiSerifPro"/>
                <w:sz w:val="20"/>
                <w:szCs w:val="20"/>
                <w:lang w:val="mk-MK"/>
              </w:rPr>
              <w:t>Ирена Станковска и Митар Петковски</w:t>
            </w:r>
          </w:p>
          <w:p w:rsidR="008371D1" w:rsidRDefault="00FC0D34">
            <w:pPr>
              <w:rPr>
                <w:rFonts w:ascii="StobiSerifPro" w:hAnsi="StobiSerifPro"/>
                <w:sz w:val="20"/>
                <w:szCs w:val="20"/>
              </w:rPr>
            </w:pPr>
            <w:hyperlink r:id="rId6" w:history="1">
              <w:r w:rsidR="00542809" w:rsidRPr="009E3D35">
                <w:rPr>
                  <w:rStyle w:val="Hyperlink"/>
                  <w:rFonts w:ascii="StobiSerifPro" w:hAnsi="StobiSerifPro"/>
                  <w:sz w:val="20"/>
                  <w:szCs w:val="20"/>
                </w:rPr>
                <w:t xml:space="preserve"> irena.stankovska@morm.gov.mk</w:t>
              </w:r>
            </w:hyperlink>
          </w:p>
          <w:p w:rsidR="00542809" w:rsidRDefault="00542809">
            <w:pPr>
              <w:rPr>
                <w:rFonts w:ascii="StobiSerifPro" w:hAnsi="StobiSerifPro"/>
                <w:sz w:val="20"/>
                <w:szCs w:val="20"/>
              </w:rPr>
            </w:pPr>
            <w:r>
              <w:rPr>
                <w:rFonts w:ascii="StobiSerifPro" w:hAnsi="StobiSerifPro"/>
                <w:sz w:val="20"/>
                <w:szCs w:val="20"/>
              </w:rPr>
              <w:t>mitarp@morm.gov.mk</w:t>
            </w:r>
          </w:p>
        </w:tc>
      </w:tr>
      <w:tr w:rsidR="008371D1" w:rsidTr="008371D1">
        <w:trPr>
          <w:trHeight w:val="939"/>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highlight w:val="yellow"/>
                <w:lang w:val="mk-MK"/>
              </w:rPr>
            </w:pPr>
            <w:r>
              <w:rPr>
                <w:rFonts w:ascii="StobiSerifPro" w:hAnsi="StobiSerifPro"/>
                <w:sz w:val="20"/>
                <w:szCs w:val="20"/>
                <w:lang w:val="mk-MK"/>
              </w:rPr>
              <w:t>Вид на Извештај</w:t>
            </w:r>
          </w:p>
        </w:tc>
        <w:bookmarkStart w:id="0" w:name="Check11"/>
        <w:tc>
          <w:tcPr>
            <w:tcW w:w="6196" w:type="dxa"/>
            <w:tcBorders>
              <w:top w:val="single" w:sz="4" w:space="0" w:color="auto"/>
              <w:left w:val="single" w:sz="4" w:space="0" w:color="auto"/>
              <w:bottom w:val="single" w:sz="4" w:space="0" w:color="auto"/>
              <w:right w:val="single" w:sz="4" w:space="0" w:color="auto"/>
            </w:tcBorders>
          </w:tcPr>
          <w:p w:rsidR="008371D1" w:rsidRDefault="00FC0D34">
            <w:pPr>
              <w:pStyle w:val="ListParagraph"/>
              <w:spacing w:after="0" w:line="240" w:lineRule="auto"/>
              <w:ind w:left="360"/>
              <w:rPr>
                <w:rFonts w:ascii="StobiSerifPro" w:hAnsi="StobiSerifPro"/>
                <w:sz w:val="20"/>
                <w:szCs w:val="20"/>
              </w:rPr>
            </w:pPr>
            <w:r>
              <w:fldChar w:fldCharType="begin">
                <w:ffData>
                  <w:name w:val="Check11"/>
                  <w:enabled/>
                  <w:calcOnExit w:val="0"/>
                  <w:checkBox>
                    <w:sizeAuto/>
                    <w:default w:val="1"/>
                  </w:checkBox>
                </w:ffData>
              </w:fldChar>
            </w:r>
            <w:r w:rsidR="008371D1">
              <w:rPr>
                <w:rFonts w:ascii="StobiSerifPro" w:hAnsi="StobiSerifPro"/>
                <w:sz w:val="20"/>
                <w:szCs w:val="20"/>
              </w:rPr>
              <w:instrText xml:space="preserve"> FORMCHECKBOX </w:instrText>
            </w:r>
            <w:r>
              <w:fldChar w:fldCharType="end"/>
            </w:r>
            <w:bookmarkEnd w:id="0"/>
            <w:r w:rsidR="008371D1">
              <w:rPr>
                <w:rFonts w:ascii="StobiSerifPro" w:hAnsi="StobiSerifPro"/>
                <w:sz w:val="20"/>
                <w:szCs w:val="20"/>
              </w:rPr>
              <w:t>Нацрт</w:t>
            </w:r>
          </w:p>
          <w:bookmarkStart w:id="1" w:name="Check12"/>
          <w:p w:rsidR="008371D1" w:rsidRDefault="00FC0D34">
            <w:pPr>
              <w:pStyle w:val="ListParagraph"/>
              <w:spacing w:after="0" w:line="240" w:lineRule="auto"/>
              <w:ind w:left="360"/>
              <w:rPr>
                <w:rFonts w:ascii="StobiSerifPro" w:hAnsi="StobiSerifPro"/>
                <w:sz w:val="20"/>
                <w:szCs w:val="20"/>
                <w:u w:val="single"/>
              </w:rPr>
            </w:pPr>
            <w:r>
              <w:fldChar w:fldCharType="begin">
                <w:ffData>
                  <w:name w:val="Check12"/>
                  <w:enabled/>
                  <w:calcOnExit w:val="0"/>
                  <w:checkBox>
                    <w:sizeAuto/>
                    <w:default w:val="0"/>
                  </w:checkBox>
                </w:ffData>
              </w:fldChar>
            </w:r>
            <w:r w:rsidR="008371D1">
              <w:rPr>
                <w:rFonts w:ascii="StobiSerifPro" w:hAnsi="StobiSerifPro"/>
                <w:sz w:val="20"/>
                <w:szCs w:val="20"/>
              </w:rPr>
              <w:instrText xml:space="preserve"> FORMCHECKBOX </w:instrText>
            </w:r>
            <w:r>
              <w:fldChar w:fldCharType="end"/>
            </w:r>
            <w:bookmarkEnd w:id="1"/>
            <w:r w:rsidR="008371D1">
              <w:rPr>
                <w:rFonts w:ascii="StobiSerifPro" w:hAnsi="StobiSerifPro"/>
                <w:sz w:val="20"/>
                <w:szCs w:val="20"/>
              </w:rPr>
              <w:t>Предлог</w:t>
            </w:r>
            <w:r w:rsidR="008371D1">
              <w:rPr>
                <w:rFonts w:ascii="StobiSerifPro" w:hAnsi="StobiSerifPro"/>
                <w:sz w:val="20"/>
                <w:szCs w:val="20"/>
                <w:u w:val="single"/>
              </w:rPr>
              <w:t xml:space="preserve"> </w:t>
            </w:r>
          </w:p>
          <w:p w:rsidR="008371D1" w:rsidRDefault="008371D1">
            <w:pPr>
              <w:pStyle w:val="ListParagraph"/>
              <w:spacing w:after="0" w:line="240" w:lineRule="auto"/>
              <w:rPr>
                <w:rFonts w:ascii="StobiSerifPro" w:hAnsi="StobiSerifPro"/>
                <w:sz w:val="20"/>
                <w:szCs w:val="20"/>
              </w:rPr>
            </w:pPr>
          </w:p>
        </w:tc>
      </w:tr>
      <w:tr w:rsidR="008371D1" w:rsidTr="008371D1">
        <w:trPr>
          <w:trHeight w:val="1243"/>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Обврската за подготовка на предлогот на закон произлегува од:</w:t>
            </w:r>
          </w:p>
        </w:tc>
        <w:tc>
          <w:tcPr>
            <w:tcW w:w="6196" w:type="dxa"/>
            <w:tcBorders>
              <w:top w:val="single" w:sz="4" w:space="0" w:color="auto"/>
              <w:left w:val="single" w:sz="4" w:space="0" w:color="auto"/>
              <w:bottom w:val="single" w:sz="4" w:space="0" w:color="auto"/>
              <w:right w:val="single" w:sz="4" w:space="0" w:color="auto"/>
            </w:tcBorders>
            <w:hideMark/>
          </w:tcPr>
          <w:p w:rsidR="008371D1" w:rsidRDefault="00FC0D34">
            <w:pPr>
              <w:pStyle w:val="ListParagraph"/>
              <w:spacing w:after="0" w:line="240" w:lineRule="auto"/>
              <w:ind w:left="360"/>
              <w:rPr>
                <w:rFonts w:ascii="StobiSerifPro" w:hAnsi="StobiSerifPro"/>
                <w:sz w:val="20"/>
                <w:szCs w:val="20"/>
              </w:rPr>
            </w:pPr>
            <w:r w:rsidRPr="00FC0D34">
              <w:rPr>
                <w:rFonts w:ascii="StobiSerifPro" w:hAnsi="StobiSerifPro"/>
                <w:sz w:val="20"/>
                <w:szCs w:val="20"/>
                <w:lang w:val="en-US"/>
              </w:rPr>
              <w:fldChar w:fldCharType="begin">
                <w:ffData>
                  <w:name w:val="Check13"/>
                  <w:enabled/>
                  <w:calcOnExit w:val="0"/>
                  <w:checkBox>
                    <w:sizeAuto/>
                    <w:default w:val="0"/>
                  </w:checkBox>
                </w:ffData>
              </w:fldChar>
            </w:r>
            <w:bookmarkStart w:id="2" w:name="Check13"/>
            <w:r w:rsidR="008371D1">
              <w:rPr>
                <w:rFonts w:ascii="StobiSerifPro" w:hAnsi="StobiSerifPro"/>
                <w:sz w:val="20"/>
                <w:szCs w:val="20"/>
                <w:lang w:val="ru-RU"/>
              </w:rPr>
              <w:instrText xml:space="preserve"> </w:instrText>
            </w:r>
            <w:r w:rsidR="008371D1">
              <w:rPr>
                <w:rFonts w:ascii="StobiSerifPro" w:hAnsi="StobiSerifPro"/>
                <w:sz w:val="20"/>
                <w:szCs w:val="20"/>
                <w:lang w:val="en-US"/>
              </w:rPr>
              <w:instrText>FORMCHECKBOX</w:instrText>
            </w:r>
            <w:r w:rsidR="008371D1">
              <w:rPr>
                <w:rFonts w:ascii="StobiSerifPro" w:hAnsi="StobiSerifPro"/>
                <w:sz w:val="20"/>
                <w:szCs w:val="20"/>
                <w:lang w:val="ru-RU"/>
              </w:rPr>
              <w:instrText xml:space="preserve"> </w:instrText>
            </w:r>
            <w:r>
              <w:fldChar w:fldCharType="end"/>
            </w:r>
            <w:bookmarkEnd w:id="2"/>
            <w:r w:rsidR="008371D1">
              <w:rPr>
                <w:rFonts w:ascii="StobiSerifPro" w:hAnsi="StobiSerifPro"/>
                <w:sz w:val="20"/>
                <w:szCs w:val="20"/>
              </w:rPr>
              <w:t>Годишната програма за работа на Владата на Република</w:t>
            </w:r>
          </w:p>
          <w:p w:rsidR="008371D1" w:rsidRDefault="008371D1">
            <w:pPr>
              <w:pStyle w:val="ListParagraph"/>
              <w:spacing w:after="0" w:line="240" w:lineRule="auto"/>
              <w:ind w:left="360"/>
              <w:rPr>
                <w:rFonts w:ascii="StobiSerifPro" w:hAnsi="StobiSerifPro"/>
                <w:sz w:val="20"/>
                <w:szCs w:val="20"/>
              </w:rPr>
            </w:pPr>
            <w:r>
              <w:rPr>
                <w:rFonts w:ascii="StobiSerifPro" w:hAnsi="StobiSerifPro"/>
                <w:sz w:val="20"/>
                <w:szCs w:val="20"/>
              </w:rPr>
              <w:t xml:space="preserve">      Македонија</w:t>
            </w:r>
          </w:p>
          <w:p w:rsidR="008371D1" w:rsidRDefault="00FC0D34">
            <w:pPr>
              <w:pStyle w:val="ListParagraph"/>
              <w:spacing w:after="0" w:line="240" w:lineRule="auto"/>
              <w:ind w:left="360"/>
              <w:rPr>
                <w:rFonts w:ascii="StobiSerifPro" w:hAnsi="StobiSerifPro"/>
                <w:sz w:val="20"/>
                <w:szCs w:val="20"/>
              </w:rPr>
            </w:pPr>
            <w:r w:rsidRPr="00FC0D34">
              <w:rPr>
                <w:rFonts w:ascii="StobiSerifPro" w:hAnsi="StobiSerifPro"/>
                <w:sz w:val="20"/>
                <w:szCs w:val="20"/>
                <w:lang w:val="en-US"/>
              </w:rPr>
              <w:fldChar w:fldCharType="begin">
                <w:ffData>
                  <w:name w:val="Check14"/>
                  <w:enabled/>
                  <w:calcOnExit w:val="0"/>
                  <w:checkBox>
                    <w:sizeAuto/>
                    <w:default w:val="0"/>
                  </w:checkBox>
                </w:ffData>
              </w:fldChar>
            </w:r>
            <w:bookmarkStart w:id="3" w:name="Check14"/>
            <w:r w:rsidR="008371D1">
              <w:rPr>
                <w:rFonts w:ascii="StobiSerifPro" w:hAnsi="StobiSerifPro"/>
                <w:sz w:val="20"/>
                <w:szCs w:val="20"/>
                <w:lang w:val="ru-RU"/>
              </w:rPr>
              <w:instrText xml:space="preserve"> </w:instrText>
            </w:r>
            <w:r w:rsidR="008371D1">
              <w:rPr>
                <w:rFonts w:ascii="StobiSerifPro" w:hAnsi="StobiSerifPro"/>
                <w:sz w:val="20"/>
                <w:szCs w:val="20"/>
                <w:lang w:val="en-US"/>
              </w:rPr>
              <w:instrText>FORMCHECKBOX</w:instrText>
            </w:r>
            <w:r w:rsidR="008371D1">
              <w:rPr>
                <w:rFonts w:ascii="StobiSerifPro" w:hAnsi="StobiSerifPro"/>
                <w:sz w:val="20"/>
                <w:szCs w:val="20"/>
                <w:lang w:val="ru-RU"/>
              </w:rPr>
              <w:instrText xml:space="preserve"> </w:instrText>
            </w:r>
            <w:r>
              <w:fldChar w:fldCharType="end"/>
            </w:r>
            <w:bookmarkEnd w:id="3"/>
            <w:r w:rsidR="008371D1">
              <w:rPr>
                <w:rFonts w:ascii="StobiSerifPro" w:hAnsi="StobiSerifPro"/>
                <w:sz w:val="20"/>
                <w:szCs w:val="20"/>
              </w:rPr>
              <w:t>НПАА</w:t>
            </w:r>
          </w:p>
          <w:bookmarkStart w:id="4" w:name="Check16"/>
          <w:p w:rsidR="008371D1" w:rsidRDefault="00FC0D34">
            <w:pPr>
              <w:pStyle w:val="ListParagraph"/>
              <w:spacing w:after="0" w:line="240" w:lineRule="auto"/>
              <w:ind w:left="360"/>
              <w:rPr>
                <w:rFonts w:ascii="StobiSerifPro" w:hAnsi="StobiSerifPro"/>
                <w:sz w:val="20"/>
                <w:szCs w:val="20"/>
              </w:rPr>
            </w:pPr>
            <w:r>
              <w:fldChar w:fldCharType="begin">
                <w:ffData>
                  <w:name w:val="Check16"/>
                  <w:enabled/>
                  <w:calcOnExit w:val="0"/>
                  <w:checkBox>
                    <w:sizeAuto/>
                    <w:default w:val="1"/>
                  </w:checkBox>
                </w:ffData>
              </w:fldChar>
            </w:r>
            <w:r w:rsidR="008371D1">
              <w:rPr>
                <w:rFonts w:ascii="StobiSerifPro" w:hAnsi="StobiSerifPro"/>
                <w:sz w:val="20"/>
                <w:szCs w:val="20"/>
              </w:rPr>
              <w:instrText xml:space="preserve"> FORMCHECKBOX </w:instrText>
            </w:r>
            <w:r>
              <w:fldChar w:fldCharType="end"/>
            </w:r>
            <w:bookmarkEnd w:id="4"/>
            <w:r w:rsidR="008371D1">
              <w:rPr>
                <w:rFonts w:ascii="StobiSerifPro" w:hAnsi="StobiSerifPro"/>
                <w:sz w:val="20"/>
                <w:szCs w:val="20"/>
              </w:rPr>
              <w:t>Заклучок на Владата на Република Македонија</w:t>
            </w:r>
          </w:p>
          <w:bookmarkStart w:id="5" w:name="Check15"/>
          <w:p w:rsidR="008371D1" w:rsidRDefault="00FC0D34">
            <w:pPr>
              <w:pStyle w:val="ListParagraph"/>
              <w:spacing w:after="0" w:line="240" w:lineRule="auto"/>
              <w:ind w:left="360"/>
              <w:rPr>
                <w:rFonts w:ascii="StobiSerifPro" w:hAnsi="StobiSerifPro"/>
                <w:sz w:val="20"/>
                <w:szCs w:val="20"/>
              </w:rPr>
            </w:pPr>
            <w:r>
              <w:fldChar w:fldCharType="begin">
                <w:ffData>
                  <w:name w:val="Check15"/>
                  <w:enabled/>
                  <w:calcOnExit w:val="0"/>
                  <w:checkBox>
                    <w:size w:val="20"/>
                    <w:default w:val="0"/>
                  </w:checkBox>
                </w:ffData>
              </w:fldChar>
            </w:r>
            <w:r w:rsidR="008371D1">
              <w:rPr>
                <w:rFonts w:ascii="StobiSerifPro" w:hAnsi="StobiSerifPro"/>
                <w:sz w:val="20"/>
                <w:szCs w:val="20"/>
                <w:lang w:val="en-US"/>
              </w:rPr>
              <w:instrText xml:space="preserve"> FORMCHECKBOX </w:instrText>
            </w:r>
            <w:r>
              <w:fldChar w:fldCharType="end"/>
            </w:r>
            <w:bookmarkEnd w:id="5"/>
            <w:r w:rsidR="008371D1">
              <w:rPr>
                <w:rFonts w:ascii="StobiSerifPro" w:hAnsi="StobiSerifPro"/>
                <w:sz w:val="20"/>
                <w:szCs w:val="20"/>
              </w:rPr>
              <w:t>Друго _____________________________________</w:t>
            </w:r>
          </w:p>
        </w:tc>
      </w:tr>
      <w:tr w:rsidR="008371D1" w:rsidTr="008371D1">
        <w:trPr>
          <w:trHeight w:val="634"/>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Поврзаност со Директивите на ЕУ</w:t>
            </w:r>
          </w:p>
        </w:tc>
        <w:tc>
          <w:tcPr>
            <w:tcW w:w="6196" w:type="dxa"/>
            <w:tcBorders>
              <w:top w:val="single" w:sz="4" w:space="0" w:color="auto"/>
              <w:left w:val="single" w:sz="4" w:space="0" w:color="auto"/>
              <w:bottom w:val="single" w:sz="4" w:space="0" w:color="auto"/>
              <w:right w:val="single" w:sz="4" w:space="0" w:color="auto"/>
            </w:tcBorders>
            <w:hideMark/>
          </w:tcPr>
          <w:p w:rsidR="008371D1" w:rsidRDefault="008371D1">
            <w:pPr>
              <w:pStyle w:val="ListParagraph"/>
              <w:rPr>
                <w:rFonts w:ascii="StobiSerifPro" w:hAnsi="StobiSerifPro"/>
                <w:sz w:val="20"/>
                <w:szCs w:val="20"/>
              </w:rPr>
            </w:pPr>
            <w:r>
              <w:rPr>
                <w:rFonts w:ascii="StobiSerifPro" w:hAnsi="StobiSerifPro"/>
                <w:sz w:val="20"/>
                <w:szCs w:val="20"/>
              </w:rPr>
              <w:t>Не</w:t>
            </w:r>
          </w:p>
        </w:tc>
      </w:tr>
      <w:tr w:rsidR="008371D1" w:rsidTr="008371D1">
        <w:trPr>
          <w:trHeight w:val="1865"/>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 xml:space="preserve">Дали нацрт извештајот содржи информации согласно прописите кои се однесуваат на класифицираните информации </w:t>
            </w:r>
          </w:p>
        </w:tc>
        <w:tc>
          <w:tcPr>
            <w:tcW w:w="6196" w:type="dxa"/>
            <w:tcBorders>
              <w:top w:val="single" w:sz="4" w:space="0" w:color="auto"/>
              <w:left w:val="single" w:sz="4" w:space="0" w:color="auto"/>
              <w:bottom w:val="single" w:sz="4" w:space="0" w:color="auto"/>
              <w:right w:val="single" w:sz="4" w:space="0" w:color="auto"/>
            </w:tcBorders>
            <w:hideMark/>
          </w:tcPr>
          <w:p w:rsidR="008371D1" w:rsidRDefault="00FC0D34">
            <w:pPr>
              <w:pStyle w:val="ListParagraph"/>
              <w:spacing w:after="0" w:line="240" w:lineRule="auto"/>
              <w:ind w:left="360"/>
              <w:rPr>
                <w:rFonts w:ascii="StobiSerifPro" w:hAnsi="StobiSerifPro"/>
                <w:sz w:val="20"/>
                <w:szCs w:val="20"/>
              </w:rPr>
            </w:pPr>
            <w:r w:rsidRPr="00FC0D34">
              <w:rPr>
                <w:rFonts w:ascii="StobiSerifPro" w:hAnsi="StobiSerifPro"/>
                <w:sz w:val="20"/>
                <w:szCs w:val="20"/>
                <w:lang w:val="en-US"/>
              </w:rPr>
              <w:fldChar w:fldCharType="begin">
                <w:ffData>
                  <w:name w:val="Check17"/>
                  <w:enabled/>
                  <w:calcOnExit w:val="0"/>
                  <w:checkBox>
                    <w:sizeAuto/>
                    <w:default w:val="0"/>
                    <w:checked w:val="0"/>
                  </w:checkBox>
                </w:ffData>
              </w:fldChar>
            </w:r>
            <w:bookmarkStart w:id="6" w:name="Check17"/>
            <w:r w:rsidR="008371D1">
              <w:rPr>
                <w:rFonts w:ascii="StobiSerifPro" w:hAnsi="StobiSerifPro"/>
                <w:sz w:val="20"/>
                <w:szCs w:val="20"/>
                <w:lang w:val="en-US"/>
              </w:rPr>
              <w:instrText xml:space="preserve"> FORMCHECKBOX </w:instrText>
            </w:r>
            <w:r>
              <w:fldChar w:fldCharType="end"/>
            </w:r>
            <w:bookmarkEnd w:id="6"/>
            <w:r w:rsidR="008371D1">
              <w:rPr>
                <w:rFonts w:ascii="StobiSerifPro" w:hAnsi="StobiSerifPro"/>
                <w:sz w:val="20"/>
                <w:szCs w:val="20"/>
              </w:rPr>
              <w:t>Да</w:t>
            </w:r>
          </w:p>
          <w:bookmarkStart w:id="7" w:name="Check18"/>
          <w:p w:rsidR="008371D1" w:rsidRDefault="00FC0D34">
            <w:pPr>
              <w:pStyle w:val="ListParagraph"/>
              <w:spacing w:after="0" w:line="240" w:lineRule="auto"/>
              <w:ind w:left="360"/>
              <w:rPr>
                <w:rFonts w:ascii="StobiSerifPro" w:hAnsi="StobiSerifPro"/>
                <w:sz w:val="20"/>
                <w:szCs w:val="20"/>
              </w:rPr>
            </w:pPr>
            <w:r>
              <w:fldChar w:fldCharType="begin">
                <w:ffData>
                  <w:name w:val="Check18"/>
                  <w:enabled/>
                  <w:calcOnExit w:val="0"/>
                  <w:checkBox>
                    <w:sizeAuto/>
                    <w:default w:val="1"/>
                  </w:checkBox>
                </w:ffData>
              </w:fldChar>
            </w:r>
            <w:r w:rsidR="008371D1">
              <w:rPr>
                <w:rFonts w:ascii="StobiSerifPro" w:hAnsi="StobiSerifPro"/>
                <w:sz w:val="20"/>
                <w:szCs w:val="20"/>
                <w:lang w:val="en-US"/>
              </w:rPr>
              <w:instrText xml:space="preserve"> FORMCHECKBOX </w:instrText>
            </w:r>
            <w:r>
              <w:fldChar w:fldCharType="end"/>
            </w:r>
            <w:bookmarkEnd w:id="7"/>
            <w:r w:rsidR="008371D1">
              <w:rPr>
                <w:rFonts w:ascii="StobiSerifPro" w:hAnsi="StobiSerifPro"/>
                <w:sz w:val="20"/>
                <w:szCs w:val="20"/>
              </w:rPr>
              <w:t>Не</w:t>
            </w:r>
          </w:p>
        </w:tc>
      </w:tr>
      <w:tr w:rsidR="008371D1" w:rsidTr="008371D1">
        <w:trPr>
          <w:trHeight w:val="939"/>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Датум на објавување на нацрт Извештајот на ЕНЕР:</w:t>
            </w:r>
          </w:p>
        </w:tc>
        <w:tc>
          <w:tcPr>
            <w:tcW w:w="6196" w:type="dxa"/>
            <w:tcBorders>
              <w:top w:val="single" w:sz="4" w:space="0" w:color="auto"/>
              <w:left w:val="single" w:sz="4" w:space="0" w:color="auto"/>
              <w:bottom w:val="single" w:sz="4" w:space="0" w:color="auto"/>
              <w:right w:val="single" w:sz="4" w:space="0" w:color="auto"/>
            </w:tcBorders>
            <w:hideMark/>
          </w:tcPr>
          <w:p w:rsidR="008371D1" w:rsidRDefault="00542809" w:rsidP="00DA29BD">
            <w:pPr>
              <w:rPr>
                <w:rFonts w:ascii="StobiSerifPro" w:hAnsi="StobiSerifPro"/>
                <w:sz w:val="20"/>
                <w:szCs w:val="20"/>
                <w:lang w:val="mk-MK"/>
              </w:rPr>
            </w:pPr>
            <w:r>
              <w:rPr>
                <w:rFonts w:ascii="StobiSerifPro" w:hAnsi="StobiSerifPro"/>
                <w:sz w:val="20"/>
                <w:szCs w:val="20"/>
              </w:rPr>
              <w:t>2</w:t>
            </w:r>
            <w:r w:rsidR="00DA29BD">
              <w:rPr>
                <w:rFonts w:ascii="StobiSerifPro" w:hAnsi="StobiSerifPro"/>
                <w:sz w:val="20"/>
                <w:szCs w:val="20"/>
                <w:lang w:val="mk-MK"/>
              </w:rPr>
              <w:t>2</w:t>
            </w:r>
            <w:r>
              <w:rPr>
                <w:rFonts w:ascii="StobiSerifPro" w:hAnsi="StobiSerifPro"/>
                <w:sz w:val="20"/>
                <w:szCs w:val="20"/>
              </w:rPr>
              <w:t>.09</w:t>
            </w:r>
            <w:r w:rsidR="008371D1">
              <w:rPr>
                <w:rFonts w:ascii="StobiSerifPro" w:hAnsi="StobiSerifPro"/>
                <w:sz w:val="20"/>
                <w:szCs w:val="20"/>
                <w:lang w:val="mk-MK"/>
              </w:rPr>
              <w:t>.2015</w:t>
            </w:r>
          </w:p>
        </w:tc>
      </w:tr>
      <w:tr w:rsidR="008371D1" w:rsidTr="008371D1">
        <w:trPr>
          <w:trHeight w:val="691"/>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 xml:space="preserve">Датум на доставување на нацрт Извештајот до </w:t>
            </w:r>
            <w:r>
              <w:rPr>
                <w:rFonts w:ascii="StobiSerifPro" w:hAnsi="StobiSerifPro"/>
                <w:sz w:val="20"/>
                <w:szCs w:val="20"/>
                <w:lang w:val="ru-RU"/>
              </w:rPr>
              <w:t>Министерството за информатичко општество и администрација</w:t>
            </w:r>
            <w:r>
              <w:rPr>
                <w:rFonts w:ascii="StobiSerifPro" w:hAnsi="StobiSerifPro"/>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tcPr>
          <w:p w:rsidR="008371D1" w:rsidRDefault="008371D1">
            <w:pPr>
              <w:rPr>
                <w:rFonts w:ascii="StobiSerifPro" w:hAnsi="StobiSerifPro"/>
                <w:sz w:val="20"/>
                <w:szCs w:val="20"/>
                <w:lang w:val="mk-MK"/>
              </w:rPr>
            </w:pPr>
          </w:p>
        </w:tc>
      </w:tr>
      <w:tr w:rsidR="008371D1" w:rsidTr="008371D1">
        <w:trPr>
          <w:trHeight w:val="622"/>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lang w:val="mk-MK"/>
              </w:rPr>
            </w:pPr>
            <w:r>
              <w:rPr>
                <w:rFonts w:ascii="StobiSerifPro" w:hAnsi="StobiSerifPro"/>
                <w:sz w:val="20"/>
                <w:szCs w:val="20"/>
                <w:lang w:val="mk-MK"/>
              </w:rPr>
              <w:t xml:space="preserve">Датум на добивање на мислењето од </w:t>
            </w:r>
            <w:r>
              <w:rPr>
                <w:rFonts w:ascii="StobiSerifPro" w:hAnsi="StobiSerifPro"/>
                <w:sz w:val="20"/>
                <w:szCs w:val="20"/>
                <w:lang w:val="ru-RU"/>
              </w:rPr>
              <w:t xml:space="preserve">Министерството за </w:t>
            </w:r>
            <w:r>
              <w:rPr>
                <w:rFonts w:ascii="StobiSerifPro" w:hAnsi="StobiSerifPro"/>
                <w:sz w:val="20"/>
                <w:szCs w:val="20"/>
                <w:lang w:val="ru-RU"/>
              </w:rPr>
              <w:lastRenderedPageBreak/>
              <w:t>информатичко општество и администрација</w:t>
            </w:r>
            <w:r>
              <w:rPr>
                <w:rFonts w:ascii="StobiSerifPro" w:hAnsi="StobiSerifPro"/>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tcPr>
          <w:p w:rsidR="008371D1" w:rsidRDefault="008371D1">
            <w:pPr>
              <w:rPr>
                <w:rFonts w:ascii="StobiSerifPro" w:hAnsi="StobiSerifPro"/>
                <w:sz w:val="20"/>
                <w:szCs w:val="20"/>
                <w:lang w:val="mk-MK"/>
              </w:rPr>
            </w:pPr>
          </w:p>
        </w:tc>
      </w:tr>
      <w:tr w:rsidR="008371D1" w:rsidTr="008371D1">
        <w:trPr>
          <w:trHeight w:val="951"/>
        </w:trPr>
        <w:tc>
          <w:tcPr>
            <w:tcW w:w="3105" w:type="dxa"/>
            <w:tcBorders>
              <w:top w:val="single" w:sz="4" w:space="0" w:color="auto"/>
              <w:left w:val="single" w:sz="4" w:space="0" w:color="auto"/>
              <w:bottom w:val="single" w:sz="4" w:space="0" w:color="auto"/>
              <w:right w:val="single" w:sz="4" w:space="0" w:color="auto"/>
            </w:tcBorders>
            <w:hideMark/>
          </w:tcPr>
          <w:p w:rsidR="008371D1" w:rsidRDefault="008371D1">
            <w:pPr>
              <w:rPr>
                <w:rFonts w:ascii="StobiSerifPro" w:hAnsi="StobiSerifPro"/>
                <w:sz w:val="20"/>
                <w:szCs w:val="20"/>
                <w:highlight w:val="yellow"/>
                <w:lang w:val="mk-MK"/>
              </w:rPr>
            </w:pPr>
            <w:r>
              <w:rPr>
                <w:rFonts w:ascii="StobiSerifPro" w:hAnsi="StobiSerifPro"/>
                <w:sz w:val="20"/>
                <w:szCs w:val="20"/>
                <w:lang w:val="mk-MK"/>
              </w:rPr>
              <w:lastRenderedPageBreak/>
              <w:t xml:space="preserve">Рок за доставување на предлогот на закон до Генералниот секретаријат  </w:t>
            </w:r>
          </w:p>
        </w:tc>
        <w:tc>
          <w:tcPr>
            <w:tcW w:w="6196" w:type="dxa"/>
            <w:tcBorders>
              <w:top w:val="single" w:sz="4" w:space="0" w:color="auto"/>
              <w:left w:val="single" w:sz="4" w:space="0" w:color="auto"/>
              <w:bottom w:val="single" w:sz="4" w:space="0" w:color="auto"/>
              <w:right w:val="single" w:sz="4" w:space="0" w:color="auto"/>
            </w:tcBorders>
          </w:tcPr>
          <w:p w:rsidR="008371D1" w:rsidRDefault="008371D1">
            <w:pPr>
              <w:rPr>
                <w:rFonts w:ascii="StobiSerifPro" w:hAnsi="StobiSerifPro"/>
                <w:sz w:val="20"/>
                <w:szCs w:val="20"/>
                <w:lang w:val="mk-MK"/>
              </w:rPr>
            </w:pPr>
          </w:p>
        </w:tc>
      </w:tr>
    </w:tbl>
    <w:p w:rsidR="000F4A36" w:rsidRPr="000F4A36" w:rsidRDefault="000F4A36" w:rsidP="008371D1">
      <w:pPr>
        <w:shd w:val="clear" w:color="auto" w:fill="CCFFFF"/>
        <w:tabs>
          <w:tab w:val="left" w:pos="675"/>
        </w:tabs>
        <w:rPr>
          <w:rFonts w:ascii="StobiSerifPro" w:hAnsi="StobiSerifPro"/>
          <w:b/>
          <w:sz w:val="20"/>
          <w:szCs w:val="20"/>
        </w:rPr>
      </w:pPr>
    </w:p>
    <w:p w:rsidR="000F4A36" w:rsidRDefault="000F4A36" w:rsidP="008371D1">
      <w:pPr>
        <w:shd w:val="clear" w:color="auto" w:fill="CCFFFF"/>
        <w:tabs>
          <w:tab w:val="left" w:pos="675"/>
        </w:tabs>
        <w:rPr>
          <w:rFonts w:ascii="StobiSerifPro" w:hAnsi="StobiSerifPro"/>
          <w:b/>
          <w:sz w:val="20"/>
          <w:szCs w:val="20"/>
        </w:rPr>
      </w:pPr>
    </w:p>
    <w:p w:rsidR="008371D1" w:rsidRPr="000F4A36" w:rsidRDefault="008371D1" w:rsidP="008371D1">
      <w:pPr>
        <w:shd w:val="clear" w:color="auto" w:fill="CCFFFF"/>
        <w:tabs>
          <w:tab w:val="left" w:pos="675"/>
        </w:tabs>
        <w:rPr>
          <w:rFonts w:ascii="StobiSerif Regular" w:hAnsi="StobiSerif Regular"/>
          <w:b/>
          <w:lang w:val="mk-MK"/>
        </w:rPr>
      </w:pPr>
      <w:r w:rsidRPr="000F4A36">
        <w:rPr>
          <w:rFonts w:ascii="StobiSerifPro" w:hAnsi="StobiSerifPro"/>
          <w:b/>
          <w:sz w:val="20"/>
          <w:szCs w:val="20"/>
          <w:lang w:val="mk-MK"/>
        </w:rPr>
        <w:t>1.</w:t>
      </w:r>
      <w:r w:rsidRPr="000F4A36">
        <w:rPr>
          <w:rFonts w:ascii="StobiSerifPro" w:hAnsi="StobiSerifPro"/>
          <w:b/>
          <w:sz w:val="20"/>
          <w:szCs w:val="20"/>
          <w:lang w:val="mk-MK"/>
        </w:rPr>
        <w:tab/>
      </w:r>
      <w:r w:rsidRPr="000F4A36">
        <w:rPr>
          <w:rFonts w:ascii="StobiSerif Regular" w:hAnsi="StobiSerif Regular"/>
          <w:b/>
          <w:lang w:val="mk-MK"/>
        </w:rPr>
        <w:t>Опис на состојбите во областа и дефинирање на проблемот</w:t>
      </w:r>
    </w:p>
    <w:p w:rsidR="008371D1" w:rsidRDefault="008371D1" w:rsidP="008371D1">
      <w:pPr>
        <w:jc w:val="both"/>
        <w:rPr>
          <w:rFonts w:ascii="StobiSerifPro" w:hAnsi="StobiSerifPro"/>
          <w:i/>
          <w:sz w:val="20"/>
          <w:szCs w:val="20"/>
          <w:lang w:val="ru-RU"/>
        </w:rPr>
      </w:pPr>
    </w:p>
    <w:p w:rsidR="008371D1" w:rsidRPr="000F4A36" w:rsidRDefault="008371D1" w:rsidP="000F4A36">
      <w:pPr>
        <w:spacing w:after="0" w:line="240" w:lineRule="auto"/>
        <w:ind w:firstLine="720"/>
        <w:jc w:val="both"/>
        <w:rPr>
          <w:rFonts w:ascii="StobiSerif Regular" w:eastAsia="Calibri" w:hAnsi="StobiSerif Regular" w:cs="Calibri"/>
          <w:i/>
          <w:iCs/>
          <w:lang w:val="mk-MK"/>
        </w:rPr>
      </w:pPr>
      <w:r>
        <w:rPr>
          <w:rFonts w:ascii="StobiSerif Regular" w:hAnsi="StobiSerif Regular"/>
          <w:i/>
          <w:lang w:val="mk-MK"/>
        </w:rPr>
        <w:t>1.1</w:t>
      </w:r>
      <w:r>
        <w:rPr>
          <w:rFonts w:ascii="StobiSerif Regular" w:hAnsi="StobiSerif Regular"/>
          <w:i/>
          <w:lang w:val="mk-MK"/>
        </w:rPr>
        <w:tab/>
      </w:r>
      <w:r w:rsidRPr="000F4A36">
        <w:rPr>
          <w:rFonts w:ascii="StobiSerif Regular" w:eastAsia="Calibri" w:hAnsi="StobiSerif Regular" w:cs="Calibri"/>
          <w:i/>
          <w:lang w:val="mk-MK"/>
        </w:rPr>
        <w:t xml:space="preserve">Опис на состојбите </w:t>
      </w:r>
    </w:p>
    <w:p w:rsidR="00DA29BD" w:rsidRDefault="00DA29BD" w:rsidP="00DA29BD">
      <w:pPr>
        <w:pStyle w:val="ListParagraph"/>
        <w:tabs>
          <w:tab w:val="left" w:pos="709"/>
        </w:tabs>
        <w:autoSpaceDE w:val="0"/>
        <w:autoSpaceDN w:val="0"/>
        <w:adjustRightInd w:val="0"/>
        <w:ind w:left="0"/>
        <w:jc w:val="both"/>
        <w:rPr>
          <w:rFonts w:ascii="StobiSerif Regular" w:hAnsi="StobiSerif Regular" w:cs="TimesNewRoman"/>
        </w:rPr>
      </w:pPr>
      <w:r>
        <w:rPr>
          <w:rFonts w:ascii="StobiSerif Regular" w:hAnsi="StobiSerif Regular"/>
        </w:rPr>
        <w:tab/>
      </w:r>
      <w:r w:rsidRPr="00E549D5">
        <w:rPr>
          <w:rFonts w:ascii="StobiSerif Regular" w:hAnsi="StobiSerif Regular"/>
        </w:rPr>
        <w:t>Во рамките на спроведувањето на Заклучокот на Владата на Република Македонија</w:t>
      </w:r>
      <w:r>
        <w:rPr>
          <w:rFonts w:ascii="StobiSerif Regular" w:hAnsi="StobiSerif Regular"/>
        </w:rPr>
        <w:t xml:space="preserve"> бр.42-5065/1 од 26.05.2015 година,</w:t>
      </w:r>
      <w:r>
        <w:rPr>
          <w:rFonts w:ascii="StobiSerif Regular" w:hAnsi="StobiSerif Regular"/>
          <w:color w:val="FF0000"/>
        </w:rPr>
        <w:t xml:space="preserve"> </w:t>
      </w:r>
      <w:r w:rsidRPr="00E549D5">
        <w:rPr>
          <w:rFonts w:ascii="StobiSerif Regular" w:hAnsi="StobiSerif Regular"/>
        </w:rPr>
        <w:t xml:space="preserve">а </w:t>
      </w:r>
      <w:r>
        <w:rPr>
          <w:rFonts w:ascii="StobiSerif Regular" w:hAnsi="StobiSerif Regular"/>
        </w:rPr>
        <w:t xml:space="preserve">со цел обезбедување на правна рамка за решавање на станбено обезбедување на воениот и цивилен персонал на служба во Армијата, констатирано е и оценето дека во рамките на одредбите во Законот за одбрана е потребно да се вгради соодветна одредба, со која Министерството за одбрана ќе </w:t>
      </w:r>
      <w:r>
        <w:rPr>
          <w:rFonts w:ascii="StobiSerif Regular" w:hAnsi="StobiSerif Regular" w:cs="TimesNewRoman"/>
        </w:rPr>
        <w:t>го организира и спроведува</w:t>
      </w:r>
      <w:r w:rsidRPr="00763EA7">
        <w:rPr>
          <w:rFonts w:ascii="StobiSerif Regular" w:hAnsi="StobiSerif Regular" w:cs="TimesNewRoman"/>
        </w:rPr>
        <w:t xml:space="preserve"> станбен</w:t>
      </w:r>
      <w:r>
        <w:rPr>
          <w:rFonts w:ascii="StobiSerif Regular" w:hAnsi="StobiSerif Regular" w:cs="TimesNewRoman"/>
        </w:rPr>
        <w:t>ото</w:t>
      </w:r>
      <w:r w:rsidRPr="00763EA7">
        <w:rPr>
          <w:rFonts w:ascii="StobiSerif Regular" w:hAnsi="StobiSerif Regular" w:cs="TimesNewRoman"/>
        </w:rPr>
        <w:t xml:space="preserve"> </w:t>
      </w:r>
      <w:r>
        <w:rPr>
          <w:rFonts w:ascii="StobiSerif Regular" w:hAnsi="StobiSerif Regular" w:cs="TimesNewRoman"/>
        </w:rPr>
        <w:t>обезбедување на активниот воен и цивилен персонал на служба во Армијата.</w:t>
      </w:r>
    </w:p>
    <w:p w:rsidR="00DA29BD" w:rsidRDefault="00DA29BD" w:rsidP="00DA29BD">
      <w:pPr>
        <w:pStyle w:val="ListParagraph"/>
        <w:tabs>
          <w:tab w:val="left" w:pos="709"/>
        </w:tabs>
        <w:autoSpaceDE w:val="0"/>
        <w:autoSpaceDN w:val="0"/>
        <w:adjustRightInd w:val="0"/>
        <w:ind w:left="0"/>
        <w:jc w:val="both"/>
        <w:rPr>
          <w:rFonts w:ascii="StobiSerif Regular" w:hAnsi="StobiSerif Regular" w:cs="TimesNewRoman"/>
        </w:rPr>
      </w:pPr>
      <w:r>
        <w:rPr>
          <w:rFonts w:ascii="StobiSerif Regular" w:hAnsi="StobiSerif Regular" w:cs="TimesNewRoman"/>
        </w:rPr>
        <w:tab/>
        <w:t>Подетално уредување на предметната проблематика ќе се уреди со Законот за служба во Армијата на Република Македонија како lex specijalis со што би се овозможило решавање на долгогодишен проблем со кој се соочуваат лицата на служба во Армијата.</w:t>
      </w:r>
    </w:p>
    <w:p w:rsidR="00DA29BD" w:rsidRPr="00E522D9" w:rsidRDefault="00DA29BD" w:rsidP="00DA29BD">
      <w:pPr>
        <w:pStyle w:val="ListParagraph"/>
        <w:tabs>
          <w:tab w:val="left" w:pos="709"/>
        </w:tabs>
        <w:autoSpaceDE w:val="0"/>
        <w:autoSpaceDN w:val="0"/>
        <w:adjustRightInd w:val="0"/>
        <w:ind w:left="0"/>
        <w:jc w:val="both"/>
        <w:rPr>
          <w:rFonts w:ascii="StobiSerif Regular" w:hAnsi="StobiSerif Regular"/>
        </w:rPr>
      </w:pPr>
      <w:r>
        <w:rPr>
          <w:rFonts w:ascii="StobiSerif Regular" w:hAnsi="StobiSerif Regular" w:cs="TimesNewRoman"/>
        </w:rPr>
        <w:tab/>
        <w:t>Во контекст на решавање на предметната проблематика отпочнати се активности за соодветно изменување и дополнување на Законот за служба во Армијата на Република Македонија.</w:t>
      </w:r>
    </w:p>
    <w:p w:rsidR="00542809" w:rsidRPr="000F4A36" w:rsidRDefault="00542809" w:rsidP="000F4A36">
      <w:pPr>
        <w:pStyle w:val="ListParagraph"/>
        <w:tabs>
          <w:tab w:val="left" w:pos="709"/>
        </w:tabs>
        <w:autoSpaceDE w:val="0"/>
        <w:autoSpaceDN w:val="0"/>
        <w:adjustRightInd w:val="0"/>
        <w:spacing w:after="0" w:line="240" w:lineRule="auto"/>
        <w:ind w:left="0"/>
        <w:rPr>
          <w:rFonts w:ascii="StobiSerif Regular" w:hAnsi="StobiSerif Regular"/>
        </w:rPr>
      </w:pPr>
    </w:p>
    <w:p w:rsidR="008371D1" w:rsidRPr="000F4A36" w:rsidRDefault="008371D1" w:rsidP="000F4A36">
      <w:pPr>
        <w:spacing w:after="0" w:line="240" w:lineRule="auto"/>
        <w:ind w:firstLine="720"/>
        <w:jc w:val="both"/>
        <w:rPr>
          <w:rFonts w:ascii="StobiSerif Regular" w:eastAsia="Calibri" w:hAnsi="StobiSerif Regular" w:cs="Calibri"/>
          <w:i/>
          <w:lang w:val="mk-MK"/>
        </w:rPr>
      </w:pPr>
      <w:r w:rsidRPr="000F4A36">
        <w:rPr>
          <w:rFonts w:ascii="StobiSerif Regular" w:hAnsi="StobiSerif Regular"/>
          <w:i/>
          <w:lang w:val="mk-MK"/>
        </w:rPr>
        <w:t>1.2</w:t>
      </w:r>
      <w:r w:rsidRPr="000F4A36">
        <w:rPr>
          <w:rFonts w:ascii="StobiSerif Regular" w:hAnsi="StobiSerif Regular"/>
          <w:i/>
          <w:lang w:val="mk-MK"/>
        </w:rPr>
        <w:tab/>
      </w:r>
      <w:r w:rsidRPr="000F4A36">
        <w:rPr>
          <w:rFonts w:ascii="StobiSerif Regular" w:eastAsia="Calibri" w:hAnsi="StobiSerif Regular" w:cs="Calibri"/>
          <w:i/>
          <w:lang w:val="mk-MK"/>
        </w:rPr>
        <w:t xml:space="preserve">Причини за проблемите кои се предмет на разгледување </w:t>
      </w:r>
    </w:p>
    <w:p w:rsidR="008371D1" w:rsidRPr="000F4A36" w:rsidRDefault="000126E6" w:rsidP="000F4A36">
      <w:pPr>
        <w:spacing w:after="0" w:line="240" w:lineRule="auto"/>
        <w:ind w:firstLine="720"/>
        <w:jc w:val="both"/>
        <w:rPr>
          <w:rFonts w:ascii="StobiSerif Regular" w:eastAsia="Calibri" w:hAnsi="StobiSerif Regular" w:cs="Calibri"/>
          <w:iCs/>
          <w:lang w:val="mk-MK"/>
        </w:rPr>
      </w:pPr>
      <w:r w:rsidRPr="000F4A36">
        <w:rPr>
          <w:rFonts w:ascii="StobiSerif Regular" w:eastAsia="Calibri" w:hAnsi="StobiSerif Regular" w:cs="Calibri"/>
          <w:lang w:val="mk-MK"/>
        </w:rPr>
        <w:t>Станува збор за долгогодишен проблем со кој се соочува активниот воен и цивилен персонал на служба во Армијата, преку неможност за регулирање на станбеното прашање, особено на начин на кој е предвиден во моменталното законско решение</w:t>
      </w:r>
      <w:r w:rsidR="00DA29BD">
        <w:rPr>
          <w:rFonts w:ascii="StobiSerif Regular" w:eastAsia="Calibri" w:hAnsi="StobiSerif Regular" w:cs="Calibri"/>
          <w:lang w:val="mk-MK"/>
        </w:rPr>
        <w:t>, односно немање на легитимитет за регулирање на истото со член 20 од Законот за одбрана</w:t>
      </w:r>
      <w:r w:rsidRPr="000F4A36">
        <w:rPr>
          <w:rFonts w:ascii="StobiSerif Regular" w:eastAsia="Calibri" w:hAnsi="StobiSerif Regular" w:cs="Calibri"/>
          <w:lang w:val="mk-MK"/>
        </w:rPr>
        <w:t>.</w:t>
      </w:r>
    </w:p>
    <w:p w:rsidR="008371D1" w:rsidRPr="000F4A36" w:rsidRDefault="008371D1" w:rsidP="000F4A36">
      <w:pPr>
        <w:tabs>
          <w:tab w:val="left" w:pos="675"/>
        </w:tabs>
        <w:spacing w:after="0" w:line="240" w:lineRule="auto"/>
        <w:rPr>
          <w:rFonts w:ascii="StobiSerif Regular" w:hAnsi="StobiSerif Regular" w:cs="Calibri"/>
          <w:lang w:val="mk-MK"/>
        </w:rPr>
      </w:pPr>
    </w:p>
    <w:p w:rsidR="008371D1" w:rsidRPr="000F4A36" w:rsidRDefault="008371D1" w:rsidP="000F4A36">
      <w:pPr>
        <w:shd w:val="clear" w:color="auto" w:fill="CCFFFF"/>
        <w:tabs>
          <w:tab w:val="left" w:pos="675"/>
        </w:tabs>
        <w:spacing w:after="0" w:line="240" w:lineRule="auto"/>
        <w:rPr>
          <w:rFonts w:ascii="StobiSerif Regular" w:hAnsi="StobiSerif Regular" w:cs="Calibri"/>
          <w:b/>
          <w:i/>
          <w:lang w:val="mk-MK"/>
        </w:rPr>
      </w:pPr>
      <w:r w:rsidRPr="000F4A36">
        <w:rPr>
          <w:rFonts w:ascii="StobiSerif Regular" w:hAnsi="StobiSerif Regular"/>
          <w:b/>
          <w:lang w:val="mk-MK"/>
        </w:rPr>
        <w:t xml:space="preserve">2. </w:t>
      </w:r>
      <w:r w:rsidRPr="000F4A36">
        <w:rPr>
          <w:rFonts w:ascii="StobiSerif Regular" w:hAnsi="StobiSerif Regular"/>
          <w:b/>
          <w:lang w:val="mk-MK"/>
        </w:rPr>
        <w:tab/>
        <w:t>Цели на предлог регулативата</w:t>
      </w:r>
    </w:p>
    <w:p w:rsidR="00B53DDE" w:rsidRDefault="00B53DDE" w:rsidP="00B53DDE">
      <w:pPr>
        <w:pStyle w:val="ListParagraph"/>
        <w:tabs>
          <w:tab w:val="left" w:pos="709"/>
        </w:tabs>
        <w:autoSpaceDE w:val="0"/>
        <w:autoSpaceDN w:val="0"/>
        <w:adjustRightInd w:val="0"/>
        <w:ind w:left="0"/>
        <w:jc w:val="both"/>
        <w:rPr>
          <w:rFonts w:ascii="StobiSerif Regular" w:hAnsi="StobiSerif Regular" w:cs="TimesNewRoman"/>
        </w:rPr>
      </w:pPr>
      <w:r>
        <w:rPr>
          <w:rFonts w:ascii="StobiSerif Regular" w:hAnsi="StobiSerif Regular"/>
        </w:rPr>
        <w:tab/>
      </w:r>
      <w:r w:rsidRPr="00E549D5">
        <w:rPr>
          <w:rFonts w:ascii="StobiSerif Regular" w:hAnsi="StobiSerif Regular"/>
        </w:rPr>
        <w:t>Во рамките на спроведувањето на Заклучокот на Владата на Република Македонија</w:t>
      </w:r>
      <w:r>
        <w:rPr>
          <w:rFonts w:ascii="StobiSerif Regular" w:hAnsi="StobiSerif Regular"/>
        </w:rPr>
        <w:t xml:space="preserve"> бр.42-5065/1 од 26.05.2015 година,</w:t>
      </w:r>
      <w:r>
        <w:rPr>
          <w:rFonts w:ascii="StobiSerif Regular" w:hAnsi="StobiSerif Regular"/>
          <w:color w:val="FF0000"/>
        </w:rPr>
        <w:t xml:space="preserve"> </w:t>
      </w:r>
      <w:r w:rsidRPr="00E549D5">
        <w:rPr>
          <w:rFonts w:ascii="StobiSerif Regular" w:hAnsi="StobiSerif Regular"/>
        </w:rPr>
        <w:t xml:space="preserve">а </w:t>
      </w:r>
      <w:r>
        <w:rPr>
          <w:rFonts w:ascii="StobiSerif Regular" w:hAnsi="StobiSerif Regular"/>
        </w:rPr>
        <w:t xml:space="preserve">со цел обезбедување на правна рамка за решавање на станбено обезбедување на воениот и цивилен персонал на служба во </w:t>
      </w:r>
      <w:r>
        <w:rPr>
          <w:rFonts w:ascii="StobiSerif Regular" w:hAnsi="StobiSerif Regular"/>
        </w:rPr>
        <w:lastRenderedPageBreak/>
        <w:t xml:space="preserve">Армијата, констатирано е и оценето дека во рамките на одредбите во Законот за одбрана е потребно да се вгради соодветна одредба, со која Министерството за одбрана ќе </w:t>
      </w:r>
      <w:r>
        <w:rPr>
          <w:rFonts w:ascii="StobiSerif Regular" w:hAnsi="StobiSerif Regular" w:cs="TimesNewRoman"/>
        </w:rPr>
        <w:t>го организира и спроведува</w:t>
      </w:r>
      <w:r w:rsidRPr="00763EA7">
        <w:rPr>
          <w:rFonts w:ascii="StobiSerif Regular" w:hAnsi="StobiSerif Regular" w:cs="TimesNewRoman"/>
        </w:rPr>
        <w:t xml:space="preserve"> станбен</w:t>
      </w:r>
      <w:r>
        <w:rPr>
          <w:rFonts w:ascii="StobiSerif Regular" w:hAnsi="StobiSerif Regular" w:cs="TimesNewRoman"/>
        </w:rPr>
        <w:t>ото</w:t>
      </w:r>
      <w:r w:rsidRPr="00763EA7">
        <w:rPr>
          <w:rFonts w:ascii="StobiSerif Regular" w:hAnsi="StobiSerif Regular" w:cs="TimesNewRoman"/>
        </w:rPr>
        <w:t xml:space="preserve"> </w:t>
      </w:r>
      <w:r>
        <w:rPr>
          <w:rFonts w:ascii="StobiSerif Regular" w:hAnsi="StobiSerif Regular" w:cs="TimesNewRoman"/>
        </w:rPr>
        <w:t>обезбедување на активниот воен и цивилен персонал на служба во Армијата.</w:t>
      </w:r>
    </w:p>
    <w:p w:rsidR="00B53DDE" w:rsidRDefault="00B53DDE" w:rsidP="00B53DDE">
      <w:pPr>
        <w:pStyle w:val="ListParagraph"/>
        <w:tabs>
          <w:tab w:val="left" w:pos="709"/>
        </w:tabs>
        <w:autoSpaceDE w:val="0"/>
        <w:autoSpaceDN w:val="0"/>
        <w:adjustRightInd w:val="0"/>
        <w:ind w:left="0"/>
        <w:jc w:val="both"/>
        <w:rPr>
          <w:rFonts w:ascii="StobiSerif Regular" w:hAnsi="StobiSerif Regular" w:cs="TimesNewRoman"/>
        </w:rPr>
      </w:pPr>
      <w:r>
        <w:rPr>
          <w:rFonts w:ascii="StobiSerif Regular" w:hAnsi="StobiSerif Regular" w:cs="TimesNewRoman"/>
        </w:rPr>
        <w:tab/>
        <w:t>Подетално уредување на предметната проблематика ќе се уреди со Законот за служба во Армијата на Република Македонија како lex specijalis со што би се овозможило решавање на долгогодишен проблем со кој се соочуваат лицата на служба во Армијата.</w:t>
      </w:r>
    </w:p>
    <w:p w:rsidR="00B53DDE" w:rsidRPr="00E522D9" w:rsidRDefault="00B53DDE" w:rsidP="00B53DDE">
      <w:pPr>
        <w:pStyle w:val="ListParagraph"/>
        <w:tabs>
          <w:tab w:val="left" w:pos="709"/>
        </w:tabs>
        <w:autoSpaceDE w:val="0"/>
        <w:autoSpaceDN w:val="0"/>
        <w:adjustRightInd w:val="0"/>
        <w:ind w:left="0"/>
        <w:jc w:val="both"/>
        <w:rPr>
          <w:rFonts w:ascii="StobiSerif Regular" w:hAnsi="StobiSerif Regular"/>
        </w:rPr>
      </w:pPr>
      <w:r>
        <w:rPr>
          <w:rFonts w:ascii="StobiSerif Regular" w:hAnsi="StobiSerif Regular" w:cs="TimesNewRoman"/>
        </w:rPr>
        <w:tab/>
        <w:t>Во контекст на решавање на предметната проблематика отпочнати се активности за соодветно изменување и дополнување на Законот за служба во Армијата на Република Македонија.</w:t>
      </w:r>
    </w:p>
    <w:p w:rsidR="00B53DDE" w:rsidRPr="000F4A36" w:rsidRDefault="00B53DDE" w:rsidP="00B53DDE">
      <w:pPr>
        <w:pStyle w:val="ListParagraph"/>
        <w:tabs>
          <w:tab w:val="left" w:pos="709"/>
        </w:tabs>
        <w:autoSpaceDE w:val="0"/>
        <w:autoSpaceDN w:val="0"/>
        <w:adjustRightInd w:val="0"/>
        <w:spacing w:after="0" w:line="240" w:lineRule="auto"/>
        <w:ind w:left="0"/>
        <w:rPr>
          <w:rFonts w:ascii="StobiSerif Regular" w:hAnsi="StobiSerif Regular"/>
        </w:rPr>
      </w:pPr>
    </w:p>
    <w:p w:rsidR="008371D1" w:rsidRPr="000F4A36" w:rsidRDefault="008371D1" w:rsidP="000F4A36">
      <w:pPr>
        <w:pStyle w:val="ListParagraph"/>
        <w:tabs>
          <w:tab w:val="left" w:pos="709"/>
        </w:tabs>
        <w:autoSpaceDE w:val="0"/>
        <w:autoSpaceDN w:val="0"/>
        <w:adjustRightInd w:val="0"/>
        <w:spacing w:after="0" w:line="240" w:lineRule="auto"/>
        <w:ind w:left="0"/>
        <w:jc w:val="both"/>
        <w:rPr>
          <w:rFonts w:ascii="StobiSerif Regular" w:hAnsi="StobiSerif Regular"/>
          <w:b/>
        </w:rPr>
      </w:pPr>
      <w:r w:rsidRPr="000F4A36">
        <w:rPr>
          <w:rFonts w:ascii="StobiSerif Regular" w:hAnsi="StobiSerif Regular"/>
          <w:b/>
        </w:rPr>
        <w:t>3.</w:t>
      </w:r>
      <w:r w:rsidRPr="000F4A36">
        <w:rPr>
          <w:rFonts w:ascii="StobiSerif Regular" w:hAnsi="StobiSerif Regular"/>
          <w:b/>
        </w:rPr>
        <w:tab/>
        <w:t>Можни решенија (опции)</w:t>
      </w:r>
    </w:p>
    <w:p w:rsidR="008371D1" w:rsidRPr="000F4A36" w:rsidRDefault="008371D1" w:rsidP="000F4A36">
      <w:pPr>
        <w:spacing w:after="0" w:line="240" w:lineRule="auto"/>
        <w:jc w:val="both"/>
        <w:rPr>
          <w:rFonts w:ascii="StobiSerif Regular" w:hAnsi="StobiSerif Regular"/>
          <w:i/>
          <w:lang w:val="ru-RU"/>
        </w:rPr>
      </w:pPr>
    </w:p>
    <w:p w:rsidR="008371D1" w:rsidRPr="000F4A36" w:rsidRDefault="008371D1" w:rsidP="000F4A36">
      <w:pPr>
        <w:spacing w:after="0" w:line="240" w:lineRule="auto"/>
        <w:ind w:firstLine="720"/>
        <w:jc w:val="both"/>
        <w:rPr>
          <w:rFonts w:ascii="StobiSerif Regular" w:hAnsi="StobiSerif Regular" w:cs="Calibri"/>
          <w:i/>
          <w:lang w:val="mk-MK"/>
        </w:rPr>
      </w:pPr>
      <w:r w:rsidRPr="000F4A36">
        <w:rPr>
          <w:rFonts w:ascii="StobiSerif Regular" w:hAnsi="StobiSerif Regular"/>
          <w:i/>
          <w:lang w:val="mk-MK"/>
        </w:rPr>
        <w:t>3.1</w:t>
      </w:r>
      <w:r w:rsidRPr="000F4A36">
        <w:rPr>
          <w:rFonts w:ascii="StobiSerif Regular" w:hAnsi="StobiSerif Regular"/>
          <w:i/>
          <w:lang w:val="mk-MK"/>
        </w:rPr>
        <w:tab/>
      </w:r>
      <w:r w:rsidRPr="000F4A36">
        <w:rPr>
          <w:rFonts w:ascii="StobiSerif Regular" w:eastAsia="Calibri" w:hAnsi="StobiSerif Regular" w:cs="Calibri"/>
          <w:i/>
          <w:lang w:val="mk-MK"/>
        </w:rPr>
        <w:t xml:space="preserve">Опис на решението </w:t>
      </w:r>
      <w:r w:rsidRPr="000F4A36">
        <w:rPr>
          <w:rFonts w:ascii="StobiSerif Regular" w:hAnsi="StobiSerif Regular" w:cs="Calibri"/>
          <w:i/>
          <w:lang w:val="mk-MK"/>
        </w:rPr>
        <w:t>„не прави ништо“</w:t>
      </w:r>
      <w:r w:rsidRPr="000F4A36">
        <w:rPr>
          <w:rFonts w:ascii="StobiSerif Regular" w:eastAsia="Calibri" w:hAnsi="StobiSerif Regular" w:cs="Calibri"/>
          <w:i/>
          <w:lang w:val="mk-MK"/>
        </w:rPr>
        <w:t xml:space="preserve">  </w:t>
      </w:r>
    </w:p>
    <w:p w:rsidR="000126E6" w:rsidRPr="000F4A36" w:rsidRDefault="008371D1" w:rsidP="000F4A36">
      <w:pPr>
        <w:tabs>
          <w:tab w:val="left" w:pos="0"/>
          <w:tab w:val="left" w:pos="675"/>
        </w:tabs>
        <w:spacing w:after="0" w:line="240" w:lineRule="auto"/>
        <w:jc w:val="both"/>
        <w:rPr>
          <w:rFonts w:ascii="StobiSerif Regular" w:hAnsi="StobiSerif Regular" w:cs="Calibri"/>
          <w:lang w:val="mk-MK"/>
        </w:rPr>
      </w:pPr>
      <w:r w:rsidRPr="000F4A36">
        <w:rPr>
          <w:rFonts w:ascii="StobiSerif Regular" w:hAnsi="StobiSerif Regular" w:cs="Calibri"/>
          <w:lang w:val="mk-MK"/>
        </w:rPr>
        <w:t xml:space="preserve">           Доколку не се </w:t>
      </w:r>
      <w:r w:rsidR="00B53DDE">
        <w:rPr>
          <w:rFonts w:ascii="StobiSerif Regular" w:hAnsi="StobiSerif Regular" w:cs="Calibri"/>
          <w:lang w:val="mk-MK"/>
        </w:rPr>
        <w:t>надополни</w:t>
      </w:r>
      <w:r w:rsidRPr="000F4A36">
        <w:rPr>
          <w:rFonts w:ascii="StobiSerif Regular" w:hAnsi="StobiSerif Regular" w:cs="Calibri"/>
          <w:lang w:val="mk-MK"/>
        </w:rPr>
        <w:t xml:space="preserve"> </w:t>
      </w:r>
      <w:r w:rsidR="000126E6" w:rsidRPr="000F4A36">
        <w:rPr>
          <w:rFonts w:ascii="StobiSerif Regular" w:hAnsi="StobiSerif Regular" w:cs="Calibri"/>
          <w:lang w:val="mk-MK"/>
        </w:rPr>
        <w:t xml:space="preserve">постојниот Закон за </w:t>
      </w:r>
      <w:r w:rsidR="00B53DDE">
        <w:rPr>
          <w:rFonts w:ascii="StobiSerif Regular" w:hAnsi="StobiSerif Regular" w:cs="Calibri"/>
          <w:lang w:val="mk-MK"/>
        </w:rPr>
        <w:t>одбрана, не би можело да се стави во функција примената на одредбите од Законот за служба во Армијата на Република Македонија со кои се регулира станбеното обезбедување и</w:t>
      </w:r>
      <w:r w:rsidR="000126E6" w:rsidRPr="000F4A36">
        <w:rPr>
          <w:rFonts w:ascii="StobiSerif Regular" w:hAnsi="StobiSerif Regular" w:cs="Calibri"/>
          <w:lang w:val="mk-MK"/>
        </w:rPr>
        <w:t xml:space="preserve"> ќе продолжи негативната тенденција на оптеретување на буџетот на </w:t>
      </w:r>
      <w:r w:rsidR="00B53DDE">
        <w:rPr>
          <w:rFonts w:ascii="StobiSerif Regular" w:hAnsi="StobiSerif Regular" w:cs="Calibri"/>
          <w:lang w:val="mk-MK"/>
        </w:rPr>
        <w:t>М</w:t>
      </w:r>
      <w:r w:rsidR="000126E6" w:rsidRPr="000F4A36">
        <w:rPr>
          <w:rFonts w:ascii="StobiSerif Regular" w:hAnsi="StobiSerif Regular" w:cs="Calibri"/>
          <w:lang w:val="mk-MK"/>
        </w:rPr>
        <w:t>инистерството за надоместоци на плата за лицата на служба во Армијата, поради неможноста за решавање на станбеното прашање.</w:t>
      </w:r>
    </w:p>
    <w:p w:rsidR="00B53DDE" w:rsidRDefault="00B53DDE" w:rsidP="000F4A36">
      <w:pPr>
        <w:spacing w:after="0" w:line="240" w:lineRule="auto"/>
        <w:ind w:firstLine="720"/>
        <w:jc w:val="both"/>
        <w:rPr>
          <w:rFonts w:ascii="StobiSerif Regular" w:hAnsi="StobiSerif Regular"/>
          <w:i/>
          <w:lang w:val="mk-MK"/>
        </w:rPr>
      </w:pPr>
    </w:p>
    <w:p w:rsidR="00B53DDE" w:rsidRPr="00B53DDE" w:rsidRDefault="008371D1" w:rsidP="00B53DDE">
      <w:pPr>
        <w:spacing w:after="0" w:line="240" w:lineRule="auto"/>
        <w:ind w:firstLine="720"/>
        <w:jc w:val="both"/>
        <w:rPr>
          <w:rFonts w:ascii="StobiSerif Regular" w:hAnsi="StobiSerif Regular"/>
          <w:i/>
          <w:lang w:val="mk-MK"/>
        </w:rPr>
      </w:pPr>
      <w:r w:rsidRPr="000F4A36">
        <w:rPr>
          <w:rFonts w:ascii="StobiSerif Regular" w:hAnsi="StobiSerif Regular"/>
          <w:i/>
          <w:lang w:val="mk-MK"/>
        </w:rPr>
        <w:t>3.2</w:t>
      </w:r>
      <w:r w:rsidRPr="000F4A36">
        <w:rPr>
          <w:rFonts w:ascii="StobiSerif Regular" w:hAnsi="StobiSerif Regular"/>
          <w:i/>
          <w:lang w:val="mk-MK"/>
        </w:rPr>
        <w:tab/>
        <w:t>Опис на можните решенија (опции) за решавање на проблемот</w:t>
      </w:r>
      <w:r w:rsidRPr="000F4A36">
        <w:rPr>
          <w:rFonts w:ascii="StobiSerif Regular" w:hAnsi="StobiSerif Regular"/>
          <w:lang w:val="ru-RU"/>
        </w:rPr>
        <w:tab/>
      </w:r>
    </w:p>
    <w:p w:rsidR="00B53DDE" w:rsidRDefault="00B53DDE" w:rsidP="00B53DDE">
      <w:pPr>
        <w:ind w:firstLine="720"/>
        <w:jc w:val="both"/>
        <w:rPr>
          <w:rFonts w:ascii="StobiSerif Regular" w:hAnsi="StobiSerif Regular"/>
          <w:lang w:val="ru-RU"/>
        </w:rPr>
      </w:pPr>
      <w:r w:rsidRPr="00EF4C9F">
        <w:rPr>
          <w:rFonts w:ascii="StobiSerif Regular" w:hAnsi="StobiSerif Regular"/>
          <w:lang w:val="ru-RU"/>
        </w:rPr>
        <w:t xml:space="preserve">Законот што се предлага има </w:t>
      </w:r>
      <w:r>
        <w:rPr>
          <w:rFonts w:ascii="StobiSerif Regular" w:hAnsi="StobiSerif Regular"/>
          <w:lang w:val="mk-MK"/>
        </w:rPr>
        <w:t>2</w:t>
      </w:r>
      <w:r w:rsidRPr="00EF4C9F">
        <w:rPr>
          <w:rFonts w:ascii="StobiSerif Regular" w:hAnsi="StobiSerif Regular"/>
          <w:lang w:val="ru-RU"/>
        </w:rPr>
        <w:t xml:space="preserve"> члена.</w:t>
      </w:r>
    </w:p>
    <w:p w:rsidR="00B53DDE" w:rsidRDefault="00B53DDE" w:rsidP="00B53DDE">
      <w:pPr>
        <w:pStyle w:val="ListParagraph"/>
        <w:tabs>
          <w:tab w:val="left" w:pos="709"/>
        </w:tabs>
        <w:autoSpaceDE w:val="0"/>
        <w:autoSpaceDN w:val="0"/>
        <w:adjustRightInd w:val="0"/>
        <w:spacing w:after="0"/>
        <w:ind w:left="0"/>
        <w:jc w:val="both"/>
        <w:rPr>
          <w:rFonts w:ascii="StobiSerif Regular" w:hAnsi="StobiSerif Regular"/>
        </w:rPr>
      </w:pPr>
      <w:r>
        <w:rPr>
          <w:rFonts w:ascii="StobiSerif Regular" w:hAnsi="StobiSerif Regular"/>
          <w:lang w:val="ru-RU"/>
        </w:rPr>
        <w:tab/>
      </w:r>
      <w:r w:rsidRPr="00EF4C9F">
        <w:rPr>
          <w:rFonts w:ascii="StobiSerif Regular" w:hAnsi="StobiSerif Regular"/>
          <w:lang w:val="ru-RU"/>
        </w:rPr>
        <w:t>Со член</w:t>
      </w:r>
      <w:r>
        <w:rPr>
          <w:rFonts w:ascii="StobiSerif Regular" w:hAnsi="StobiSerif Regular"/>
          <w:lang w:val="ru-RU"/>
        </w:rPr>
        <w:t>от</w:t>
      </w:r>
      <w:r w:rsidRPr="00EF4C9F">
        <w:rPr>
          <w:rFonts w:ascii="StobiSerif Regular" w:hAnsi="StobiSerif Regular"/>
          <w:lang w:val="ru-RU"/>
        </w:rPr>
        <w:t xml:space="preserve"> 1 се </w:t>
      </w:r>
      <w:r>
        <w:rPr>
          <w:rFonts w:ascii="StobiSerif Regular" w:hAnsi="StobiSerif Regular"/>
          <w:lang w:val="ru-RU"/>
        </w:rPr>
        <w:t>предлага во членот 20 став 1 да се изврши дополнување на постојните одредби со нова точка 52, согласно која Министерството за одбрана</w:t>
      </w:r>
      <w:r w:rsidRPr="007353D8">
        <w:rPr>
          <w:rFonts w:ascii="StobiSerif Regular" w:hAnsi="StobiSerif Regular" w:cs="TimesNewRoman"/>
        </w:rPr>
        <w:t xml:space="preserve"> </w:t>
      </w:r>
      <w:r>
        <w:rPr>
          <w:rFonts w:ascii="StobiSerif Regular" w:hAnsi="StobiSerif Regular" w:cs="TimesNewRoman"/>
        </w:rPr>
        <w:t>го организира и спроведува</w:t>
      </w:r>
      <w:r w:rsidRPr="00763EA7">
        <w:rPr>
          <w:rFonts w:ascii="StobiSerif Regular" w:hAnsi="StobiSerif Regular" w:cs="TimesNewRoman"/>
        </w:rPr>
        <w:t xml:space="preserve"> станбен</w:t>
      </w:r>
      <w:r>
        <w:rPr>
          <w:rFonts w:ascii="StobiSerif Regular" w:hAnsi="StobiSerif Regular" w:cs="TimesNewRoman"/>
        </w:rPr>
        <w:t>ото</w:t>
      </w:r>
      <w:r w:rsidRPr="00763EA7">
        <w:rPr>
          <w:rFonts w:ascii="StobiSerif Regular" w:hAnsi="StobiSerif Regular" w:cs="TimesNewRoman"/>
        </w:rPr>
        <w:t xml:space="preserve"> </w:t>
      </w:r>
      <w:r>
        <w:rPr>
          <w:rFonts w:ascii="StobiSerif Regular" w:hAnsi="StobiSerif Regular" w:cs="TimesNewRoman"/>
        </w:rPr>
        <w:t>обезбедување на припадниците на Армијата.</w:t>
      </w:r>
      <w:r w:rsidRPr="00EF4C9F">
        <w:rPr>
          <w:rFonts w:ascii="StobiSerif Regular" w:hAnsi="StobiSerif Regular"/>
        </w:rPr>
        <w:tab/>
        <w:t xml:space="preserve"> </w:t>
      </w:r>
    </w:p>
    <w:p w:rsidR="00B53DDE" w:rsidRPr="00EF4C9F" w:rsidRDefault="00B53DDE" w:rsidP="00B53DDE">
      <w:pPr>
        <w:pStyle w:val="NoSpacing"/>
        <w:jc w:val="both"/>
        <w:rPr>
          <w:rFonts w:ascii="StobiSerif Regular" w:hAnsi="StobiSerif Regular"/>
          <w:lang w:val="mk-MK"/>
        </w:rPr>
      </w:pPr>
      <w:r w:rsidRPr="00EF4C9F">
        <w:rPr>
          <w:rFonts w:ascii="StobiSerif Regular" w:hAnsi="StobiSerif Regular"/>
          <w:lang w:val="mk-MK"/>
        </w:rPr>
        <w:tab/>
        <w:t xml:space="preserve">Со членот </w:t>
      </w:r>
      <w:r>
        <w:rPr>
          <w:rFonts w:ascii="StobiSerif Regular" w:hAnsi="StobiSerif Regular"/>
          <w:lang w:val="mk-MK"/>
        </w:rPr>
        <w:t xml:space="preserve">2 </w:t>
      </w:r>
      <w:r w:rsidRPr="00EF4C9F">
        <w:rPr>
          <w:rFonts w:ascii="StobiSerif Regular" w:hAnsi="StobiSerif Regular"/>
          <w:lang w:val="mk-MK"/>
        </w:rPr>
        <w:t>се пре</w:t>
      </w:r>
      <w:r>
        <w:rPr>
          <w:rFonts w:ascii="StobiSerif Regular" w:hAnsi="StobiSerif Regular"/>
          <w:lang w:val="mk-MK"/>
        </w:rPr>
        <w:t>д</w:t>
      </w:r>
      <w:r w:rsidRPr="00EF4C9F">
        <w:rPr>
          <w:rFonts w:ascii="StobiSerif Regular" w:hAnsi="StobiSerif Regular"/>
          <w:lang w:val="mk-MK"/>
        </w:rPr>
        <w:t>лага временската рамка за влегување во сила по објавувањето во „Службен весник на Република Македонија“</w:t>
      </w:r>
      <w:r w:rsidRPr="00EF4C9F">
        <w:rPr>
          <w:rFonts w:ascii="StobiSerif Regular" w:hAnsi="StobiSerif Regular"/>
        </w:rPr>
        <w:t>.</w:t>
      </w:r>
    </w:p>
    <w:p w:rsidR="00B53DDE" w:rsidRPr="00EF4C9F" w:rsidRDefault="00B53DDE" w:rsidP="00B53DDE">
      <w:pPr>
        <w:spacing w:after="0"/>
        <w:jc w:val="both"/>
        <w:rPr>
          <w:rFonts w:ascii="StobiSerif Regular" w:hAnsi="StobiSerif Regular"/>
          <w:lang w:val="mk-MK"/>
        </w:rPr>
      </w:pPr>
    </w:p>
    <w:p w:rsidR="008371D1" w:rsidRPr="000F4A36" w:rsidRDefault="008371D1" w:rsidP="000F4A36">
      <w:pPr>
        <w:pStyle w:val="ListParagraph"/>
        <w:tabs>
          <w:tab w:val="left" w:pos="709"/>
        </w:tabs>
        <w:autoSpaceDE w:val="0"/>
        <w:autoSpaceDN w:val="0"/>
        <w:adjustRightInd w:val="0"/>
        <w:spacing w:after="0" w:line="240" w:lineRule="auto"/>
        <w:ind w:left="0"/>
        <w:jc w:val="both"/>
        <w:rPr>
          <w:rFonts w:ascii="StobiSerif Regular" w:hAnsi="StobiSerif Regular"/>
          <w:i/>
        </w:rPr>
      </w:pPr>
    </w:p>
    <w:p w:rsidR="008371D1" w:rsidRPr="000F4A36" w:rsidRDefault="008371D1" w:rsidP="000F4A36">
      <w:pPr>
        <w:numPr>
          <w:ilvl w:val="0"/>
          <w:numId w:val="1"/>
        </w:numPr>
        <w:shd w:val="clear" w:color="auto" w:fill="CCFFFF"/>
        <w:tabs>
          <w:tab w:val="left" w:pos="675"/>
        </w:tabs>
        <w:spacing w:after="0" w:line="240" w:lineRule="auto"/>
        <w:jc w:val="both"/>
        <w:rPr>
          <w:rFonts w:ascii="StobiSerif Regular" w:hAnsi="StobiSerif Regular"/>
          <w:b/>
        </w:rPr>
      </w:pPr>
      <w:r w:rsidRPr="000F4A36">
        <w:rPr>
          <w:rFonts w:ascii="StobiSerif Regular" w:hAnsi="StobiSerif Regular"/>
          <w:b/>
          <w:lang w:val="mk-MK"/>
        </w:rPr>
        <w:t>Проценка на влијанијата на регулативата</w:t>
      </w:r>
    </w:p>
    <w:p w:rsidR="008371D1" w:rsidRPr="000F4A36" w:rsidRDefault="008371D1" w:rsidP="000F4A36">
      <w:pPr>
        <w:tabs>
          <w:tab w:val="left" w:pos="675"/>
        </w:tabs>
        <w:spacing w:after="0" w:line="240" w:lineRule="auto"/>
        <w:ind w:left="360"/>
        <w:rPr>
          <w:rFonts w:ascii="StobiSerif Regular" w:hAnsi="StobiSerif Regular"/>
          <w:b/>
        </w:rPr>
      </w:pPr>
    </w:p>
    <w:p w:rsidR="008371D1" w:rsidRPr="000F4A36" w:rsidRDefault="008371D1" w:rsidP="000F4A36">
      <w:pPr>
        <w:spacing w:after="0" w:line="240" w:lineRule="auto"/>
        <w:jc w:val="both"/>
        <w:rPr>
          <w:rFonts w:ascii="StobiSerif Regular" w:hAnsi="StobiSerif Regular"/>
          <w:i/>
          <w:lang w:val="mk-MK"/>
        </w:rPr>
      </w:pPr>
      <w:r w:rsidRPr="000F4A36">
        <w:rPr>
          <w:rFonts w:ascii="StobiSerif Regular" w:hAnsi="StobiSerif Regular"/>
          <w:lang w:val="mk-MK"/>
        </w:rPr>
        <w:tab/>
      </w:r>
      <w:r w:rsidRPr="000F4A36">
        <w:rPr>
          <w:rFonts w:ascii="StobiSerif Regular" w:hAnsi="StobiSerif Regular"/>
          <w:i/>
          <w:lang w:val="mk-MK"/>
        </w:rPr>
        <w:t>Можни позитивни и негативни влијанија од секоја од опциите:</w:t>
      </w:r>
    </w:p>
    <w:p w:rsidR="008371D1" w:rsidRPr="000F4A36" w:rsidRDefault="008371D1" w:rsidP="000F4A36">
      <w:pPr>
        <w:tabs>
          <w:tab w:val="left" w:pos="675"/>
        </w:tabs>
        <w:spacing w:after="0" w:line="240" w:lineRule="auto"/>
        <w:rPr>
          <w:rFonts w:ascii="StobiSerif Regular" w:hAnsi="StobiSerif Regular"/>
          <w:i/>
          <w:lang w:val="mk-MK"/>
        </w:rPr>
      </w:pP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4.1</w:t>
      </w:r>
      <w:r w:rsidRPr="000F4A36">
        <w:rPr>
          <w:rFonts w:ascii="StobiSerif Regular" w:hAnsi="StobiSerif Regular"/>
          <w:i/>
          <w:lang w:val="mk-MK"/>
        </w:rPr>
        <w:tab/>
        <w:t xml:space="preserve">Економски влијанија </w:t>
      </w:r>
    </w:p>
    <w:p w:rsidR="008371D1" w:rsidRPr="000F4A36" w:rsidRDefault="008371D1" w:rsidP="000F4A36">
      <w:pPr>
        <w:spacing w:after="0" w:line="240" w:lineRule="auto"/>
        <w:jc w:val="center"/>
        <w:rPr>
          <w:rFonts w:ascii="StobiSerif Regular" w:hAnsi="StobiSerif Regular"/>
          <w:i/>
          <w:lang w:val="mk-MK"/>
        </w:rPr>
      </w:pPr>
      <w:r w:rsidRPr="000F4A36">
        <w:rPr>
          <w:rFonts w:ascii="StobiSerif Regular" w:hAnsi="StobiSerif Regular"/>
          <w:i/>
          <w:lang w:val="mk-MK"/>
        </w:rPr>
        <w:t>/</w:t>
      </w: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4.2</w:t>
      </w:r>
      <w:r w:rsidRPr="000F4A36">
        <w:rPr>
          <w:rFonts w:ascii="StobiSerif Regular" w:hAnsi="StobiSerif Regular"/>
          <w:i/>
          <w:lang w:val="mk-MK"/>
        </w:rPr>
        <w:tab/>
        <w:t xml:space="preserve">Фискални влијанија </w:t>
      </w:r>
    </w:p>
    <w:p w:rsidR="008371D1" w:rsidRPr="000F4A36" w:rsidRDefault="008371D1" w:rsidP="000F4A36">
      <w:pPr>
        <w:spacing w:after="0" w:line="240" w:lineRule="auto"/>
        <w:ind w:firstLine="720"/>
        <w:jc w:val="both"/>
        <w:rPr>
          <w:rFonts w:ascii="StobiSerif Regular" w:hAnsi="StobiSerif Regular"/>
          <w:lang w:val="mk-MK"/>
        </w:rPr>
      </w:pPr>
      <w:r w:rsidRPr="000F4A36">
        <w:rPr>
          <w:rFonts w:ascii="StobiSerif Regular" w:hAnsi="StobiSerif Regular"/>
          <w:lang w:val="mk-MK"/>
        </w:rPr>
        <w:lastRenderedPageBreak/>
        <w:t>Спроведувањето на овој Закон не предизвикува обезбедување на доп</w:t>
      </w:r>
      <w:r w:rsidR="00820DC5" w:rsidRPr="000F4A36">
        <w:rPr>
          <w:rFonts w:ascii="StobiSerif Regular" w:hAnsi="StobiSerif Regular"/>
          <w:lang w:val="mk-MK"/>
        </w:rPr>
        <w:t>ол</w:t>
      </w:r>
      <w:r w:rsidRPr="000F4A36">
        <w:rPr>
          <w:rFonts w:ascii="StobiSerif Regular" w:hAnsi="StobiSerif Regular"/>
          <w:lang w:val="mk-MK"/>
        </w:rPr>
        <w:t>нителни финансиски средства од Буџетот на Република Македонија.</w:t>
      </w: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4.3</w:t>
      </w:r>
      <w:r w:rsidRPr="000F4A36">
        <w:rPr>
          <w:rFonts w:ascii="StobiSerif Regular" w:hAnsi="StobiSerif Regular"/>
          <w:i/>
          <w:lang w:val="mk-MK"/>
        </w:rPr>
        <w:tab/>
        <w:t xml:space="preserve">Социјални влијанија </w:t>
      </w:r>
    </w:p>
    <w:p w:rsidR="008371D1" w:rsidRPr="000F4A36" w:rsidRDefault="00820DC5" w:rsidP="000F4A36">
      <w:pPr>
        <w:tabs>
          <w:tab w:val="left" w:pos="675"/>
        </w:tabs>
        <w:spacing w:after="0" w:line="240" w:lineRule="auto"/>
        <w:jc w:val="both"/>
        <w:rPr>
          <w:rFonts w:ascii="StobiSerif Regular" w:hAnsi="StobiSerif Regular"/>
          <w:i/>
          <w:lang w:val="mk-MK"/>
        </w:rPr>
      </w:pPr>
      <w:r w:rsidRPr="000F4A36">
        <w:rPr>
          <w:rFonts w:ascii="StobiSerif Regular" w:hAnsi="StobiSerif Regular"/>
          <w:lang w:val="mk-MK"/>
        </w:rPr>
        <w:tab/>
        <w:t>Со донесување на предметниот закон се решава долгогодишниот проблем со неможноста за станбено обезбедување на воениот и цивилен персонал</w:t>
      </w:r>
      <w:r w:rsidR="00B53DDE">
        <w:rPr>
          <w:rFonts w:ascii="StobiSerif Regular" w:hAnsi="StobiSerif Regular"/>
          <w:lang w:val="mk-MK"/>
        </w:rPr>
        <w:t>, поради отсуство на соодветна одредба во</w:t>
      </w:r>
      <w:r w:rsidRPr="000F4A36">
        <w:rPr>
          <w:rFonts w:ascii="StobiSerif Regular" w:hAnsi="StobiSerif Regular"/>
          <w:lang w:val="mk-MK"/>
        </w:rPr>
        <w:t xml:space="preserve"> постојното законско решение.</w:t>
      </w: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4.4</w:t>
      </w:r>
      <w:r w:rsidRPr="000F4A36">
        <w:rPr>
          <w:rFonts w:ascii="StobiSerif Regular" w:hAnsi="StobiSerif Regular"/>
          <w:i/>
          <w:lang w:val="mk-MK"/>
        </w:rPr>
        <w:tab/>
        <w:t xml:space="preserve">Влијанија врз животната средина </w:t>
      </w:r>
    </w:p>
    <w:p w:rsidR="008371D1" w:rsidRPr="000F4A36" w:rsidRDefault="008371D1" w:rsidP="000F4A36">
      <w:pPr>
        <w:spacing w:after="0" w:line="240" w:lineRule="auto"/>
        <w:jc w:val="center"/>
        <w:rPr>
          <w:rFonts w:ascii="StobiSerif Regular" w:hAnsi="StobiSerif Regular"/>
          <w:i/>
          <w:lang w:val="mk-MK"/>
        </w:rPr>
      </w:pPr>
      <w:r w:rsidRPr="000F4A36">
        <w:rPr>
          <w:rFonts w:ascii="StobiSerif Regular" w:hAnsi="StobiSerif Regular"/>
          <w:i/>
          <w:lang w:val="mk-MK"/>
        </w:rPr>
        <w:t>/</w:t>
      </w:r>
    </w:p>
    <w:p w:rsidR="008371D1" w:rsidRPr="000F4A36" w:rsidRDefault="008371D1" w:rsidP="000F4A36">
      <w:pPr>
        <w:tabs>
          <w:tab w:val="left" w:pos="675"/>
        </w:tabs>
        <w:spacing w:after="0" w:line="240" w:lineRule="auto"/>
        <w:rPr>
          <w:rFonts w:ascii="StobiSerif Regular" w:hAnsi="StobiSerif Regular"/>
          <w:i/>
          <w:lang w:val="mk-MK"/>
        </w:rPr>
      </w:pP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4.5</w:t>
      </w:r>
      <w:r w:rsidRPr="000F4A36">
        <w:rPr>
          <w:rFonts w:ascii="StobiSerif Regular" w:hAnsi="StobiSerif Regular"/>
          <w:i/>
          <w:lang w:val="mk-MK"/>
        </w:rPr>
        <w:tab/>
        <w:t xml:space="preserve">Административни влијанија и трошоци – </w:t>
      </w:r>
    </w:p>
    <w:p w:rsidR="008371D1" w:rsidRPr="000F4A36" w:rsidRDefault="008371D1" w:rsidP="000F4A36">
      <w:pPr>
        <w:spacing w:after="0" w:line="240" w:lineRule="auto"/>
        <w:jc w:val="center"/>
        <w:rPr>
          <w:rFonts w:ascii="StobiSerif Regular" w:hAnsi="StobiSerif Regular"/>
          <w:i/>
          <w:lang w:val="mk-MK"/>
        </w:rPr>
      </w:pPr>
      <w:r w:rsidRPr="000F4A36">
        <w:rPr>
          <w:rFonts w:ascii="StobiSerif Regular" w:hAnsi="StobiSerif Regular"/>
          <w:i/>
          <w:lang w:val="mk-MK"/>
        </w:rPr>
        <w:t>/</w:t>
      </w:r>
    </w:p>
    <w:p w:rsidR="008371D1" w:rsidRPr="000F4A36" w:rsidRDefault="008371D1" w:rsidP="000F4A36">
      <w:pPr>
        <w:spacing w:after="0" w:line="240" w:lineRule="auto"/>
        <w:ind w:left="720" w:firstLine="720"/>
        <w:jc w:val="both"/>
        <w:rPr>
          <w:rFonts w:ascii="StobiSerif Regular" w:hAnsi="StobiSerif Regular"/>
          <w:i/>
          <w:lang w:val="mk-MK"/>
        </w:rPr>
      </w:pPr>
      <w:r w:rsidRPr="000F4A36">
        <w:rPr>
          <w:rFonts w:ascii="StobiSerif Regular" w:hAnsi="StobiSerif Regular"/>
          <w:i/>
          <w:lang w:val="mk-MK"/>
        </w:rPr>
        <w:t xml:space="preserve">а) трошоци за спроведување </w:t>
      </w:r>
    </w:p>
    <w:p w:rsidR="008371D1" w:rsidRPr="000F4A36" w:rsidRDefault="008371D1" w:rsidP="000F4A36">
      <w:pPr>
        <w:spacing w:after="0" w:line="240" w:lineRule="auto"/>
        <w:jc w:val="center"/>
        <w:rPr>
          <w:rFonts w:ascii="StobiSerif Regular" w:hAnsi="StobiSerif Regular"/>
          <w:i/>
          <w:lang w:val="mk-MK"/>
        </w:rPr>
      </w:pPr>
      <w:r w:rsidRPr="000F4A36">
        <w:rPr>
          <w:rFonts w:ascii="StobiSerif Regular" w:hAnsi="StobiSerif Regular"/>
          <w:i/>
          <w:lang w:val="mk-MK"/>
        </w:rPr>
        <w:t>/</w:t>
      </w:r>
    </w:p>
    <w:p w:rsidR="008371D1" w:rsidRPr="000F4A36" w:rsidRDefault="008371D1" w:rsidP="000F4A36">
      <w:pPr>
        <w:spacing w:after="0" w:line="240" w:lineRule="auto"/>
        <w:ind w:left="720" w:firstLine="720"/>
        <w:jc w:val="both"/>
        <w:rPr>
          <w:rFonts w:ascii="StobiSerif Regular" w:hAnsi="StobiSerif Regular" w:cs="Calibri"/>
          <w:i/>
          <w:iCs/>
          <w:lang w:val="mk-MK"/>
        </w:rPr>
      </w:pPr>
      <w:r w:rsidRPr="000F4A36">
        <w:rPr>
          <w:rFonts w:ascii="StobiSerif Regular" w:hAnsi="StobiSerif Regular"/>
          <w:i/>
          <w:lang w:val="mk-MK"/>
        </w:rPr>
        <w:t xml:space="preserve">б)трошоци за почитување на регулативата </w:t>
      </w:r>
    </w:p>
    <w:p w:rsidR="008371D1" w:rsidRPr="000F4A36" w:rsidRDefault="008371D1" w:rsidP="000F4A36">
      <w:pPr>
        <w:tabs>
          <w:tab w:val="left" w:pos="675"/>
        </w:tabs>
        <w:spacing w:after="0" w:line="240" w:lineRule="auto"/>
        <w:jc w:val="center"/>
        <w:rPr>
          <w:rFonts w:ascii="StobiSerif Regular" w:hAnsi="StobiSerif Regular" w:cs="Calibri"/>
          <w:i/>
          <w:iCs/>
          <w:lang w:val="mk-MK"/>
        </w:rPr>
      </w:pPr>
      <w:r w:rsidRPr="000F4A36">
        <w:rPr>
          <w:rFonts w:ascii="StobiSerif Regular" w:hAnsi="StobiSerif Regular" w:cs="Calibri"/>
          <w:i/>
          <w:iCs/>
          <w:lang w:val="mk-MK"/>
        </w:rPr>
        <w:t>/</w:t>
      </w:r>
    </w:p>
    <w:p w:rsidR="008371D1" w:rsidRPr="000F4A36" w:rsidRDefault="008371D1" w:rsidP="000F4A36">
      <w:pPr>
        <w:shd w:val="clear" w:color="auto" w:fill="CCFFFF"/>
        <w:tabs>
          <w:tab w:val="left" w:pos="675"/>
        </w:tabs>
        <w:spacing w:after="0" w:line="240" w:lineRule="auto"/>
        <w:rPr>
          <w:rFonts w:ascii="StobiSerif Regular" w:hAnsi="StobiSerif Regular"/>
          <w:b/>
          <w:lang w:val="mk-MK"/>
        </w:rPr>
      </w:pPr>
      <w:r w:rsidRPr="000F4A36">
        <w:rPr>
          <w:rFonts w:ascii="StobiSerif Regular" w:hAnsi="StobiSerif Regular"/>
          <w:b/>
          <w:lang w:val="mk-MK"/>
        </w:rPr>
        <w:t>5.</w:t>
      </w:r>
      <w:r w:rsidRPr="000F4A36">
        <w:rPr>
          <w:rFonts w:ascii="StobiSerif Regular" w:hAnsi="StobiSerif Regular"/>
          <w:b/>
          <w:lang w:val="mk-MK"/>
        </w:rPr>
        <w:tab/>
        <w:t>Консултации</w:t>
      </w:r>
    </w:p>
    <w:p w:rsidR="008371D1" w:rsidRDefault="00B53DDE" w:rsidP="000F4A36">
      <w:pPr>
        <w:spacing w:after="0" w:line="240" w:lineRule="auto"/>
        <w:ind w:firstLine="720"/>
        <w:jc w:val="both"/>
        <w:rPr>
          <w:rFonts w:ascii="StobiSerif Regular" w:hAnsi="StobiSerif Regular"/>
          <w:lang w:val="ru-RU"/>
        </w:rPr>
      </w:pPr>
      <w:r>
        <w:rPr>
          <w:rFonts w:ascii="StobiSerif Regular" w:hAnsi="StobiSerif Regular"/>
          <w:lang w:val="ru-RU"/>
        </w:rPr>
        <w:t>/</w:t>
      </w:r>
    </w:p>
    <w:p w:rsidR="00B53DDE" w:rsidRPr="000F4A36" w:rsidRDefault="00B53DDE" w:rsidP="000F4A36">
      <w:pPr>
        <w:spacing w:after="0" w:line="240" w:lineRule="auto"/>
        <w:ind w:firstLine="720"/>
        <w:jc w:val="both"/>
        <w:rPr>
          <w:rFonts w:ascii="StobiSerif Regular" w:hAnsi="StobiSerif Regular"/>
          <w:lang w:val="ru-RU"/>
        </w:rPr>
      </w:pP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5.1</w:t>
      </w:r>
      <w:r w:rsidRPr="000F4A36">
        <w:rPr>
          <w:rFonts w:ascii="StobiSerif Regular" w:hAnsi="StobiSerif Regular"/>
          <w:i/>
          <w:lang w:val="mk-MK"/>
        </w:rPr>
        <w:tab/>
        <w:t>Засегнати страни и начин на вклучување</w:t>
      </w:r>
    </w:p>
    <w:p w:rsidR="008371D1" w:rsidRPr="000F4A36" w:rsidRDefault="008371D1" w:rsidP="000F4A36">
      <w:pPr>
        <w:tabs>
          <w:tab w:val="left" w:pos="675"/>
        </w:tabs>
        <w:spacing w:after="0" w:line="240" w:lineRule="auto"/>
        <w:jc w:val="both"/>
        <w:rPr>
          <w:rFonts w:ascii="StobiSerif Regular" w:hAnsi="StobiSerif Regular"/>
          <w:lang w:val="mk-MK"/>
        </w:rPr>
      </w:pPr>
      <w:r w:rsidRPr="000F4A36">
        <w:rPr>
          <w:rFonts w:ascii="StobiSerif Regular" w:hAnsi="StobiSerif Regular"/>
          <w:i/>
          <w:lang w:val="mk-MK"/>
        </w:rPr>
        <w:tab/>
      </w:r>
      <w:r w:rsidR="00536A98" w:rsidRPr="000F4A36">
        <w:rPr>
          <w:rFonts w:ascii="StobiSerif Regular" w:hAnsi="StobiSerif Regular"/>
          <w:lang w:val="mk-MK"/>
        </w:rPr>
        <w:t>Засегната страна е Армијата на Република Македонија која е вклучена во целокупниот процес на изработка на Предлог законот.</w:t>
      </w:r>
    </w:p>
    <w:p w:rsidR="008371D1" w:rsidRPr="000F4A36" w:rsidRDefault="008371D1" w:rsidP="000F4A36">
      <w:pPr>
        <w:tabs>
          <w:tab w:val="left" w:pos="675"/>
        </w:tabs>
        <w:spacing w:after="0" w:line="240" w:lineRule="auto"/>
        <w:rPr>
          <w:rFonts w:ascii="StobiSerif Regular" w:hAnsi="StobiSerif Regular"/>
          <w:lang w:val="mk-MK"/>
        </w:rPr>
      </w:pPr>
      <w:r w:rsidRPr="000F4A36">
        <w:rPr>
          <w:rFonts w:ascii="StobiSerif Regular" w:hAnsi="StobiSerif Regular"/>
          <w:lang w:val="mk-MK"/>
        </w:rPr>
        <w:tab/>
      </w: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5.2</w:t>
      </w:r>
      <w:r w:rsidRPr="000F4A36">
        <w:rPr>
          <w:rFonts w:ascii="StobiSerif Regular" w:hAnsi="StobiSerif Regular"/>
          <w:i/>
          <w:lang w:val="mk-MK"/>
        </w:rPr>
        <w:tab/>
        <w:t xml:space="preserve">Преглед на добиените и вградените мислења </w:t>
      </w:r>
    </w:p>
    <w:p w:rsidR="008371D1" w:rsidRPr="000F4A36" w:rsidRDefault="008371D1" w:rsidP="000F4A36">
      <w:pPr>
        <w:tabs>
          <w:tab w:val="left" w:pos="675"/>
        </w:tabs>
        <w:spacing w:after="0" w:line="240" w:lineRule="auto"/>
        <w:jc w:val="both"/>
        <w:rPr>
          <w:rFonts w:ascii="StobiSerif Regular" w:hAnsi="StobiSerif Regular"/>
          <w:lang w:val="mk-MK"/>
        </w:rPr>
      </w:pPr>
      <w:r w:rsidRPr="000F4A36">
        <w:rPr>
          <w:rFonts w:ascii="StobiSerif Regular" w:hAnsi="StobiSerif Regular"/>
          <w:i/>
          <w:lang w:val="mk-MK"/>
        </w:rPr>
        <w:tab/>
      </w:r>
      <w:r w:rsidRPr="000F4A36">
        <w:rPr>
          <w:rFonts w:ascii="StobiSerif Regular" w:hAnsi="StobiSerif Regular"/>
          <w:lang w:val="mk-MK"/>
        </w:rPr>
        <w:t>Предлогот на закон е доставен на мислење до Секретаријатот за законодавство и до Министерството за финансии, но до доставувањето на овој Нацрт извештај мислењата по предметниот Предлог на закон не беа доставени до Министерството за одбрана. Исто така Предлогот на закон е објавен и на ЕНЕР.</w:t>
      </w:r>
    </w:p>
    <w:p w:rsidR="008371D1" w:rsidRPr="000F4A36" w:rsidRDefault="008371D1" w:rsidP="000F4A36">
      <w:pPr>
        <w:tabs>
          <w:tab w:val="left" w:pos="675"/>
        </w:tabs>
        <w:spacing w:after="0" w:line="240" w:lineRule="auto"/>
        <w:jc w:val="both"/>
        <w:rPr>
          <w:rFonts w:ascii="StobiSerif Regular" w:hAnsi="StobiSerif Regular"/>
          <w:i/>
          <w:lang w:val="mk-MK"/>
        </w:rPr>
      </w:pP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5.3</w:t>
      </w:r>
      <w:r w:rsidRPr="000F4A36">
        <w:rPr>
          <w:rFonts w:ascii="StobiSerif Regular" w:hAnsi="StobiSerif Regular"/>
          <w:i/>
          <w:lang w:val="mk-MK"/>
        </w:rPr>
        <w:tab/>
        <w:t>Мислењата кои не биле земени предвид и зошто</w:t>
      </w:r>
    </w:p>
    <w:p w:rsidR="008371D1" w:rsidRPr="000F4A36" w:rsidRDefault="008371D1" w:rsidP="000F4A36">
      <w:pPr>
        <w:tabs>
          <w:tab w:val="left" w:pos="675"/>
        </w:tabs>
        <w:spacing w:after="0" w:line="240" w:lineRule="auto"/>
        <w:jc w:val="center"/>
        <w:rPr>
          <w:rFonts w:ascii="StobiSerif Regular" w:hAnsi="StobiSerif Regular"/>
          <w:i/>
          <w:lang w:val="mk-MK"/>
        </w:rPr>
      </w:pPr>
      <w:r w:rsidRPr="000F4A36">
        <w:rPr>
          <w:rFonts w:ascii="StobiSerif Regular" w:hAnsi="StobiSerif Regular"/>
          <w:i/>
          <w:lang w:val="mk-MK"/>
        </w:rPr>
        <w:t>/</w:t>
      </w:r>
    </w:p>
    <w:p w:rsidR="008371D1" w:rsidRPr="000F4A36" w:rsidRDefault="008371D1" w:rsidP="000F4A36">
      <w:pPr>
        <w:shd w:val="clear" w:color="auto" w:fill="CCFFFF"/>
        <w:tabs>
          <w:tab w:val="left" w:pos="675"/>
        </w:tabs>
        <w:spacing w:after="0" w:line="240" w:lineRule="auto"/>
        <w:rPr>
          <w:rFonts w:ascii="StobiSerif Regular" w:hAnsi="StobiSerif Regular"/>
          <w:b/>
          <w:lang w:val="mk-MK"/>
        </w:rPr>
      </w:pPr>
      <w:r w:rsidRPr="000F4A36">
        <w:rPr>
          <w:rFonts w:ascii="StobiSerif Regular" w:hAnsi="StobiSerif Regular"/>
          <w:b/>
          <w:lang w:val="mk-MK"/>
        </w:rPr>
        <w:t xml:space="preserve">6. </w:t>
      </w:r>
      <w:r w:rsidRPr="000F4A36">
        <w:rPr>
          <w:rFonts w:ascii="StobiSerif Regular" w:hAnsi="StobiSerif Regular"/>
          <w:b/>
          <w:lang w:val="mk-MK"/>
        </w:rPr>
        <w:tab/>
        <w:t>Заклучоци и препорачано решение</w:t>
      </w:r>
    </w:p>
    <w:p w:rsidR="008371D1" w:rsidRPr="000F4A36" w:rsidRDefault="008371D1" w:rsidP="000F4A36">
      <w:pPr>
        <w:spacing w:after="0" w:line="240" w:lineRule="auto"/>
        <w:jc w:val="both"/>
        <w:rPr>
          <w:rFonts w:ascii="StobiSerif Regular" w:hAnsi="StobiSerif Regular"/>
          <w:i/>
          <w:lang w:val="ru-RU"/>
        </w:rPr>
      </w:pPr>
    </w:p>
    <w:p w:rsidR="008371D1" w:rsidRPr="000F4A36" w:rsidRDefault="008371D1" w:rsidP="000F4A36">
      <w:pPr>
        <w:spacing w:after="0" w:line="240" w:lineRule="auto"/>
        <w:ind w:left="720"/>
        <w:jc w:val="both"/>
        <w:rPr>
          <w:rFonts w:ascii="StobiSerif Regular" w:hAnsi="StobiSerif Regular"/>
          <w:i/>
          <w:lang w:val="mk-MK"/>
        </w:rPr>
      </w:pPr>
      <w:r w:rsidRPr="000F4A36">
        <w:rPr>
          <w:rFonts w:ascii="StobiSerif Regular" w:hAnsi="StobiSerif Regular"/>
          <w:i/>
          <w:lang w:val="mk-MK"/>
        </w:rPr>
        <w:t>6.1</w:t>
      </w:r>
      <w:r w:rsidRPr="000F4A36">
        <w:rPr>
          <w:rFonts w:ascii="StobiSerif Regular" w:hAnsi="StobiSerif Regular"/>
          <w:i/>
          <w:lang w:val="mk-MK"/>
        </w:rPr>
        <w:tab/>
        <w:t>Споредбен преглед на позитивните и негативните влијанија на можните решенија (опции)</w:t>
      </w:r>
    </w:p>
    <w:p w:rsidR="008371D1" w:rsidRPr="000F4A36" w:rsidRDefault="008371D1" w:rsidP="000F4A36">
      <w:pPr>
        <w:tabs>
          <w:tab w:val="left" w:pos="675"/>
        </w:tabs>
        <w:spacing w:after="0" w:line="240" w:lineRule="auto"/>
        <w:ind w:left="720"/>
        <w:jc w:val="center"/>
        <w:rPr>
          <w:rFonts w:ascii="StobiSerif Regular" w:hAnsi="StobiSerif Regular"/>
          <w:i/>
          <w:lang w:val="mk-MK"/>
        </w:rPr>
      </w:pPr>
    </w:p>
    <w:p w:rsidR="008371D1" w:rsidRPr="000F4A36" w:rsidRDefault="008371D1" w:rsidP="000F4A36">
      <w:pPr>
        <w:spacing w:after="0" w:line="240" w:lineRule="auto"/>
        <w:ind w:left="720"/>
        <w:jc w:val="both"/>
        <w:rPr>
          <w:rFonts w:ascii="StobiSerif Regular" w:hAnsi="StobiSerif Regular"/>
          <w:i/>
          <w:lang w:val="mk-MK"/>
        </w:rPr>
      </w:pPr>
      <w:r w:rsidRPr="000F4A36">
        <w:rPr>
          <w:rFonts w:ascii="StobiSerif Regular" w:hAnsi="StobiSerif Regular"/>
          <w:i/>
          <w:lang w:val="mk-MK"/>
        </w:rPr>
        <w:t>6.2</w:t>
      </w:r>
      <w:r w:rsidRPr="000F4A36">
        <w:rPr>
          <w:rFonts w:ascii="StobiSerif Regular" w:hAnsi="StobiSerif Regular"/>
          <w:i/>
          <w:lang w:val="mk-MK"/>
        </w:rPr>
        <w:tab/>
        <w:t>Ризици во спроведувањето и примената на секое од можните решенија (опции)</w:t>
      </w:r>
    </w:p>
    <w:p w:rsidR="008371D1" w:rsidRPr="000F4A36" w:rsidRDefault="008371D1" w:rsidP="000F4A36">
      <w:pPr>
        <w:spacing w:after="0" w:line="240" w:lineRule="auto"/>
        <w:ind w:left="720"/>
        <w:jc w:val="center"/>
        <w:rPr>
          <w:rFonts w:ascii="StobiSerif Regular" w:hAnsi="StobiSerif Regular"/>
          <w:i/>
          <w:lang w:val="mk-MK"/>
        </w:rPr>
      </w:pPr>
    </w:p>
    <w:p w:rsidR="008371D1" w:rsidRPr="000F4A36" w:rsidRDefault="008371D1" w:rsidP="000F4A36">
      <w:pPr>
        <w:spacing w:after="0" w:line="240" w:lineRule="auto"/>
        <w:ind w:firstLine="720"/>
        <w:jc w:val="both"/>
        <w:rPr>
          <w:rFonts w:ascii="StobiSerif Regular" w:hAnsi="StobiSerif Regular"/>
          <w:i/>
          <w:lang w:val="mk-MK"/>
        </w:rPr>
      </w:pPr>
      <w:r w:rsidRPr="000F4A36">
        <w:rPr>
          <w:rFonts w:ascii="StobiSerif Regular" w:hAnsi="StobiSerif Regular"/>
          <w:i/>
          <w:lang w:val="mk-MK"/>
        </w:rPr>
        <w:t>6.3</w:t>
      </w:r>
      <w:r w:rsidRPr="000F4A36">
        <w:rPr>
          <w:rFonts w:ascii="StobiSerif Regular" w:hAnsi="StobiSerif Regular"/>
          <w:i/>
          <w:lang w:val="mk-MK"/>
        </w:rPr>
        <w:tab/>
        <w:t>Препорачано решение со образложение</w:t>
      </w:r>
    </w:p>
    <w:p w:rsidR="008371D1" w:rsidRPr="000F4A36" w:rsidRDefault="008371D1" w:rsidP="000F4A36">
      <w:pPr>
        <w:spacing w:after="0" w:line="240" w:lineRule="auto"/>
        <w:ind w:firstLine="720"/>
        <w:jc w:val="center"/>
        <w:rPr>
          <w:rFonts w:ascii="StobiSerif Regular" w:hAnsi="StobiSerif Regular"/>
          <w:i/>
          <w:lang w:val="mk-MK"/>
        </w:rPr>
      </w:pPr>
    </w:p>
    <w:p w:rsidR="008371D1" w:rsidRPr="000F4A36" w:rsidRDefault="008371D1" w:rsidP="000F4A36">
      <w:pPr>
        <w:shd w:val="clear" w:color="auto" w:fill="CCFFFF"/>
        <w:tabs>
          <w:tab w:val="left" w:pos="675"/>
        </w:tabs>
        <w:spacing w:after="0" w:line="240" w:lineRule="auto"/>
        <w:rPr>
          <w:rFonts w:ascii="StobiSerif Regular" w:hAnsi="StobiSerif Regular"/>
          <w:b/>
          <w:lang w:val="mk-MK"/>
        </w:rPr>
      </w:pPr>
      <w:r w:rsidRPr="000F4A36">
        <w:rPr>
          <w:rFonts w:ascii="StobiSerif Regular" w:hAnsi="StobiSerif Regular"/>
          <w:b/>
          <w:lang w:val="mk-MK"/>
        </w:rPr>
        <w:t>7.</w:t>
      </w:r>
      <w:r w:rsidRPr="000F4A36">
        <w:rPr>
          <w:rFonts w:ascii="StobiSerif Regular" w:hAnsi="StobiSerif Regular"/>
          <w:b/>
          <w:lang w:val="mk-MK"/>
        </w:rPr>
        <w:tab/>
        <w:t>Спроведување на препорачаното решение</w:t>
      </w:r>
    </w:p>
    <w:p w:rsidR="008371D1" w:rsidRPr="000F4A36" w:rsidRDefault="008371D1" w:rsidP="000F4A36">
      <w:pPr>
        <w:spacing w:after="0" w:line="240" w:lineRule="auto"/>
        <w:jc w:val="both"/>
        <w:rPr>
          <w:rFonts w:ascii="StobiSerif Regular" w:hAnsi="StobiSerif Regular"/>
          <w:i/>
          <w:lang w:val="ru-RU"/>
        </w:rPr>
      </w:pPr>
    </w:p>
    <w:p w:rsidR="008371D1" w:rsidRPr="000F4A36" w:rsidRDefault="008371D1" w:rsidP="000F4A36">
      <w:pPr>
        <w:spacing w:after="0" w:line="240" w:lineRule="auto"/>
        <w:ind w:left="720"/>
        <w:jc w:val="both"/>
        <w:rPr>
          <w:rFonts w:ascii="StobiSerif Regular" w:hAnsi="StobiSerif Regular"/>
          <w:i/>
          <w:lang w:val="mk-MK"/>
        </w:rPr>
      </w:pPr>
      <w:r w:rsidRPr="000F4A36">
        <w:rPr>
          <w:rFonts w:ascii="StobiSerif Regular" w:hAnsi="StobiSerif Regular"/>
          <w:i/>
          <w:lang w:val="mk-MK"/>
        </w:rPr>
        <w:t>7.1</w:t>
      </w:r>
      <w:r w:rsidRPr="000F4A36">
        <w:rPr>
          <w:rFonts w:ascii="StobiSerif Regular" w:hAnsi="StobiSerif Regular"/>
          <w:i/>
          <w:lang w:val="mk-MK"/>
        </w:rPr>
        <w:tab/>
        <w:t>Потреба од менување на закони и подзаконска регулатива во областа или други сродни области</w:t>
      </w:r>
    </w:p>
    <w:p w:rsidR="008371D1" w:rsidRPr="000F4A36" w:rsidRDefault="008371D1" w:rsidP="000F4A36">
      <w:pPr>
        <w:tabs>
          <w:tab w:val="left" w:pos="675"/>
        </w:tabs>
        <w:spacing w:after="0" w:line="240" w:lineRule="auto"/>
        <w:ind w:left="720"/>
        <w:jc w:val="both"/>
        <w:rPr>
          <w:rFonts w:ascii="StobiSerif Regular" w:hAnsi="StobiSerif Regular"/>
          <w:lang w:val="mk-MK"/>
        </w:rPr>
      </w:pPr>
      <w:r w:rsidRPr="000F4A36">
        <w:rPr>
          <w:rFonts w:ascii="StobiSerif Regular" w:hAnsi="StobiSerif Regular"/>
          <w:lang w:val="mk-MK"/>
        </w:rPr>
        <w:tab/>
        <w:t xml:space="preserve">Донесувањето на предложените </w:t>
      </w:r>
      <w:r w:rsidR="00B53DDE">
        <w:rPr>
          <w:rFonts w:ascii="StobiSerif Regular" w:hAnsi="StobiSerif Regular"/>
          <w:lang w:val="mk-MK"/>
        </w:rPr>
        <w:t>дополни</w:t>
      </w:r>
      <w:r w:rsidRPr="000F4A36">
        <w:rPr>
          <w:rFonts w:ascii="StobiSerif Regular" w:hAnsi="StobiSerif Regular"/>
          <w:lang w:val="mk-MK"/>
        </w:rPr>
        <w:t xml:space="preserve"> на Законот за </w:t>
      </w:r>
      <w:r w:rsidR="00B53DDE">
        <w:rPr>
          <w:rFonts w:ascii="StobiSerif Regular" w:hAnsi="StobiSerif Regular"/>
          <w:lang w:val="mk-MK"/>
        </w:rPr>
        <w:t xml:space="preserve">одбрана е усогласено со предложените измени и дополнуваа на Законот за служба во Армијата на Република </w:t>
      </w:r>
      <w:r w:rsidR="006E63D2">
        <w:rPr>
          <w:rFonts w:ascii="StobiSerif Regular" w:hAnsi="StobiSerif Regular"/>
          <w:lang w:val="mk-MK"/>
        </w:rPr>
        <w:t>М</w:t>
      </w:r>
      <w:r w:rsidR="00B53DDE">
        <w:rPr>
          <w:rFonts w:ascii="StobiSerif Regular" w:hAnsi="StobiSerif Regular"/>
          <w:lang w:val="mk-MK"/>
        </w:rPr>
        <w:t>акедонија</w:t>
      </w:r>
      <w:r w:rsidR="006E63D2">
        <w:rPr>
          <w:rFonts w:ascii="StobiSerif Regular" w:hAnsi="StobiSerif Regular"/>
          <w:lang w:val="mk-MK"/>
        </w:rPr>
        <w:t>, а согласно кој</w:t>
      </w:r>
      <w:r w:rsidRPr="000F4A36">
        <w:rPr>
          <w:rFonts w:ascii="StobiSerif Regular" w:hAnsi="StobiSerif Regular"/>
          <w:lang w:val="mk-MK"/>
        </w:rPr>
        <w:t xml:space="preserve"> </w:t>
      </w:r>
      <w:r w:rsidR="00536A98" w:rsidRPr="000F4A36">
        <w:rPr>
          <w:rFonts w:ascii="StobiSerif Regular" w:hAnsi="StobiSerif Regular"/>
          <w:lang w:val="mk-MK"/>
        </w:rPr>
        <w:t xml:space="preserve">ќе </w:t>
      </w:r>
      <w:r w:rsidR="006E63D2">
        <w:rPr>
          <w:rFonts w:ascii="StobiSerif Regular" w:hAnsi="StobiSerif Regular"/>
          <w:lang w:val="mk-MK"/>
        </w:rPr>
        <w:t>се јави</w:t>
      </w:r>
      <w:r w:rsidRPr="000F4A36">
        <w:rPr>
          <w:rFonts w:ascii="StobiSerif Regular" w:hAnsi="StobiSerif Regular"/>
          <w:lang w:val="mk-MK"/>
        </w:rPr>
        <w:t xml:space="preserve"> потреба </w:t>
      </w:r>
      <w:r w:rsidR="00536A98" w:rsidRPr="000F4A36">
        <w:rPr>
          <w:rFonts w:ascii="StobiSerif Regular" w:hAnsi="StobiSerif Regular"/>
          <w:lang w:val="mk-MK"/>
        </w:rPr>
        <w:t xml:space="preserve">од донесување на соодветна </w:t>
      </w:r>
      <w:r w:rsidRPr="000F4A36">
        <w:rPr>
          <w:rFonts w:ascii="StobiSerif Regular" w:hAnsi="StobiSerif Regular"/>
          <w:lang w:val="mk-MK"/>
        </w:rPr>
        <w:t>по</w:t>
      </w:r>
      <w:r w:rsidR="00536A98" w:rsidRPr="000F4A36">
        <w:rPr>
          <w:rFonts w:ascii="StobiSerif Regular" w:hAnsi="StobiSerif Regular"/>
          <w:lang w:val="mk-MK"/>
        </w:rPr>
        <w:t>дзаконска регулатива во областа.</w:t>
      </w:r>
    </w:p>
    <w:p w:rsidR="008371D1" w:rsidRPr="000F4A36" w:rsidRDefault="008371D1" w:rsidP="000F4A36">
      <w:pPr>
        <w:spacing w:after="0" w:line="240" w:lineRule="auto"/>
        <w:ind w:left="720"/>
        <w:jc w:val="both"/>
        <w:rPr>
          <w:rFonts w:ascii="StobiSerif Regular" w:hAnsi="StobiSerif Regular"/>
          <w:i/>
          <w:lang w:val="mk-MK"/>
        </w:rPr>
      </w:pPr>
      <w:r w:rsidRPr="000F4A36">
        <w:rPr>
          <w:rFonts w:ascii="StobiSerif Regular" w:hAnsi="StobiSerif Regular"/>
          <w:i/>
          <w:lang w:val="mk-MK"/>
        </w:rPr>
        <w:t>7.2</w:t>
      </w:r>
      <w:r w:rsidRPr="000F4A36">
        <w:rPr>
          <w:rFonts w:ascii="StobiSerif Regular" w:hAnsi="StobiSerif Regular"/>
          <w:i/>
          <w:lang w:val="mk-MK"/>
        </w:rPr>
        <w:tab/>
        <w:t>Потребни подзаконски акти и рок за нивно донесување</w:t>
      </w:r>
    </w:p>
    <w:p w:rsidR="008371D1" w:rsidRPr="000F4A36" w:rsidRDefault="008371D1" w:rsidP="000F4A36">
      <w:pPr>
        <w:tabs>
          <w:tab w:val="left" w:pos="675"/>
        </w:tabs>
        <w:spacing w:after="0" w:line="240" w:lineRule="auto"/>
        <w:ind w:left="720"/>
        <w:jc w:val="both"/>
        <w:rPr>
          <w:rFonts w:ascii="StobiSerif Regular" w:hAnsi="StobiSerif Regular"/>
          <w:lang w:val="mk-MK"/>
        </w:rPr>
      </w:pPr>
      <w:r w:rsidRPr="000F4A36">
        <w:rPr>
          <w:rFonts w:ascii="StobiSerif Regular" w:hAnsi="StobiSerif Regular"/>
          <w:i/>
          <w:lang w:val="mk-MK"/>
        </w:rPr>
        <w:tab/>
      </w:r>
      <w:r w:rsidR="006E63D2">
        <w:rPr>
          <w:rFonts w:ascii="StobiSerif Regular" w:hAnsi="StobiSerif Regular"/>
          <w:lang w:val="mk-MK"/>
        </w:rPr>
        <w:t>/</w:t>
      </w:r>
    </w:p>
    <w:p w:rsidR="008371D1" w:rsidRPr="000F4A36" w:rsidRDefault="008371D1" w:rsidP="000F4A36">
      <w:pPr>
        <w:spacing w:after="0" w:line="240" w:lineRule="auto"/>
        <w:ind w:left="720"/>
        <w:jc w:val="both"/>
        <w:rPr>
          <w:rFonts w:ascii="StobiSerif Regular" w:hAnsi="StobiSerif Regular"/>
          <w:i/>
          <w:lang w:val="mk-MK"/>
        </w:rPr>
      </w:pPr>
      <w:r w:rsidRPr="000F4A36">
        <w:rPr>
          <w:rFonts w:ascii="StobiSerif Regular" w:hAnsi="StobiSerif Regular"/>
          <w:i/>
          <w:lang w:val="mk-MK"/>
        </w:rPr>
        <w:t>7.3</w:t>
      </w:r>
      <w:r w:rsidRPr="000F4A36">
        <w:rPr>
          <w:rFonts w:ascii="StobiSerif Regular" w:hAnsi="StobiSerif Regular"/>
          <w:i/>
          <w:lang w:val="mk-MK"/>
        </w:rPr>
        <w:tab/>
        <w:t>Органи на државната управа, државни органи и други органи надлежни за спроведување</w:t>
      </w:r>
    </w:p>
    <w:p w:rsidR="008371D1" w:rsidRPr="000F4A36" w:rsidRDefault="008371D1" w:rsidP="000F4A36">
      <w:pPr>
        <w:spacing w:after="0" w:line="240" w:lineRule="auto"/>
        <w:ind w:left="720" w:firstLine="720"/>
        <w:jc w:val="both"/>
        <w:rPr>
          <w:rFonts w:ascii="StobiSerif Regular" w:hAnsi="StobiSerif Regular"/>
          <w:lang w:val="mk-MK"/>
        </w:rPr>
      </w:pPr>
      <w:r w:rsidRPr="000F4A36">
        <w:rPr>
          <w:rFonts w:ascii="StobiSerif Regular" w:hAnsi="StobiSerif Regular"/>
          <w:lang w:val="mk-MK"/>
        </w:rPr>
        <w:t xml:space="preserve">Надлежен орган за спроведување на Законот </w:t>
      </w:r>
      <w:r w:rsidR="00536A98" w:rsidRPr="000F4A36">
        <w:rPr>
          <w:rFonts w:ascii="StobiSerif Regular" w:hAnsi="StobiSerif Regular"/>
          <w:lang w:val="mk-MK"/>
        </w:rPr>
        <w:t xml:space="preserve"> за служба во Армијата на Република Македонија е Министерството за одбрана/Армијата на Република Македонија.</w:t>
      </w:r>
    </w:p>
    <w:p w:rsidR="008371D1" w:rsidRPr="000F4A36" w:rsidRDefault="008371D1" w:rsidP="000F4A36">
      <w:pPr>
        <w:spacing w:after="0" w:line="240" w:lineRule="auto"/>
        <w:ind w:left="720"/>
        <w:jc w:val="both"/>
        <w:rPr>
          <w:rFonts w:ascii="StobiSerif Regular" w:hAnsi="StobiSerif Regular"/>
          <w:i/>
          <w:lang w:val="mk-MK"/>
        </w:rPr>
      </w:pPr>
      <w:r w:rsidRPr="000F4A36">
        <w:rPr>
          <w:rFonts w:ascii="StobiSerif Regular" w:hAnsi="StobiSerif Regular"/>
          <w:i/>
          <w:lang w:val="mk-MK"/>
        </w:rPr>
        <w:t>7.4</w:t>
      </w:r>
      <w:r w:rsidRPr="000F4A36">
        <w:rPr>
          <w:rFonts w:ascii="StobiSerif Regular" w:hAnsi="StobiSerif Regular"/>
          <w:i/>
          <w:lang w:val="mk-MK"/>
        </w:rPr>
        <w:tab/>
        <w:t>Активности за обезбедување на ефикасно спроведување на предлогот на закон</w:t>
      </w:r>
    </w:p>
    <w:p w:rsidR="008371D1" w:rsidRPr="000F4A36" w:rsidRDefault="00A960C1" w:rsidP="000F4A36">
      <w:pPr>
        <w:tabs>
          <w:tab w:val="left" w:pos="675"/>
        </w:tabs>
        <w:spacing w:after="0" w:line="240" w:lineRule="auto"/>
        <w:jc w:val="center"/>
        <w:rPr>
          <w:rFonts w:ascii="StobiSerif Regular" w:hAnsi="StobiSerif Regular"/>
          <w:i/>
          <w:lang w:val="mk-MK"/>
        </w:rPr>
      </w:pPr>
      <w:r w:rsidRPr="000F4A36">
        <w:rPr>
          <w:rFonts w:ascii="StobiSerif Regular" w:hAnsi="StobiSerif Regular"/>
          <w:i/>
          <w:lang w:val="mk-MK"/>
        </w:rPr>
        <w:t>/</w:t>
      </w:r>
    </w:p>
    <w:p w:rsidR="008371D1" w:rsidRPr="000F4A36" w:rsidRDefault="008371D1" w:rsidP="000F4A36">
      <w:pPr>
        <w:shd w:val="clear" w:color="auto" w:fill="CCFFFF"/>
        <w:tabs>
          <w:tab w:val="left" w:pos="675"/>
        </w:tabs>
        <w:spacing w:after="0" w:line="240" w:lineRule="auto"/>
        <w:rPr>
          <w:rFonts w:ascii="StobiSerif Regular" w:hAnsi="StobiSerif Regular"/>
          <w:b/>
          <w:lang w:val="mk-MK"/>
        </w:rPr>
      </w:pPr>
      <w:r w:rsidRPr="000F4A36">
        <w:rPr>
          <w:rFonts w:ascii="StobiSerif Regular" w:hAnsi="StobiSerif Regular"/>
          <w:b/>
          <w:lang w:val="mk-MK"/>
        </w:rPr>
        <w:t>8.</w:t>
      </w:r>
      <w:r w:rsidRPr="000F4A36">
        <w:rPr>
          <w:rFonts w:ascii="StobiSerif Regular" w:hAnsi="StobiSerif Regular"/>
          <w:b/>
          <w:lang w:val="mk-MK"/>
        </w:rPr>
        <w:tab/>
        <w:t>Следење и евалуација</w:t>
      </w:r>
    </w:p>
    <w:p w:rsidR="008371D1" w:rsidRPr="000F4A36" w:rsidRDefault="008371D1" w:rsidP="000F4A36">
      <w:pPr>
        <w:spacing w:after="0" w:line="240" w:lineRule="auto"/>
        <w:jc w:val="both"/>
        <w:rPr>
          <w:rFonts w:ascii="StobiSerif Regular" w:hAnsi="StobiSerif Regular"/>
          <w:i/>
          <w:lang w:val="ru-RU"/>
        </w:rPr>
      </w:pPr>
    </w:p>
    <w:p w:rsidR="008371D1" w:rsidRPr="000F4A36" w:rsidRDefault="008371D1" w:rsidP="000F4A36">
      <w:pPr>
        <w:spacing w:after="0" w:line="240" w:lineRule="auto"/>
        <w:ind w:left="720"/>
        <w:jc w:val="both"/>
        <w:rPr>
          <w:rFonts w:ascii="StobiSerif Regular" w:hAnsi="StobiSerif Regular"/>
          <w:i/>
          <w:lang w:val="mk-MK"/>
        </w:rPr>
      </w:pPr>
      <w:r w:rsidRPr="000F4A36">
        <w:rPr>
          <w:rFonts w:ascii="StobiSerif Regular" w:hAnsi="StobiSerif Regular"/>
          <w:i/>
          <w:lang w:val="mk-MK"/>
        </w:rPr>
        <w:t xml:space="preserve">8.1 </w:t>
      </w:r>
      <w:r w:rsidRPr="000F4A36">
        <w:rPr>
          <w:rFonts w:ascii="StobiSerif Regular" w:hAnsi="StobiSerif Regular"/>
          <w:i/>
          <w:lang w:val="mk-MK"/>
        </w:rPr>
        <w:tab/>
        <w:t xml:space="preserve">Начин на следење на спроведувањето </w:t>
      </w:r>
    </w:p>
    <w:p w:rsidR="00A960C1" w:rsidRPr="000F4A36" w:rsidRDefault="008371D1" w:rsidP="000F4A36">
      <w:pPr>
        <w:spacing w:after="0" w:line="240" w:lineRule="auto"/>
        <w:ind w:left="720" w:firstLine="720"/>
        <w:jc w:val="both"/>
        <w:rPr>
          <w:rFonts w:ascii="StobiSerif Regular" w:hAnsi="StobiSerif Regular"/>
          <w:lang w:val="mk-MK"/>
        </w:rPr>
      </w:pPr>
      <w:r w:rsidRPr="000F4A36">
        <w:rPr>
          <w:rFonts w:ascii="StobiSerif Regular" w:hAnsi="StobiSerif Regular"/>
          <w:lang w:val="mk-MK"/>
        </w:rPr>
        <w:t>Следењето на предложените законски решенија е преку практична примена</w:t>
      </w:r>
      <w:r w:rsidR="00A960C1" w:rsidRPr="000F4A36">
        <w:rPr>
          <w:rFonts w:ascii="StobiSerif Regular" w:hAnsi="StobiSerif Regular"/>
          <w:lang w:val="mk-MK"/>
        </w:rPr>
        <w:t>.</w:t>
      </w:r>
    </w:p>
    <w:p w:rsidR="008371D1" w:rsidRPr="000F4A36" w:rsidRDefault="008371D1" w:rsidP="000F4A36">
      <w:pPr>
        <w:spacing w:after="0" w:line="240" w:lineRule="auto"/>
        <w:ind w:left="720"/>
        <w:jc w:val="both"/>
        <w:rPr>
          <w:rFonts w:ascii="StobiSerif Regular" w:hAnsi="StobiSerif Regular"/>
          <w:i/>
          <w:lang w:val="mk-MK"/>
        </w:rPr>
      </w:pPr>
      <w:r w:rsidRPr="000F4A36">
        <w:rPr>
          <w:rFonts w:ascii="StobiSerif Regular" w:hAnsi="StobiSerif Regular"/>
          <w:i/>
          <w:lang w:val="mk-MK"/>
        </w:rPr>
        <w:t>8.2</w:t>
      </w:r>
      <w:r w:rsidRPr="000F4A36">
        <w:rPr>
          <w:rFonts w:ascii="StobiSerif Regular" w:hAnsi="StobiSerif Regular"/>
          <w:i/>
          <w:lang w:val="mk-MK"/>
        </w:rPr>
        <w:tab/>
        <w:t xml:space="preserve">Евалуација на ефектите од предлогот на закон и рокови </w:t>
      </w:r>
    </w:p>
    <w:p w:rsidR="008371D1" w:rsidRPr="000F4A36" w:rsidRDefault="008371D1" w:rsidP="000F4A36">
      <w:pPr>
        <w:spacing w:after="0" w:line="240" w:lineRule="auto"/>
        <w:ind w:left="426" w:firstLine="720"/>
        <w:jc w:val="both"/>
        <w:rPr>
          <w:rFonts w:ascii="StobiSerif Regular" w:hAnsi="StobiSerif Regular"/>
        </w:rPr>
      </w:pPr>
      <w:r w:rsidRPr="000F4A36">
        <w:rPr>
          <w:rFonts w:ascii="StobiSerif Regular" w:hAnsi="StobiSerif Regular"/>
          <w:lang w:val="mk-MK"/>
        </w:rPr>
        <w:t xml:space="preserve">Евалуација на ефектите од предлогот на закон можат да се дадат </w:t>
      </w:r>
      <w:r w:rsidRPr="000F4A36">
        <w:rPr>
          <w:rFonts w:ascii="StobiSerif Regular" w:hAnsi="StobiSerif Regular"/>
          <w:lang w:val="mk-MK"/>
        </w:rPr>
        <w:tab/>
        <w:t xml:space="preserve">откако  понуденото законско решение </w:t>
      </w:r>
      <w:r w:rsidR="00A960C1" w:rsidRPr="000F4A36">
        <w:rPr>
          <w:rFonts w:ascii="StobiSerif Regular" w:hAnsi="StobiSerif Regular"/>
          <w:lang w:val="mk-MK"/>
        </w:rPr>
        <w:t xml:space="preserve">ќе </w:t>
      </w:r>
      <w:r w:rsidRPr="000F4A36">
        <w:rPr>
          <w:rFonts w:ascii="StobiSerif Regular" w:hAnsi="StobiSerif Regular"/>
          <w:lang w:val="mk-MK"/>
        </w:rPr>
        <w:t>започне да се применува во праксата.</w:t>
      </w:r>
    </w:p>
    <w:p w:rsidR="008371D1" w:rsidRPr="000F4A36" w:rsidRDefault="008371D1" w:rsidP="000F4A36">
      <w:pPr>
        <w:spacing w:after="0" w:line="240" w:lineRule="auto"/>
        <w:rPr>
          <w:rFonts w:ascii="StobiSerif Regular" w:hAnsi="StobiSerif Regular"/>
        </w:rPr>
      </w:pPr>
    </w:p>
    <w:p w:rsidR="00CF69F5" w:rsidRDefault="00CF69F5" w:rsidP="000F4A36">
      <w:pPr>
        <w:spacing w:after="0"/>
      </w:pPr>
    </w:p>
    <w:sectPr w:rsidR="00CF69F5" w:rsidSect="00FF18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obiSerifPro">
    <w:altName w:val="Arial"/>
    <w:panose1 w:val="00000000000000000000"/>
    <w:charset w:val="00"/>
    <w:family w:val="modern"/>
    <w:notTrueType/>
    <w:pitch w:val="variable"/>
    <w:sig w:usb0="00000001"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0D3F"/>
    <w:multiLevelType w:val="hybridMultilevel"/>
    <w:tmpl w:val="FEAA6E74"/>
    <w:lvl w:ilvl="0" w:tplc="96A01646">
      <w:start w:val="1"/>
      <w:numFmt w:val="decimal"/>
      <w:lvlText w:val="(%1)"/>
      <w:lvlJc w:val="left"/>
      <w:pPr>
        <w:ind w:left="1090" w:hanging="69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nsid w:val="783D0F5C"/>
    <w:multiLevelType w:val="hybridMultilevel"/>
    <w:tmpl w:val="A23A12B2"/>
    <w:lvl w:ilvl="0" w:tplc="0D6EB5C4">
      <w:start w:val="4"/>
      <w:numFmt w:val="decimal"/>
      <w:lvlText w:val="%1."/>
      <w:lvlJc w:val="left"/>
      <w:pPr>
        <w:tabs>
          <w:tab w:val="num" w:pos="675"/>
        </w:tabs>
        <w:ind w:left="675" w:hanging="67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71D1"/>
    <w:rsid w:val="000126E6"/>
    <w:rsid w:val="000F4A36"/>
    <w:rsid w:val="0012749E"/>
    <w:rsid w:val="00536A98"/>
    <w:rsid w:val="00542809"/>
    <w:rsid w:val="006E63D2"/>
    <w:rsid w:val="00820DC5"/>
    <w:rsid w:val="008371D1"/>
    <w:rsid w:val="00A960C1"/>
    <w:rsid w:val="00B53DDE"/>
    <w:rsid w:val="00CF69F5"/>
    <w:rsid w:val="00DA29BD"/>
    <w:rsid w:val="00DE2045"/>
    <w:rsid w:val="00FC0D34"/>
    <w:rsid w:val="00FF1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71D1"/>
    <w:pPr>
      <w:spacing w:after="0" w:line="240" w:lineRule="auto"/>
    </w:pPr>
    <w:rPr>
      <w:rFonts w:ascii="Calibri" w:eastAsia="Times New Roman" w:hAnsi="Calibri" w:cs="Times New Roman"/>
    </w:rPr>
  </w:style>
  <w:style w:type="paragraph" w:styleId="ListParagraph">
    <w:name w:val="List Paragraph"/>
    <w:basedOn w:val="Normal"/>
    <w:uiPriority w:val="34"/>
    <w:qFormat/>
    <w:rsid w:val="008371D1"/>
    <w:pPr>
      <w:ind w:left="720"/>
      <w:contextualSpacing/>
    </w:pPr>
    <w:rPr>
      <w:rFonts w:ascii="Calibri" w:eastAsia="Calibri" w:hAnsi="Calibri" w:cs="Times New Roman"/>
      <w:lang w:val="mk-MK"/>
    </w:rPr>
  </w:style>
  <w:style w:type="character" w:styleId="Hyperlink">
    <w:name w:val="Hyperlink"/>
    <w:basedOn w:val="DefaultParagraphFont"/>
    <w:uiPriority w:val="99"/>
    <w:unhideWhenUsed/>
    <w:rsid w:val="00542809"/>
    <w:rPr>
      <w:color w:val="0000FF" w:themeColor="hyperlink"/>
      <w:u w:val="single"/>
    </w:rPr>
  </w:style>
  <w:style w:type="paragraph" w:styleId="NormalWeb">
    <w:name w:val="Normal (Web)"/>
    <w:basedOn w:val="Normal"/>
    <w:uiPriority w:val="99"/>
    <w:unhideWhenUsed/>
    <w:rsid w:val="00012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7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irena.stankovska@morm.gov.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B288-194D-46FE-BEFB-EE29188F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marija.jankova</dc:creator>
  <cp:keywords/>
  <dc:description/>
  <cp:lastModifiedBy>marija.jankova</cp:lastModifiedBy>
  <cp:revision>11</cp:revision>
  <dcterms:created xsi:type="dcterms:W3CDTF">2015-09-21T11:40:00Z</dcterms:created>
  <dcterms:modified xsi:type="dcterms:W3CDTF">2015-09-22T10:32:00Z</dcterms:modified>
</cp:coreProperties>
</file>