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D7" w:rsidRPr="00147E84" w:rsidRDefault="00E11ED7" w:rsidP="00147E84">
      <w:pPr>
        <w:jc w:val="right"/>
        <w:rPr>
          <w:rFonts w:ascii="Arial" w:hAnsi="Arial" w:cs="Arial"/>
          <w:b/>
          <w:sz w:val="22"/>
          <w:szCs w:val="22"/>
          <w:u w:val="single"/>
          <w:lang w:val="en-US"/>
        </w:rPr>
      </w:pPr>
      <w:r>
        <w:rPr>
          <w:rFonts w:ascii="Arial" w:hAnsi="Arial" w:cs="Arial"/>
          <w:lang w:val="mk-MK"/>
        </w:rPr>
        <w:t xml:space="preserve">                                                                                         </w:t>
      </w: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Образец бр.1</w:t>
      </w:r>
    </w:p>
    <w:p w:rsidR="00E11ED7" w:rsidRDefault="00E11ED7" w:rsidP="00E11ED7">
      <w:pPr>
        <w:jc w:val="both"/>
        <w:rPr>
          <w:rFonts w:ascii="Arial" w:hAnsi="Arial" w:cs="Arial"/>
          <w:lang w:val="en-US"/>
        </w:rPr>
      </w:pPr>
    </w:p>
    <w:p w:rsidR="00E11ED7" w:rsidRPr="00CC2FB7" w:rsidRDefault="00E11ED7" w:rsidP="00E11ED7">
      <w:pPr>
        <w:jc w:val="center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 План за спроведување</w:t>
      </w:r>
    </w:p>
    <w:p w:rsidR="00E11ED7" w:rsidRPr="00CC2FB7" w:rsidRDefault="00E11ED7" w:rsidP="00E11ED7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на проценка на влијание на регулативата</w:t>
      </w:r>
    </w:p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943"/>
        <w:gridCol w:w="6299"/>
      </w:tblGrid>
      <w:tr w:rsidR="00E11ED7" w:rsidRPr="00CC2FB7" w:rsidTr="0027385D">
        <w:tc>
          <w:tcPr>
            <w:tcW w:w="2943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Наслов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en-US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 xml:space="preserve">Предлог на Закон за продажба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и давање под закуп </w:t>
            </w: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на деловните згради и деловните простории на Република Македонија</w:t>
            </w:r>
          </w:p>
        </w:tc>
      </w:tr>
      <w:tr w:rsidR="00E11ED7" w:rsidRPr="00CC2FB7" w:rsidTr="0027385D">
        <w:tc>
          <w:tcPr>
            <w:tcW w:w="2943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Министерство: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Министерство за транспорт и врски</w:t>
            </w:r>
          </w:p>
        </w:tc>
      </w:tr>
      <w:tr w:rsidR="00E11ED7" w:rsidRPr="00CC2FB7" w:rsidTr="0027385D">
        <w:tc>
          <w:tcPr>
            <w:tcW w:w="2943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Лице за контакт/одговорно лице: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Лилјана Поповиќ</w:t>
            </w:r>
          </w:p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3 145 410</w:t>
            </w:r>
          </w:p>
        </w:tc>
      </w:tr>
      <w:tr w:rsidR="00E11ED7" w:rsidRPr="00CC2FB7" w:rsidTr="0027385D">
        <w:tc>
          <w:tcPr>
            <w:tcW w:w="2943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Очекуван датум за усвојување на предлог законот: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септември</w:t>
            </w: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 xml:space="preserve"> 2012 година</w:t>
            </w:r>
          </w:p>
        </w:tc>
      </w:tr>
      <w:tr w:rsidR="00E11ED7" w:rsidRPr="00CC2FB7" w:rsidTr="0027385D">
        <w:tc>
          <w:tcPr>
            <w:tcW w:w="2943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Поврзаност со ЕУ директиви</w:t>
            </w:r>
          </w:p>
        </w:tc>
        <w:tc>
          <w:tcPr>
            <w:tcW w:w="6299" w:type="dxa"/>
            <w:tcMar>
              <w:top w:w="85" w:type="dxa"/>
              <w:bottom w:w="85" w:type="dxa"/>
            </w:tcMar>
          </w:tcPr>
          <w:p w:rsidR="00E11ED7" w:rsidRPr="00CC2FB7" w:rsidRDefault="00E11ED7" w:rsidP="0027385D">
            <w:pPr>
              <w:jc w:val="both"/>
              <w:rPr>
                <w:rFonts w:ascii="Arial" w:hAnsi="Arial" w:cs="Arial"/>
                <w:lang w:val="mk-MK"/>
              </w:rPr>
            </w:pPr>
            <w:r w:rsidRPr="00CC2FB7">
              <w:rPr>
                <w:rFonts w:ascii="Arial" w:hAnsi="Arial" w:cs="Arial"/>
                <w:sz w:val="22"/>
                <w:szCs w:val="22"/>
                <w:lang w:val="mk-MK"/>
              </w:rPr>
              <w:t>Нема</w:t>
            </w:r>
          </w:p>
        </w:tc>
      </w:tr>
    </w:tbl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Дел 1: Почетна проценка на влијанието на регулативата и планирање на работата</w:t>
      </w:r>
    </w:p>
    <w:p w:rsidR="00E11ED7" w:rsidRPr="00CC2FB7" w:rsidRDefault="00E11ED7" w:rsidP="00E1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(забелешка: овој дел е јавен и ќе се објави во Единствениот електронскиот регистар на прописи)</w:t>
      </w: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А. Почетна проценка на влијанието на регулативата</w:t>
      </w: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се главните проблеми? </w:t>
      </w:r>
    </w:p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ab/>
      </w:r>
      <w:r w:rsidRPr="00CC2FB7">
        <w:rPr>
          <w:rFonts w:ascii="Arial" w:hAnsi="Arial" w:cs="Arial"/>
          <w:sz w:val="22"/>
          <w:szCs w:val="22"/>
          <w:lang w:val="ru-RU"/>
        </w:rPr>
        <w:t xml:space="preserve">Од досегашната примена на Законот за деловните згради и деловните простории на Република Македонија се констатира дека </w:t>
      </w:r>
      <w:r>
        <w:rPr>
          <w:rFonts w:ascii="Arial" w:hAnsi="Arial" w:cs="Arial"/>
          <w:sz w:val="22"/>
          <w:szCs w:val="22"/>
          <w:lang w:val="ru-RU"/>
        </w:rPr>
        <w:t xml:space="preserve">најгомемиот </w:t>
      </w:r>
      <w:r w:rsidRPr="00CC2FB7">
        <w:rPr>
          <w:rFonts w:ascii="Arial" w:hAnsi="Arial" w:cs="Arial"/>
          <w:sz w:val="22"/>
          <w:szCs w:val="22"/>
          <w:lang w:val="ru-RU"/>
        </w:rPr>
        <w:t>дел од одредби</w:t>
      </w:r>
      <w:r>
        <w:rPr>
          <w:rFonts w:ascii="Arial" w:hAnsi="Arial" w:cs="Arial"/>
          <w:sz w:val="22"/>
          <w:szCs w:val="22"/>
          <w:lang w:val="ru-RU"/>
        </w:rPr>
        <w:t>те од законот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 </w:t>
      </w:r>
      <w:r>
        <w:rPr>
          <w:rFonts w:ascii="Arial" w:hAnsi="Arial" w:cs="Arial"/>
          <w:sz w:val="22"/>
          <w:szCs w:val="22"/>
          <w:lang w:val="ru-RU"/>
        </w:rPr>
        <w:t xml:space="preserve">не 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се </w:t>
      </w:r>
      <w:r>
        <w:rPr>
          <w:rFonts w:ascii="Arial" w:hAnsi="Arial" w:cs="Arial"/>
          <w:sz w:val="22"/>
          <w:szCs w:val="22"/>
          <w:lang w:val="ru-RU"/>
        </w:rPr>
        <w:t xml:space="preserve">во согласност со прописите кои се однесуваат на недвижностите </w:t>
      </w:r>
      <w:r w:rsidRPr="00CC2FB7">
        <w:rPr>
          <w:rFonts w:ascii="Arial" w:hAnsi="Arial" w:cs="Arial"/>
          <w:sz w:val="22"/>
          <w:szCs w:val="22"/>
          <w:lang w:val="ru-RU"/>
        </w:rPr>
        <w:t>односно се неусогласени со новите законски прописи и тоа како во делот на постапката за продажбата така и во однос на органите надлежни за спроведување на продажбата и склучувањето на договорите.</w:t>
      </w:r>
    </w:p>
    <w:p w:rsidR="00E11ED7" w:rsidRPr="00CC2FB7" w:rsidRDefault="00E11ED7" w:rsidP="00E11E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ru-RU"/>
        </w:rPr>
        <w:t>Целта на</w:t>
      </w:r>
      <w:r w:rsidRPr="00CC2FB7">
        <w:rPr>
          <w:rFonts w:ascii="Arial" w:hAnsi="Arial" w:cs="Arial"/>
          <w:sz w:val="22"/>
          <w:szCs w:val="22"/>
          <w:lang w:val="ru-RU"/>
        </w:rPr>
        <w:t xml:space="preserve"> законот е 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заради </w:t>
      </w:r>
      <w:r>
        <w:rPr>
          <w:rFonts w:ascii="Arial" w:hAnsi="Arial" w:cs="Arial"/>
          <w:sz w:val="22"/>
          <w:szCs w:val="22"/>
          <w:lang w:val="mk-MK"/>
        </w:rPr>
        <w:t>уредување на нашинот и постапката на продажбата и давањето под закуп на деловниот простор на Република Македонија и усогласување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 со Законот за организација и работа на органите на управата, Законот за процена, Законот за државното правобранителство на Република Македонија, Законот за нотаријат и други закони.</w:t>
      </w:r>
    </w:p>
    <w:p w:rsidR="00E11ED7" w:rsidRPr="00CC2FB7" w:rsidRDefault="00E11ED7" w:rsidP="00E11E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spacing w:after="200" w:line="276" w:lineRule="auto"/>
        <w:ind w:left="180" w:hanging="18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     </w:t>
      </w:r>
      <w:r w:rsidRPr="00CC2FB7">
        <w:rPr>
          <w:rFonts w:ascii="Arial" w:hAnsi="Arial" w:cs="Arial"/>
          <w:b/>
          <w:sz w:val="22"/>
          <w:szCs w:val="22"/>
          <w:lang w:val="mk-MK"/>
        </w:rPr>
        <w:t>2.  Кои се можните решенија (опции)? Кои регулаторни или нерегулаторни мерки би можеле да се разгледаат?</w:t>
      </w:r>
    </w:p>
    <w:p w:rsidR="00E11ED7" w:rsidRPr="00CC2FB7" w:rsidRDefault="00E11ED7" w:rsidP="00E11ED7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Со предлог законот </w:t>
      </w:r>
      <w:r>
        <w:rPr>
          <w:rFonts w:ascii="Arial" w:hAnsi="Arial" w:cs="Arial"/>
          <w:sz w:val="22"/>
          <w:szCs w:val="22"/>
          <w:lang w:val="mk-MK"/>
        </w:rPr>
        <w:t>ќ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е </w:t>
      </w:r>
      <w:r>
        <w:rPr>
          <w:rFonts w:ascii="Arial" w:hAnsi="Arial" w:cs="Arial"/>
          <w:sz w:val="22"/>
          <w:szCs w:val="22"/>
          <w:lang w:val="mk-MK"/>
        </w:rPr>
        <w:t xml:space="preserve">се овозможи транспарентно и </w:t>
      </w:r>
      <w:r w:rsidRPr="00CC2FB7">
        <w:rPr>
          <w:rFonts w:ascii="Arial" w:hAnsi="Arial" w:cs="Arial"/>
          <w:sz w:val="22"/>
          <w:szCs w:val="22"/>
          <w:lang w:val="mk-MK"/>
        </w:rPr>
        <w:t xml:space="preserve">поефикасно спроведување на постапките </w:t>
      </w:r>
      <w:r>
        <w:rPr>
          <w:rFonts w:ascii="Arial" w:hAnsi="Arial" w:cs="Arial"/>
          <w:sz w:val="22"/>
          <w:szCs w:val="22"/>
          <w:lang w:val="mk-MK"/>
        </w:rPr>
        <w:t>за продажба и давање под закуп на деловниот простор.</w:t>
      </w:r>
    </w:p>
    <w:p w:rsidR="00E11ED7" w:rsidRPr="00CC2FB7" w:rsidRDefault="00E11ED7" w:rsidP="00E11ED7">
      <w:pPr>
        <w:spacing w:line="360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</w:t>
      </w:r>
    </w:p>
    <w:p w:rsidR="00E11ED7" w:rsidRPr="00CC2FB7" w:rsidRDefault="00E11ED7" w:rsidP="00E11ED7">
      <w:pPr>
        <w:spacing w:line="360" w:lineRule="auto"/>
        <w:ind w:firstLine="36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3.Кои се засегнатите страни кои ќе бидат вклучени во процесот</w:t>
      </w:r>
      <w:r w:rsidRPr="00CC2FB7">
        <w:rPr>
          <w:rFonts w:ascii="Arial" w:hAnsi="Arial" w:cs="Arial"/>
          <w:b/>
          <w:sz w:val="22"/>
          <w:szCs w:val="22"/>
          <w:lang w:val="ru-RU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>на проценка на влијанието на регулативата?</w:t>
      </w:r>
    </w:p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lastRenderedPageBreak/>
        <w:t xml:space="preserve">    </w:t>
      </w: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ab/>
        <w:t xml:space="preserve"> </w:t>
      </w:r>
      <w:r w:rsidRPr="00CC2FB7">
        <w:rPr>
          <w:rFonts w:ascii="Arial" w:hAnsi="Arial" w:cs="Arial"/>
          <w:sz w:val="22"/>
          <w:szCs w:val="22"/>
          <w:lang w:val="mk-MK"/>
        </w:rPr>
        <w:t>Во процесот на проценка на влијанието на регулативата беа вклу</w:t>
      </w:r>
      <w:r>
        <w:rPr>
          <w:rFonts w:ascii="Arial" w:hAnsi="Arial" w:cs="Arial"/>
          <w:sz w:val="22"/>
          <w:szCs w:val="22"/>
          <w:lang w:val="mk-MK"/>
        </w:rPr>
        <w:t>чени надлежните државни органи, државни агенции и трговски друштва во државна сопственост.</w:t>
      </w:r>
    </w:p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Б. Планирање на потребната работа за проценка на влијанието на регулативата</w:t>
      </w: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информации и податоци се веќе достапни? </w:t>
      </w:r>
    </w:p>
    <w:p w:rsidR="00E11ED7" w:rsidRPr="00CC2FB7" w:rsidRDefault="00E11ED7" w:rsidP="00E11ED7">
      <w:pPr>
        <w:pStyle w:val="ListParagraph"/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   </w:t>
      </w:r>
      <w:r w:rsidRPr="00CC2FB7">
        <w:rPr>
          <w:rFonts w:ascii="Arial" w:hAnsi="Arial" w:cs="Arial"/>
          <w:sz w:val="22"/>
          <w:szCs w:val="22"/>
          <w:lang w:val="mk-MK"/>
        </w:rPr>
        <w:tab/>
        <w:t>Нема достапни информации.</w:t>
      </w:r>
    </w:p>
    <w:p w:rsidR="00E11ED7" w:rsidRPr="00CC2FB7" w:rsidRDefault="00E11ED7" w:rsidP="00E11ED7">
      <w:pPr>
        <w:pStyle w:val="ListParagraph"/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 xml:space="preserve">Кои дополнителни информации и податоци треба да се соберат? </w:t>
      </w:r>
    </w:p>
    <w:p w:rsidR="00E11ED7" w:rsidRPr="00CC2FB7" w:rsidRDefault="00E11ED7" w:rsidP="00E11ED7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Нема дополнителни информации.</w:t>
      </w:r>
    </w:p>
    <w:p w:rsidR="00E11ED7" w:rsidRPr="00CC2FB7" w:rsidRDefault="00E11ED7" w:rsidP="00E11ED7">
      <w:pPr>
        <w:pStyle w:val="ListParagraph"/>
        <w:spacing w:after="200" w:line="276" w:lineRule="auto"/>
        <w:ind w:left="0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Кој тип и ниво на проценка е потребно (Иницијална или Комплетна проценка на влијание на регулативата - принцип на пропорционална анализа)?</w:t>
      </w:r>
    </w:p>
    <w:p w:rsidR="00E11ED7" w:rsidRPr="00CC2FB7" w:rsidRDefault="00E11ED7" w:rsidP="00E11ED7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Иницијална.</w:t>
      </w:r>
    </w:p>
    <w:p w:rsidR="00E11ED7" w:rsidRPr="00CC2FB7" w:rsidRDefault="00E11ED7" w:rsidP="00E11ED7">
      <w:pPr>
        <w:pStyle w:val="ListParagraph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2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Дали ќе се формира меѓуресорска работна група за спроведување на проценка на влијание на регулативата и кои институции ќе се вклучат?</w:t>
      </w:r>
    </w:p>
    <w:p w:rsidR="00E11ED7" w:rsidRPr="00CC2FB7" w:rsidRDefault="00E11ED7" w:rsidP="00E11ED7">
      <w:pPr>
        <w:pStyle w:val="ListParagraph"/>
        <w:spacing w:after="200" w:line="276" w:lineRule="auto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Не.</w:t>
      </w:r>
    </w:p>
    <w:p w:rsidR="00E11ED7" w:rsidRPr="00CC2FB7" w:rsidRDefault="00E11ED7" w:rsidP="00E1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Дел 2: Подетално планирање, вклучително со време и ресурси</w:t>
      </w:r>
    </w:p>
    <w:p w:rsidR="00E11ED7" w:rsidRPr="00CC2FB7" w:rsidRDefault="00E11ED7" w:rsidP="00E11E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(забелешка: овој дел е за интерна употреба на Владата на Република Македонија)</w:t>
      </w:r>
    </w:p>
    <w:p w:rsidR="00E11ED7" w:rsidRPr="00CC2FB7" w:rsidRDefault="00E11ED7" w:rsidP="00E11ED7">
      <w:pPr>
        <w:rPr>
          <w:rFonts w:ascii="Arial" w:hAnsi="Arial" w:cs="Arial"/>
          <w:sz w:val="22"/>
          <w:szCs w:val="22"/>
          <w:u w:val="single"/>
          <w:lang w:val="mk-MK"/>
        </w:rPr>
      </w:pP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В. Временска рамка</w:t>
      </w:r>
    </w:p>
    <w:p w:rsidR="00E11ED7" w:rsidRPr="00CC2FB7" w:rsidRDefault="00E11ED7" w:rsidP="00E11ED7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Кога ќе започнат активностите за проценка на влијанијата на регулативата?</w:t>
      </w:r>
    </w:p>
    <w:p w:rsidR="00E11ED7" w:rsidRPr="00CC2FB7" w:rsidRDefault="00E11ED7" w:rsidP="00E11ED7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Активностите започнаа  во месец мај 2012 година.</w:t>
      </w:r>
    </w:p>
    <w:p w:rsidR="00E11ED7" w:rsidRPr="00CC2FB7" w:rsidRDefault="00E11ED7" w:rsidP="00E11ED7">
      <w:pPr>
        <w:pStyle w:val="ListParagraph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Ако се планира вклучување на надворешни консултанти (на пример за аналитички студии, собирање на информации, итн.), која е временската рамка предвидена за процесот на набавка и договарање?</w:t>
      </w:r>
    </w:p>
    <w:p w:rsidR="00E11ED7" w:rsidRPr="00CC2FB7" w:rsidRDefault="00E11ED7" w:rsidP="00E11ED7">
      <w:pPr>
        <w:pStyle w:val="ListParagraph"/>
        <w:spacing w:line="360" w:lineRule="auto"/>
        <w:ind w:left="360" w:firstLine="36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Не се планира вклучување на надворешни консултанти.</w:t>
      </w:r>
    </w:p>
    <w:p w:rsidR="00E11ED7" w:rsidRPr="00CC2FB7" w:rsidRDefault="00E11ED7" w:rsidP="00E11ED7">
      <w:pPr>
        <w:pStyle w:val="ListParagraph"/>
        <w:jc w:val="both"/>
        <w:rPr>
          <w:rFonts w:ascii="Arial" w:hAnsi="Arial" w:cs="Arial"/>
          <w:color w:val="FF0000"/>
          <w:sz w:val="22"/>
          <w:szCs w:val="22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3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b/>
          <w:sz w:val="22"/>
          <w:szCs w:val="22"/>
          <w:lang w:val="mk-MK"/>
        </w:rPr>
        <w:t>Кога предлог законот</w:t>
      </w:r>
      <w:r w:rsidRPr="00CC2FB7" w:rsidDel="007B7EA7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CC2FB7">
        <w:rPr>
          <w:rFonts w:ascii="Arial" w:hAnsi="Arial" w:cs="Arial"/>
          <w:b/>
          <w:sz w:val="22"/>
          <w:szCs w:val="22"/>
          <w:lang w:val="mk-MK"/>
        </w:rPr>
        <w:t>и проценката на влијанието на регулативата ќе бидат поднесени до Генералниот секретаријат?</w:t>
      </w:r>
    </w:p>
    <w:p w:rsidR="00E11ED7" w:rsidRPr="00CC2FB7" w:rsidRDefault="00E11ED7" w:rsidP="00E11ED7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>Во јуни 2012  година</w:t>
      </w:r>
    </w:p>
    <w:p w:rsidR="00E11ED7" w:rsidRPr="00CC2FB7" w:rsidRDefault="00E11ED7" w:rsidP="00E11ED7">
      <w:pPr>
        <w:ind w:left="720"/>
        <w:jc w:val="both"/>
        <w:rPr>
          <w:rFonts w:ascii="Arial" w:hAnsi="Arial" w:cs="Arial"/>
          <w:sz w:val="22"/>
          <w:szCs w:val="22"/>
          <w:lang w:val="mk-MK"/>
        </w:rPr>
      </w:pP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CC2FB7">
        <w:rPr>
          <w:rFonts w:ascii="Arial" w:hAnsi="Arial" w:cs="Arial"/>
          <w:b/>
          <w:sz w:val="22"/>
          <w:szCs w:val="22"/>
          <w:u w:val="single"/>
          <w:lang w:val="mk-MK"/>
        </w:rPr>
        <w:t>Г. Ресурси</w:t>
      </w:r>
    </w:p>
    <w:p w:rsidR="00E11ED7" w:rsidRPr="00CC2FB7" w:rsidRDefault="00E11ED7" w:rsidP="00E11ED7">
      <w:pPr>
        <w:jc w:val="both"/>
        <w:rPr>
          <w:rFonts w:ascii="Arial" w:hAnsi="Arial" w:cs="Arial"/>
          <w:b/>
          <w:sz w:val="22"/>
          <w:szCs w:val="22"/>
          <w:u w:val="single"/>
          <w:lang w:val="mk-MK"/>
        </w:rPr>
      </w:pPr>
    </w:p>
    <w:p w:rsidR="00E11ED7" w:rsidRPr="00CC2FB7" w:rsidRDefault="00E11ED7" w:rsidP="00E11ED7">
      <w:pPr>
        <w:pStyle w:val="ListParagraph"/>
        <w:numPr>
          <w:ilvl w:val="0"/>
          <w:numId w:val="4"/>
        </w:num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CC2FB7">
        <w:rPr>
          <w:rFonts w:ascii="Arial" w:hAnsi="Arial" w:cs="Arial"/>
          <w:sz w:val="22"/>
          <w:szCs w:val="22"/>
          <w:lang w:val="mk-MK"/>
        </w:rPr>
        <w:t xml:space="preserve">Кои се планираните човечки и/или финансиски ресурси за спроведување на проценката на влијанието на регулативата и финализирање на предлог законот? </w:t>
      </w:r>
    </w:p>
    <w:p w:rsidR="00E11ED7" w:rsidRPr="00CC2FB7" w:rsidRDefault="00E11ED7" w:rsidP="00E11ED7">
      <w:pPr>
        <w:spacing w:line="360" w:lineRule="auto"/>
        <w:ind w:left="720" w:firstLine="60"/>
        <w:jc w:val="both"/>
        <w:rPr>
          <w:rFonts w:ascii="Arial" w:hAnsi="Arial" w:cs="Arial"/>
          <w:sz w:val="22"/>
          <w:szCs w:val="22"/>
          <w:lang w:val="ru-RU"/>
        </w:rPr>
      </w:pPr>
      <w:r w:rsidRPr="00CC2FB7">
        <w:rPr>
          <w:rFonts w:ascii="Arial" w:hAnsi="Arial" w:cs="Arial"/>
          <w:sz w:val="22"/>
          <w:szCs w:val="22"/>
          <w:lang w:val="ru-RU"/>
        </w:rPr>
        <w:t>Претставници од Министерството за транспорт и врски, Министерството за финансии и Министерството за правда.</w:t>
      </w:r>
    </w:p>
    <w:sectPr w:rsidR="00E11ED7" w:rsidRPr="00CC2FB7" w:rsidSect="00147E8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3C3"/>
    <w:multiLevelType w:val="hybridMultilevel"/>
    <w:tmpl w:val="F96C6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27651F"/>
    <w:multiLevelType w:val="hybridMultilevel"/>
    <w:tmpl w:val="033A0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62CD2"/>
    <w:multiLevelType w:val="hybridMultilevel"/>
    <w:tmpl w:val="6EA4F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63501"/>
    <w:multiLevelType w:val="hybridMultilevel"/>
    <w:tmpl w:val="514C63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11ED7"/>
    <w:rsid w:val="00147E84"/>
    <w:rsid w:val="002B04A2"/>
    <w:rsid w:val="00A4337A"/>
    <w:rsid w:val="00E1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1ED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2994</Characters>
  <Application>Microsoft Office Word</Application>
  <DocSecurity>0</DocSecurity>
  <Lines>24</Lines>
  <Paragraphs>7</Paragraphs>
  <ScaleCrop>false</ScaleCrop>
  <Company>Home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tatjana.labovic</dc:creator>
  <cp:keywords/>
  <dc:description/>
  <cp:lastModifiedBy>tatjana.labovic</cp:lastModifiedBy>
  <cp:revision>2</cp:revision>
  <dcterms:created xsi:type="dcterms:W3CDTF">2012-09-17T08:41:00Z</dcterms:created>
  <dcterms:modified xsi:type="dcterms:W3CDTF">2012-09-19T07:34:00Z</dcterms:modified>
</cp:coreProperties>
</file>