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2F2" w:rsidRPr="003622DE" w:rsidRDefault="005122F2" w:rsidP="005122F2">
      <w:pPr>
        <w:autoSpaceDE w:val="0"/>
        <w:autoSpaceDN w:val="0"/>
        <w:adjustRightInd w:val="0"/>
        <w:jc w:val="both"/>
        <w:rPr>
          <w:rFonts w:ascii="StobiSerif Regular" w:hAnsi="StobiSerif Regular" w:cs="Verdana"/>
          <w:sz w:val="22"/>
          <w:szCs w:val="22"/>
          <w:lang w:val="en-US"/>
        </w:rPr>
      </w:pPr>
    </w:p>
    <w:p w:rsidR="005122F2" w:rsidRDefault="005122F2" w:rsidP="005122F2">
      <w:pPr>
        <w:jc w:val="right"/>
        <w:rPr>
          <w:b/>
          <w:u w:val="single"/>
          <w:lang w:val="mk-MK"/>
        </w:rPr>
      </w:pPr>
      <w:r>
        <w:rPr>
          <w:b/>
          <w:u w:val="single"/>
          <w:lang w:val="mk-MK"/>
        </w:rPr>
        <w:t>Образец бр.1</w:t>
      </w:r>
    </w:p>
    <w:p w:rsidR="005122F2" w:rsidRDefault="005122F2" w:rsidP="005122F2">
      <w:pPr>
        <w:jc w:val="center"/>
        <w:rPr>
          <w:lang w:val="mk-MK"/>
        </w:rPr>
      </w:pPr>
    </w:p>
    <w:p w:rsidR="005122F2" w:rsidRDefault="005122F2" w:rsidP="005122F2">
      <w:pPr>
        <w:jc w:val="center"/>
        <w:rPr>
          <w:b/>
          <w:lang w:val="mk-MK"/>
        </w:rPr>
      </w:pPr>
      <w:r>
        <w:rPr>
          <w:b/>
          <w:lang w:val="mk-MK"/>
        </w:rPr>
        <w:t xml:space="preserve"> План за спроведување</w:t>
      </w:r>
    </w:p>
    <w:p w:rsidR="005122F2" w:rsidRDefault="005122F2" w:rsidP="005122F2">
      <w:pPr>
        <w:jc w:val="center"/>
        <w:rPr>
          <w:b/>
          <w:lang w:val="mk-MK"/>
        </w:rPr>
      </w:pPr>
      <w:r>
        <w:rPr>
          <w:b/>
          <w:lang w:val="mk-MK"/>
        </w:rPr>
        <w:t>на проценка на влијание на регулативата</w:t>
      </w:r>
    </w:p>
    <w:p w:rsidR="005122F2" w:rsidRDefault="005122F2" w:rsidP="005122F2">
      <w:pPr>
        <w:jc w:val="both"/>
        <w:rPr>
          <w:lang w:val="mk-MK"/>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2943"/>
        <w:gridCol w:w="6299"/>
      </w:tblGrid>
      <w:tr w:rsidR="005122F2" w:rsidTr="000615B4">
        <w:tc>
          <w:tcPr>
            <w:tcW w:w="2943" w:type="dxa"/>
            <w:tcBorders>
              <w:top w:val="single" w:sz="18" w:space="0" w:color="auto"/>
              <w:left w:val="single" w:sz="18" w:space="0" w:color="auto"/>
              <w:bottom w:val="single" w:sz="6" w:space="0" w:color="auto"/>
              <w:right w:val="single" w:sz="6" w:space="0" w:color="auto"/>
            </w:tcBorders>
            <w:tcMar>
              <w:top w:w="85" w:type="dxa"/>
              <w:left w:w="108" w:type="dxa"/>
              <w:bottom w:w="85" w:type="dxa"/>
              <w:right w:w="108" w:type="dxa"/>
            </w:tcMar>
          </w:tcPr>
          <w:p w:rsidR="005122F2" w:rsidRDefault="005122F2" w:rsidP="000615B4">
            <w:pPr>
              <w:rPr>
                <w:lang w:val="mk-MK" w:eastAsia="nl-NL"/>
              </w:rPr>
            </w:pPr>
            <w:r>
              <w:rPr>
                <w:lang w:val="mk-MK"/>
              </w:rPr>
              <w:t>Наслов на предлог законот:</w:t>
            </w:r>
          </w:p>
        </w:tc>
        <w:tc>
          <w:tcPr>
            <w:tcW w:w="6299" w:type="dxa"/>
            <w:tcBorders>
              <w:top w:val="single" w:sz="18" w:space="0" w:color="auto"/>
              <w:left w:val="single" w:sz="6" w:space="0" w:color="auto"/>
              <w:bottom w:val="single" w:sz="6" w:space="0" w:color="auto"/>
              <w:right w:val="single" w:sz="18" w:space="0" w:color="auto"/>
            </w:tcBorders>
            <w:tcMar>
              <w:top w:w="85" w:type="dxa"/>
              <w:left w:w="108" w:type="dxa"/>
              <w:bottom w:w="85" w:type="dxa"/>
              <w:right w:w="108" w:type="dxa"/>
            </w:tcMar>
          </w:tcPr>
          <w:p w:rsidR="005122F2" w:rsidRDefault="005122F2" w:rsidP="000615B4">
            <w:pPr>
              <w:jc w:val="both"/>
              <w:rPr>
                <w:lang w:val="mk-MK" w:eastAsia="nl-NL"/>
              </w:rPr>
            </w:pPr>
            <w:r>
              <w:rPr>
                <w:lang w:val="mk-MK"/>
              </w:rPr>
              <w:t>Предлог на Закон за изменување и дополнување на</w:t>
            </w:r>
          </w:p>
          <w:p w:rsidR="005122F2" w:rsidRDefault="005122F2" w:rsidP="000615B4">
            <w:pPr>
              <w:jc w:val="both"/>
              <w:rPr>
                <w:lang w:val="mk-MK" w:eastAsia="nl-NL"/>
              </w:rPr>
            </w:pPr>
            <w:r>
              <w:rPr>
                <w:lang w:val="mk-MK"/>
              </w:rPr>
              <w:t xml:space="preserve">Законот за домување  </w:t>
            </w:r>
          </w:p>
        </w:tc>
      </w:tr>
      <w:tr w:rsidR="005122F2" w:rsidTr="000615B4">
        <w:tc>
          <w:tcPr>
            <w:tcW w:w="2943" w:type="dxa"/>
            <w:tcBorders>
              <w:top w:val="single" w:sz="6" w:space="0" w:color="auto"/>
              <w:left w:val="single" w:sz="18" w:space="0" w:color="auto"/>
              <w:bottom w:val="single" w:sz="6" w:space="0" w:color="auto"/>
              <w:right w:val="single" w:sz="6" w:space="0" w:color="auto"/>
            </w:tcBorders>
            <w:tcMar>
              <w:top w:w="85" w:type="dxa"/>
              <w:left w:w="108" w:type="dxa"/>
              <w:bottom w:w="85" w:type="dxa"/>
              <w:right w:w="108" w:type="dxa"/>
            </w:tcMar>
          </w:tcPr>
          <w:p w:rsidR="005122F2" w:rsidRDefault="005122F2" w:rsidP="000615B4">
            <w:pPr>
              <w:rPr>
                <w:lang w:val="mk-MK" w:eastAsia="nl-NL"/>
              </w:rPr>
            </w:pPr>
            <w:r>
              <w:rPr>
                <w:lang w:val="mk-MK"/>
              </w:rPr>
              <w:t>Министерство:</w:t>
            </w:r>
          </w:p>
        </w:tc>
        <w:tc>
          <w:tcPr>
            <w:tcW w:w="6299" w:type="dxa"/>
            <w:tcBorders>
              <w:top w:val="single" w:sz="6" w:space="0" w:color="auto"/>
              <w:left w:val="single" w:sz="6" w:space="0" w:color="auto"/>
              <w:bottom w:val="single" w:sz="6" w:space="0" w:color="auto"/>
              <w:right w:val="single" w:sz="18" w:space="0" w:color="auto"/>
            </w:tcBorders>
            <w:tcMar>
              <w:top w:w="85" w:type="dxa"/>
              <w:left w:w="108" w:type="dxa"/>
              <w:bottom w:w="85" w:type="dxa"/>
              <w:right w:w="108" w:type="dxa"/>
            </w:tcMar>
          </w:tcPr>
          <w:p w:rsidR="005122F2" w:rsidRDefault="005122F2" w:rsidP="000615B4">
            <w:pPr>
              <w:jc w:val="both"/>
              <w:rPr>
                <w:lang w:val="mk-MK" w:eastAsia="nl-NL"/>
              </w:rPr>
            </w:pPr>
            <w:r>
              <w:rPr>
                <w:lang w:val="mk-MK"/>
              </w:rPr>
              <w:t>Министерство за транспорт и врски</w:t>
            </w:r>
          </w:p>
        </w:tc>
      </w:tr>
      <w:tr w:rsidR="005122F2" w:rsidTr="000615B4">
        <w:tc>
          <w:tcPr>
            <w:tcW w:w="2943" w:type="dxa"/>
            <w:tcBorders>
              <w:top w:val="single" w:sz="6" w:space="0" w:color="auto"/>
              <w:left w:val="single" w:sz="18" w:space="0" w:color="auto"/>
              <w:bottom w:val="single" w:sz="6" w:space="0" w:color="auto"/>
              <w:right w:val="single" w:sz="6" w:space="0" w:color="auto"/>
            </w:tcBorders>
            <w:tcMar>
              <w:top w:w="85" w:type="dxa"/>
              <w:left w:w="108" w:type="dxa"/>
              <w:bottom w:w="85" w:type="dxa"/>
              <w:right w:w="108" w:type="dxa"/>
            </w:tcMar>
          </w:tcPr>
          <w:p w:rsidR="005122F2" w:rsidRDefault="005122F2" w:rsidP="000615B4">
            <w:pPr>
              <w:rPr>
                <w:lang w:val="mk-MK" w:eastAsia="nl-NL"/>
              </w:rPr>
            </w:pPr>
            <w:r>
              <w:rPr>
                <w:lang w:val="mk-MK"/>
              </w:rPr>
              <w:t>Лице за контакт/одговорно лице:</w:t>
            </w:r>
          </w:p>
        </w:tc>
        <w:tc>
          <w:tcPr>
            <w:tcW w:w="6299" w:type="dxa"/>
            <w:tcBorders>
              <w:top w:val="single" w:sz="6" w:space="0" w:color="auto"/>
              <w:left w:val="single" w:sz="6" w:space="0" w:color="auto"/>
              <w:bottom w:val="single" w:sz="6" w:space="0" w:color="auto"/>
              <w:right w:val="single" w:sz="18" w:space="0" w:color="auto"/>
            </w:tcBorders>
            <w:tcMar>
              <w:top w:w="85" w:type="dxa"/>
              <w:left w:w="108" w:type="dxa"/>
              <w:bottom w:w="85" w:type="dxa"/>
              <w:right w:w="108" w:type="dxa"/>
            </w:tcMar>
          </w:tcPr>
          <w:p w:rsidR="005122F2" w:rsidRDefault="005122F2" w:rsidP="000615B4">
            <w:pPr>
              <w:jc w:val="both"/>
              <w:rPr>
                <w:lang w:val="mk-MK" w:eastAsia="nl-NL"/>
              </w:rPr>
            </w:pPr>
            <w:r>
              <w:rPr>
                <w:lang w:val="mk-MK"/>
              </w:rPr>
              <w:t>Сузана Камческа</w:t>
            </w:r>
          </w:p>
          <w:p w:rsidR="005122F2" w:rsidRDefault="005122F2" w:rsidP="000615B4">
            <w:pPr>
              <w:jc w:val="both"/>
              <w:rPr>
                <w:lang w:val="mk-MK" w:eastAsia="nl-NL"/>
              </w:rPr>
            </w:pPr>
            <w:r>
              <w:rPr>
                <w:lang w:val="mk-MK"/>
              </w:rPr>
              <w:t>3 145 506</w:t>
            </w:r>
          </w:p>
        </w:tc>
      </w:tr>
      <w:tr w:rsidR="005122F2" w:rsidTr="000615B4">
        <w:tc>
          <w:tcPr>
            <w:tcW w:w="2943" w:type="dxa"/>
            <w:tcBorders>
              <w:top w:val="single" w:sz="6" w:space="0" w:color="auto"/>
              <w:left w:val="single" w:sz="18" w:space="0" w:color="auto"/>
              <w:bottom w:val="single" w:sz="6" w:space="0" w:color="auto"/>
              <w:right w:val="single" w:sz="6" w:space="0" w:color="auto"/>
            </w:tcBorders>
            <w:tcMar>
              <w:top w:w="85" w:type="dxa"/>
              <w:left w:w="108" w:type="dxa"/>
              <w:bottom w:w="85" w:type="dxa"/>
              <w:right w:w="108" w:type="dxa"/>
            </w:tcMar>
          </w:tcPr>
          <w:p w:rsidR="005122F2" w:rsidRDefault="005122F2" w:rsidP="000615B4">
            <w:pPr>
              <w:rPr>
                <w:lang w:val="mk-MK" w:eastAsia="nl-NL"/>
              </w:rPr>
            </w:pPr>
            <w:r>
              <w:rPr>
                <w:lang w:val="mk-MK"/>
              </w:rPr>
              <w:t>Очекуван датум за усвојување на предлог законот:</w:t>
            </w:r>
          </w:p>
        </w:tc>
        <w:tc>
          <w:tcPr>
            <w:tcW w:w="6299" w:type="dxa"/>
            <w:tcBorders>
              <w:top w:val="single" w:sz="6" w:space="0" w:color="auto"/>
              <w:left w:val="single" w:sz="6" w:space="0" w:color="auto"/>
              <w:bottom w:val="single" w:sz="6" w:space="0" w:color="auto"/>
              <w:right w:val="single" w:sz="18" w:space="0" w:color="auto"/>
            </w:tcBorders>
            <w:tcMar>
              <w:top w:w="85" w:type="dxa"/>
              <w:left w:w="108" w:type="dxa"/>
              <w:bottom w:w="85" w:type="dxa"/>
              <w:right w:w="108" w:type="dxa"/>
            </w:tcMar>
          </w:tcPr>
          <w:p w:rsidR="005122F2" w:rsidRDefault="005122F2" w:rsidP="000615B4">
            <w:pPr>
              <w:jc w:val="both"/>
              <w:rPr>
                <w:lang w:val="mk-MK" w:eastAsia="nl-NL"/>
              </w:rPr>
            </w:pPr>
            <w:r>
              <w:rPr>
                <w:lang w:val="mk-MK"/>
              </w:rPr>
              <w:t>јануари 2013 година</w:t>
            </w:r>
          </w:p>
        </w:tc>
      </w:tr>
      <w:tr w:rsidR="005122F2" w:rsidTr="000615B4">
        <w:tc>
          <w:tcPr>
            <w:tcW w:w="2943" w:type="dxa"/>
            <w:tcBorders>
              <w:top w:val="single" w:sz="6" w:space="0" w:color="auto"/>
              <w:left w:val="single" w:sz="18" w:space="0" w:color="auto"/>
              <w:bottom w:val="single" w:sz="18" w:space="0" w:color="auto"/>
              <w:right w:val="single" w:sz="6" w:space="0" w:color="auto"/>
            </w:tcBorders>
            <w:tcMar>
              <w:top w:w="85" w:type="dxa"/>
              <w:left w:w="108" w:type="dxa"/>
              <w:bottom w:w="85" w:type="dxa"/>
              <w:right w:w="108" w:type="dxa"/>
            </w:tcMar>
          </w:tcPr>
          <w:p w:rsidR="005122F2" w:rsidRDefault="005122F2" w:rsidP="000615B4">
            <w:pPr>
              <w:rPr>
                <w:lang w:val="mk-MK" w:eastAsia="nl-NL"/>
              </w:rPr>
            </w:pPr>
            <w:r>
              <w:rPr>
                <w:lang w:val="mk-MK"/>
              </w:rPr>
              <w:t>Поврзаност со ЕУ директиви</w:t>
            </w:r>
          </w:p>
        </w:tc>
        <w:tc>
          <w:tcPr>
            <w:tcW w:w="6299" w:type="dxa"/>
            <w:tcBorders>
              <w:top w:val="single" w:sz="6" w:space="0" w:color="auto"/>
              <w:left w:val="single" w:sz="6" w:space="0" w:color="auto"/>
              <w:bottom w:val="single" w:sz="18" w:space="0" w:color="auto"/>
              <w:right w:val="single" w:sz="18" w:space="0" w:color="auto"/>
            </w:tcBorders>
            <w:tcMar>
              <w:top w:w="85" w:type="dxa"/>
              <w:left w:w="108" w:type="dxa"/>
              <w:bottom w:w="85" w:type="dxa"/>
              <w:right w:w="108" w:type="dxa"/>
            </w:tcMar>
          </w:tcPr>
          <w:p w:rsidR="005122F2" w:rsidRDefault="005122F2" w:rsidP="000615B4">
            <w:pPr>
              <w:jc w:val="both"/>
              <w:rPr>
                <w:lang w:val="mk-MK" w:eastAsia="nl-NL"/>
              </w:rPr>
            </w:pPr>
            <w:r>
              <w:rPr>
                <w:lang w:val="mk-MK"/>
              </w:rPr>
              <w:t>не</w:t>
            </w:r>
          </w:p>
        </w:tc>
      </w:tr>
    </w:tbl>
    <w:p w:rsidR="005122F2" w:rsidRDefault="005122F2" w:rsidP="005122F2">
      <w:pPr>
        <w:jc w:val="both"/>
        <w:rPr>
          <w:lang w:val="mk-MK" w:eastAsia="nl-NL"/>
        </w:rPr>
      </w:pPr>
    </w:p>
    <w:p w:rsidR="005122F2" w:rsidRDefault="005122F2" w:rsidP="005122F2">
      <w:pPr>
        <w:pBdr>
          <w:top w:val="single" w:sz="4" w:space="1" w:color="auto"/>
          <w:left w:val="single" w:sz="4" w:space="4" w:color="auto"/>
          <w:bottom w:val="single" w:sz="4" w:space="1" w:color="auto"/>
          <w:right w:val="single" w:sz="4" w:space="4" w:color="auto"/>
        </w:pBdr>
        <w:jc w:val="both"/>
        <w:rPr>
          <w:b/>
          <w:lang w:val="mk-MK"/>
        </w:rPr>
      </w:pPr>
      <w:r>
        <w:rPr>
          <w:b/>
          <w:lang w:val="mk-MK"/>
        </w:rPr>
        <w:t>Дел 1: Почетна проценка на влијанието на регулативата и планирање на работата</w:t>
      </w:r>
    </w:p>
    <w:p w:rsidR="005122F2" w:rsidRDefault="005122F2" w:rsidP="005122F2">
      <w:pPr>
        <w:pBdr>
          <w:top w:val="single" w:sz="4" w:space="1" w:color="auto"/>
          <w:left w:val="single" w:sz="4" w:space="4" w:color="auto"/>
          <w:bottom w:val="single" w:sz="4" w:space="1" w:color="auto"/>
          <w:right w:val="single" w:sz="4" w:space="4" w:color="auto"/>
        </w:pBdr>
        <w:jc w:val="both"/>
        <w:rPr>
          <w:lang w:val="mk-MK"/>
        </w:rPr>
      </w:pPr>
      <w:r>
        <w:rPr>
          <w:lang w:val="mk-MK"/>
        </w:rPr>
        <w:t>(забелешка: овој дел е јавен и ќе се објави во Единствениот електронскиот регистар на прописи)</w:t>
      </w:r>
    </w:p>
    <w:p w:rsidR="005122F2" w:rsidRDefault="005122F2" w:rsidP="005122F2">
      <w:pPr>
        <w:jc w:val="both"/>
        <w:rPr>
          <w:u w:val="single"/>
          <w:lang w:val="mk-MK"/>
        </w:rPr>
      </w:pPr>
    </w:p>
    <w:p w:rsidR="005122F2" w:rsidRDefault="005122F2" w:rsidP="005122F2">
      <w:pPr>
        <w:jc w:val="both"/>
        <w:rPr>
          <w:rFonts w:ascii="Albertus MT Lt" w:hAnsi="Albertus MT Lt"/>
          <w:u w:val="single"/>
          <w:lang w:val="mk-MK"/>
        </w:rPr>
      </w:pPr>
      <w:r>
        <w:rPr>
          <w:u w:val="single"/>
          <w:lang w:val="mk-MK"/>
        </w:rPr>
        <w:t>А. Почетна проценка на влијанието на регулативата</w:t>
      </w:r>
    </w:p>
    <w:p w:rsidR="005122F2" w:rsidRDefault="005122F2" w:rsidP="005122F2">
      <w:pPr>
        <w:pStyle w:val="ListParagraph"/>
        <w:numPr>
          <w:ilvl w:val="0"/>
          <w:numId w:val="1"/>
        </w:numPr>
        <w:spacing w:after="200" w:line="276" w:lineRule="auto"/>
        <w:contextualSpacing/>
        <w:jc w:val="both"/>
        <w:rPr>
          <w:lang w:val="mk-MK"/>
        </w:rPr>
      </w:pPr>
      <w:r>
        <w:rPr>
          <w:lang w:val="mk-MK"/>
        </w:rPr>
        <w:t xml:space="preserve">Кои се главните проблеми?  </w:t>
      </w:r>
    </w:p>
    <w:p w:rsidR="005122F2" w:rsidRDefault="005122F2" w:rsidP="005122F2">
      <w:pPr>
        <w:ind w:firstLine="720"/>
        <w:jc w:val="both"/>
        <w:rPr>
          <w:lang w:val="mk-MK"/>
        </w:rPr>
      </w:pPr>
      <w:r>
        <w:rPr>
          <w:color w:val="000000"/>
          <w:lang w:val="ru-RU"/>
        </w:rPr>
        <w:t xml:space="preserve">Со Законот за домување не се докрај регулирани одредени прашања кои се однесуваат на условите за одземање на лиценци за управители, обврските на сопствениците во станбените згради при  склучувањето на договори за управување со управител или со заедницата на сопствениц, во поглед на случаите на престанување на функцијата претседател на заедница на сопственици, обврските на инспекторите за вршењето инспекциски надзор и преодни решенија за правото на откуп на станови во државна сопственост.  </w:t>
      </w:r>
    </w:p>
    <w:p w:rsidR="005122F2" w:rsidRDefault="005122F2" w:rsidP="005122F2">
      <w:pPr>
        <w:ind w:firstLine="720"/>
        <w:jc w:val="both"/>
        <w:rPr>
          <w:lang w:val="mk-MK"/>
        </w:rPr>
      </w:pPr>
    </w:p>
    <w:p w:rsidR="005122F2" w:rsidRDefault="005122F2" w:rsidP="005122F2">
      <w:pPr>
        <w:numPr>
          <w:ilvl w:val="0"/>
          <w:numId w:val="1"/>
        </w:numPr>
        <w:spacing w:before="100" w:beforeAutospacing="1" w:after="200" w:line="276" w:lineRule="auto"/>
        <w:contextualSpacing/>
        <w:jc w:val="both"/>
        <w:rPr>
          <w:lang w:val="mk-MK" w:eastAsia="en-GB"/>
        </w:rPr>
      </w:pPr>
      <w:r>
        <w:rPr>
          <w:lang w:val="mk-MK" w:eastAsia="en-GB"/>
        </w:rPr>
        <w:t>Кои се можните решенија (опции)? Кои регулаторни или нерегулаторни мерки на закони би можеле да се разгледаат?</w:t>
      </w:r>
    </w:p>
    <w:p w:rsidR="005122F2" w:rsidRDefault="005122F2" w:rsidP="005122F2">
      <w:pPr>
        <w:pStyle w:val="msonormalcxspmiddle"/>
        <w:spacing w:after="200" w:afterAutospacing="0" w:line="276" w:lineRule="auto"/>
        <w:contextualSpacing/>
        <w:jc w:val="both"/>
        <w:rPr>
          <w:lang w:val="mk-MK"/>
        </w:rPr>
      </w:pPr>
      <w:r>
        <w:rPr>
          <w:lang w:val="mk-MK"/>
        </w:rPr>
        <w:t xml:space="preserve">Измените и дополнувања на законот ќе овозможат вршење дорегулирање на одредени прашања во делот на лиценци кои се издаваат согласно овој закон, прецизирање на одредбите кои ги регулираат обврските на сопствениците на становите во поглед на управувањето со станбените згради, утврдување на овластувања на надлежните инспектори и други решенија кои би биле посочени од засегнатите страни.  </w:t>
      </w:r>
    </w:p>
    <w:p w:rsidR="005122F2" w:rsidRDefault="005122F2" w:rsidP="005122F2">
      <w:pPr>
        <w:pStyle w:val="msonormalcxspmiddle"/>
        <w:spacing w:after="200" w:afterAutospacing="0" w:line="276" w:lineRule="auto"/>
        <w:contextualSpacing/>
        <w:jc w:val="both"/>
        <w:rPr>
          <w:lang w:val="mk-MK"/>
        </w:rPr>
      </w:pPr>
    </w:p>
    <w:p w:rsidR="005122F2" w:rsidRDefault="005122F2" w:rsidP="005122F2">
      <w:pPr>
        <w:pStyle w:val="msonormalcxspmiddle"/>
        <w:spacing w:after="200" w:afterAutospacing="0" w:line="276" w:lineRule="auto"/>
        <w:contextualSpacing/>
        <w:jc w:val="both"/>
        <w:rPr>
          <w:lang w:val="mk-MK"/>
        </w:rPr>
      </w:pPr>
      <w:r>
        <w:rPr>
          <w:lang w:val="mk-MK"/>
        </w:rPr>
        <w:t xml:space="preserve">       3.  Кои се засегнатите страни кои ќе бидат вклучени во процесот</w:t>
      </w:r>
      <w:r>
        <w:rPr>
          <w:lang w:val="ru-RU"/>
        </w:rPr>
        <w:t xml:space="preserve"> </w:t>
      </w:r>
      <w:r>
        <w:rPr>
          <w:lang w:val="mk-MK"/>
        </w:rPr>
        <w:t>на проценка на влијанието на регулативата?</w:t>
      </w:r>
    </w:p>
    <w:p w:rsidR="005122F2" w:rsidRDefault="005122F2" w:rsidP="005122F2">
      <w:pPr>
        <w:pStyle w:val="msonormalcxspmiddle"/>
        <w:tabs>
          <w:tab w:val="right" w:pos="8640"/>
        </w:tabs>
        <w:spacing w:after="200" w:afterAutospacing="0" w:line="276" w:lineRule="auto"/>
        <w:contextualSpacing/>
        <w:jc w:val="both"/>
        <w:rPr>
          <w:lang w:val="mk-MK"/>
        </w:rPr>
      </w:pPr>
      <w:r>
        <w:rPr>
          <w:lang w:val="mk-MK"/>
        </w:rPr>
        <w:t xml:space="preserve">Државни органи, општини, Регулаторна комисија за домување, правни и физички лица. </w:t>
      </w:r>
      <w:r>
        <w:rPr>
          <w:lang w:val="mk-MK"/>
        </w:rPr>
        <w:tab/>
        <w:t xml:space="preserve"> </w:t>
      </w:r>
    </w:p>
    <w:p w:rsidR="005122F2" w:rsidRDefault="005122F2" w:rsidP="005122F2">
      <w:pPr>
        <w:jc w:val="both"/>
        <w:rPr>
          <w:lang w:val="mk-MK" w:eastAsia="nl-NL"/>
        </w:rPr>
      </w:pPr>
    </w:p>
    <w:p w:rsidR="005122F2" w:rsidRDefault="005122F2" w:rsidP="005122F2">
      <w:pPr>
        <w:jc w:val="both"/>
        <w:rPr>
          <w:u w:val="single"/>
          <w:lang w:val="mk-MK"/>
        </w:rPr>
      </w:pPr>
      <w:r>
        <w:rPr>
          <w:u w:val="single"/>
          <w:lang w:val="mk-MK"/>
        </w:rPr>
        <w:t>Б. Планирање на потребната работа за проценка на влијанието на регулативата</w:t>
      </w:r>
    </w:p>
    <w:p w:rsidR="005122F2" w:rsidRDefault="005122F2" w:rsidP="005122F2">
      <w:pPr>
        <w:pStyle w:val="ListParagraph"/>
        <w:numPr>
          <w:ilvl w:val="0"/>
          <w:numId w:val="2"/>
        </w:numPr>
        <w:spacing w:after="200" w:line="276" w:lineRule="auto"/>
        <w:contextualSpacing/>
        <w:jc w:val="both"/>
        <w:rPr>
          <w:lang w:val="mk-MK"/>
        </w:rPr>
      </w:pPr>
      <w:r>
        <w:rPr>
          <w:lang w:val="mk-MK"/>
        </w:rPr>
        <w:t xml:space="preserve">Кои информации и податоци се веќе достапни? </w:t>
      </w:r>
    </w:p>
    <w:p w:rsidR="005122F2" w:rsidRPr="006300ED" w:rsidRDefault="005122F2" w:rsidP="005122F2">
      <w:pPr>
        <w:ind w:firstLine="720"/>
        <w:jc w:val="both"/>
        <w:rPr>
          <w:lang w:val="mk-MK"/>
        </w:rPr>
      </w:pPr>
      <w:r w:rsidRPr="006300ED">
        <w:rPr>
          <w:lang w:val="mk-MK"/>
        </w:rPr>
        <w:t xml:space="preserve">Од досегашната примена на Законот за домување Министерството за транспорт и врски и Регулаторната Комисија за домување констатираа непрецизности на одделни одредби како и прашања кои не се регулирани заради што произлезе потребата од изменување и дополнување на законот. </w:t>
      </w:r>
    </w:p>
    <w:p w:rsidR="005122F2" w:rsidRPr="00A07187" w:rsidRDefault="005122F2" w:rsidP="005122F2">
      <w:pPr>
        <w:ind w:firstLine="720"/>
        <w:jc w:val="both"/>
        <w:rPr>
          <w:b/>
          <w:lang w:val="mk-MK"/>
        </w:rPr>
      </w:pPr>
    </w:p>
    <w:p w:rsidR="005122F2" w:rsidRDefault="005122F2" w:rsidP="005122F2">
      <w:pPr>
        <w:numPr>
          <w:ilvl w:val="0"/>
          <w:numId w:val="2"/>
        </w:numPr>
        <w:spacing w:before="100" w:beforeAutospacing="1" w:after="200" w:line="276" w:lineRule="auto"/>
        <w:contextualSpacing/>
        <w:jc w:val="both"/>
        <w:rPr>
          <w:lang w:val="mk-MK" w:eastAsia="en-GB"/>
        </w:rPr>
      </w:pPr>
      <w:r>
        <w:rPr>
          <w:lang w:val="mk-MK" w:eastAsia="en-GB"/>
        </w:rPr>
        <w:t xml:space="preserve">Кои дополнителни информации и податоци треба да се соберат? </w:t>
      </w:r>
    </w:p>
    <w:p w:rsidR="005122F2" w:rsidRDefault="005122F2" w:rsidP="005122F2">
      <w:pPr>
        <w:pStyle w:val="msonormalcxspmiddle"/>
        <w:spacing w:before="0" w:beforeAutospacing="0" w:after="200" w:afterAutospacing="0" w:line="276" w:lineRule="auto"/>
        <w:ind w:left="360"/>
        <w:contextualSpacing/>
        <w:jc w:val="both"/>
        <w:rPr>
          <w:lang w:val="mk-MK"/>
        </w:rPr>
      </w:pPr>
    </w:p>
    <w:p w:rsidR="005122F2" w:rsidRPr="001843CD" w:rsidRDefault="005122F2" w:rsidP="001843CD">
      <w:pPr>
        <w:pStyle w:val="msonormalcxspmiddle"/>
        <w:spacing w:before="0" w:beforeAutospacing="0" w:after="200" w:afterAutospacing="0" w:line="276" w:lineRule="auto"/>
        <w:ind w:left="360" w:firstLine="360"/>
        <w:contextualSpacing/>
        <w:jc w:val="both"/>
        <w:rPr>
          <w:lang w:val="en-US"/>
        </w:rPr>
      </w:pPr>
      <w:r>
        <w:rPr>
          <w:lang w:val="mk-MK"/>
        </w:rPr>
        <w:t>Нема дополнителни информации.</w:t>
      </w:r>
    </w:p>
    <w:p w:rsidR="005122F2" w:rsidRDefault="005122F2" w:rsidP="005122F2">
      <w:pPr>
        <w:numPr>
          <w:ilvl w:val="0"/>
          <w:numId w:val="2"/>
        </w:numPr>
        <w:spacing w:before="100" w:beforeAutospacing="1" w:after="200" w:line="276" w:lineRule="auto"/>
        <w:contextualSpacing/>
        <w:jc w:val="both"/>
        <w:rPr>
          <w:lang w:val="mk-MK" w:eastAsia="en-GB"/>
        </w:rPr>
      </w:pPr>
      <w:r>
        <w:rPr>
          <w:lang w:val="mk-MK" w:eastAsia="en-GB"/>
        </w:rPr>
        <w:t>Кој тип и ниво на проценка е потребно (Иницијална или Комплетна проценка на влијание на регулативата - принцип на пропорционална анализа)?</w:t>
      </w:r>
    </w:p>
    <w:p w:rsidR="005122F2" w:rsidRPr="001843CD" w:rsidRDefault="005122F2" w:rsidP="005122F2">
      <w:pPr>
        <w:spacing w:before="100" w:beforeAutospacing="1" w:after="100" w:afterAutospacing="1"/>
        <w:jc w:val="both"/>
        <w:rPr>
          <w:lang w:val="en-US" w:eastAsia="en-GB"/>
        </w:rPr>
      </w:pPr>
      <w:r>
        <w:rPr>
          <w:lang w:val="mk-MK" w:eastAsia="en-GB"/>
        </w:rPr>
        <w:t>Иницијална проценка на влијанието на регулативата.</w:t>
      </w:r>
    </w:p>
    <w:p w:rsidR="005122F2" w:rsidRDefault="005122F2" w:rsidP="005122F2">
      <w:pPr>
        <w:numPr>
          <w:ilvl w:val="0"/>
          <w:numId w:val="2"/>
        </w:numPr>
        <w:spacing w:before="100" w:beforeAutospacing="1" w:after="200" w:line="276" w:lineRule="auto"/>
        <w:contextualSpacing/>
        <w:jc w:val="both"/>
        <w:rPr>
          <w:lang w:val="mk-MK" w:eastAsia="en-GB"/>
        </w:rPr>
      </w:pPr>
      <w:r>
        <w:rPr>
          <w:lang w:val="mk-MK" w:eastAsia="en-GB"/>
        </w:rPr>
        <w:t>Дали ќе се формира меѓуресорска работна група за спроведување на проценка на влијание на регулативата и кои институции ќе се вклучат?</w:t>
      </w:r>
    </w:p>
    <w:p w:rsidR="005122F2" w:rsidRPr="001843CD" w:rsidRDefault="005122F2" w:rsidP="001843CD">
      <w:pPr>
        <w:pStyle w:val="msonormalcxspmiddle"/>
        <w:spacing w:before="0" w:beforeAutospacing="0" w:after="200" w:afterAutospacing="0" w:line="276" w:lineRule="auto"/>
        <w:ind w:left="360" w:firstLine="360"/>
        <w:contextualSpacing/>
        <w:jc w:val="both"/>
        <w:rPr>
          <w:lang w:val="en-US"/>
        </w:rPr>
      </w:pPr>
      <w:r>
        <w:rPr>
          <w:lang w:val="mk-MK"/>
        </w:rPr>
        <w:t>Не.</w:t>
      </w:r>
    </w:p>
    <w:p w:rsidR="005122F2" w:rsidRDefault="005122F2" w:rsidP="005122F2">
      <w:pPr>
        <w:pBdr>
          <w:top w:val="single" w:sz="4" w:space="1" w:color="auto"/>
          <w:left w:val="single" w:sz="4" w:space="4" w:color="auto"/>
          <w:bottom w:val="single" w:sz="4" w:space="1" w:color="auto"/>
          <w:right w:val="single" w:sz="4" w:space="4" w:color="auto"/>
        </w:pBdr>
        <w:jc w:val="center"/>
        <w:rPr>
          <w:b/>
          <w:lang w:val="mk-MK" w:eastAsia="nl-NL"/>
        </w:rPr>
      </w:pPr>
      <w:r>
        <w:rPr>
          <w:b/>
          <w:lang w:val="mk-MK"/>
        </w:rPr>
        <w:t>Дел 2: Подетално планирање, вклучително со време и ресурси</w:t>
      </w:r>
    </w:p>
    <w:p w:rsidR="005122F2" w:rsidRDefault="005122F2" w:rsidP="005122F2">
      <w:pPr>
        <w:pBdr>
          <w:top w:val="single" w:sz="4" w:space="1" w:color="auto"/>
          <w:left w:val="single" w:sz="4" w:space="4" w:color="auto"/>
          <w:bottom w:val="single" w:sz="4" w:space="1" w:color="auto"/>
          <w:right w:val="single" w:sz="4" w:space="4" w:color="auto"/>
        </w:pBdr>
        <w:jc w:val="center"/>
        <w:rPr>
          <w:lang w:val="mk-MK"/>
        </w:rPr>
      </w:pPr>
      <w:r>
        <w:rPr>
          <w:lang w:val="mk-MK"/>
        </w:rPr>
        <w:t>(забелешка: овој дел е за интерна употреба на Владата на Република Македонија)</w:t>
      </w:r>
    </w:p>
    <w:p w:rsidR="005122F2" w:rsidRDefault="005122F2" w:rsidP="005122F2">
      <w:pPr>
        <w:rPr>
          <w:u w:val="single"/>
          <w:lang w:val="mk-MK"/>
        </w:rPr>
      </w:pPr>
    </w:p>
    <w:p w:rsidR="005122F2" w:rsidRDefault="005122F2" w:rsidP="005122F2">
      <w:pPr>
        <w:jc w:val="both"/>
        <w:rPr>
          <w:u w:val="single"/>
          <w:lang w:val="mk-MK"/>
        </w:rPr>
      </w:pPr>
      <w:r>
        <w:rPr>
          <w:u w:val="single"/>
          <w:lang w:val="mk-MK"/>
        </w:rPr>
        <w:t>В. Временска рамка</w:t>
      </w:r>
    </w:p>
    <w:p w:rsidR="005122F2" w:rsidRDefault="005122F2" w:rsidP="005122F2">
      <w:pPr>
        <w:pStyle w:val="ListParagraph"/>
        <w:numPr>
          <w:ilvl w:val="0"/>
          <w:numId w:val="3"/>
        </w:numPr>
        <w:spacing w:after="200" w:line="276" w:lineRule="auto"/>
        <w:contextualSpacing/>
        <w:jc w:val="both"/>
        <w:rPr>
          <w:lang w:val="mk-MK" w:eastAsia="en-GB"/>
        </w:rPr>
      </w:pPr>
      <w:r>
        <w:rPr>
          <w:lang w:val="mk-MK"/>
        </w:rPr>
        <w:t>Кога ќе започнат активностите за проценка на влијанијата на регулативата?</w:t>
      </w:r>
    </w:p>
    <w:p w:rsidR="005122F2" w:rsidRDefault="005122F2" w:rsidP="001843CD">
      <w:pPr>
        <w:spacing w:before="100" w:beforeAutospacing="1" w:after="100" w:afterAutospacing="1"/>
        <w:ind w:left="360" w:firstLine="360"/>
        <w:contextualSpacing/>
        <w:jc w:val="both"/>
        <w:rPr>
          <w:lang w:val="en-US" w:eastAsia="en-GB"/>
        </w:rPr>
      </w:pPr>
      <w:r>
        <w:rPr>
          <w:lang w:val="mk-MK" w:eastAsia="en-GB"/>
        </w:rPr>
        <w:t>Активностите  започнаа во октомври  2012 година.</w:t>
      </w:r>
    </w:p>
    <w:p w:rsidR="001843CD" w:rsidRPr="001843CD" w:rsidRDefault="001843CD" w:rsidP="001843CD">
      <w:pPr>
        <w:spacing w:before="100" w:beforeAutospacing="1" w:after="100" w:afterAutospacing="1"/>
        <w:ind w:left="360" w:firstLine="360"/>
        <w:contextualSpacing/>
        <w:jc w:val="both"/>
        <w:rPr>
          <w:lang w:val="en-US" w:eastAsia="en-GB"/>
        </w:rPr>
      </w:pPr>
    </w:p>
    <w:p w:rsidR="005122F2" w:rsidRPr="001843CD" w:rsidRDefault="005122F2" w:rsidP="005122F2">
      <w:pPr>
        <w:numPr>
          <w:ilvl w:val="0"/>
          <w:numId w:val="3"/>
        </w:numPr>
        <w:spacing w:before="100" w:beforeAutospacing="1" w:after="200" w:line="276" w:lineRule="auto"/>
        <w:contextualSpacing/>
        <w:jc w:val="both"/>
        <w:rPr>
          <w:lang w:val="mk-MK" w:eastAsia="en-GB"/>
        </w:rPr>
      </w:pPr>
      <w:r>
        <w:rPr>
          <w:lang w:val="mk-MK" w:eastAsia="en-GB"/>
        </w:rPr>
        <w:t>Ако се планира вклучување на надворешни консултанти (на пример за аналитички студии, собирање на информации, итн.), која е временската рамка предвидена за процесот на набавка и договарање?</w:t>
      </w:r>
    </w:p>
    <w:p w:rsidR="005122F2" w:rsidRPr="001843CD" w:rsidRDefault="005122F2" w:rsidP="001843CD">
      <w:pPr>
        <w:pStyle w:val="msonormalcxspmiddle"/>
        <w:spacing w:before="0" w:beforeAutospacing="0" w:after="200" w:afterAutospacing="0" w:line="276" w:lineRule="auto"/>
        <w:ind w:left="360" w:firstLine="360"/>
        <w:contextualSpacing/>
        <w:jc w:val="both"/>
        <w:rPr>
          <w:lang w:val="en-US"/>
        </w:rPr>
      </w:pPr>
      <w:r>
        <w:rPr>
          <w:lang w:val="mk-MK"/>
        </w:rPr>
        <w:t>Нема потреба од вклучување на надворешни консултанти.</w:t>
      </w:r>
    </w:p>
    <w:p w:rsidR="005122F2" w:rsidRDefault="005122F2" w:rsidP="005122F2">
      <w:pPr>
        <w:numPr>
          <w:ilvl w:val="0"/>
          <w:numId w:val="3"/>
        </w:numPr>
        <w:spacing w:before="100" w:beforeAutospacing="1" w:after="200" w:line="276" w:lineRule="auto"/>
        <w:contextualSpacing/>
        <w:jc w:val="both"/>
        <w:rPr>
          <w:lang w:val="mk-MK" w:eastAsia="en-GB"/>
        </w:rPr>
      </w:pPr>
      <w:r>
        <w:rPr>
          <w:lang w:val="mk-MK" w:eastAsia="en-GB"/>
        </w:rPr>
        <w:t>Кога предлог законот и проценката на влијанието на регулативата ќе бидат поднесени до Генералниот секретаријат?</w:t>
      </w:r>
    </w:p>
    <w:p w:rsidR="005122F2" w:rsidRDefault="005122F2" w:rsidP="005122F2">
      <w:pPr>
        <w:ind w:left="720"/>
        <w:jc w:val="both"/>
        <w:rPr>
          <w:lang w:val="mk-MK" w:eastAsia="nl-NL"/>
        </w:rPr>
      </w:pPr>
      <w:r>
        <w:rPr>
          <w:lang w:val="mk-MK"/>
        </w:rPr>
        <w:t>Во  почетокот на јануари 2013 година</w:t>
      </w:r>
    </w:p>
    <w:p w:rsidR="005122F2" w:rsidRDefault="005122F2" w:rsidP="005122F2">
      <w:pPr>
        <w:ind w:left="720"/>
        <w:jc w:val="both"/>
        <w:rPr>
          <w:lang w:val="mk-MK"/>
        </w:rPr>
      </w:pPr>
    </w:p>
    <w:p w:rsidR="005122F2" w:rsidRDefault="005122F2" w:rsidP="005122F2">
      <w:pPr>
        <w:jc w:val="both"/>
        <w:rPr>
          <w:u w:val="single"/>
          <w:lang w:val="mk-MK"/>
        </w:rPr>
      </w:pPr>
      <w:r>
        <w:rPr>
          <w:u w:val="single"/>
          <w:lang w:val="mk-MK"/>
        </w:rPr>
        <w:t>Г. Ресурси</w:t>
      </w:r>
    </w:p>
    <w:p w:rsidR="005122F2" w:rsidRDefault="005122F2" w:rsidP="005122F2">
      <w:pPr>
        <w:pStyle w:val="ListParagraph"/>
        <w:numPr>
          <w:ilvl w:val="0"/>
          <w:numId w:val="4"/>
        </w:numPr>
        <w:spacing w:after="200" w:line="276" w:lineRule="auto"/>
        <w:contextualSpacing/>
        <w:jc w:val="both"/>
        <w:rPr>
          <w:lang w:val="mk-MK"/>
        </w:rPr>
      </w:pPr>
      <w:r>
        <w:rPr>
          <w:lang w:val="mk-MK"/>
        </w:rPr>
        <w:t xml:space="preserve">Кои се планираните човечки и/или финансиски ресурси за спроведување на проценката на влијанието на регулативата и финализирање на предлог законот ? </w:t>
      </w:r>
    </w:p>
    <w:p w:rsidR="005122F2" w:rsidRDefault="005122F2" w:rsidP="005122F2">
      <w:pPr>
        <w:jc w:val="center"/>
        <w:rPr>
          <w:u w:val="single"/>
          <w:lang w:val="en-US"/>
        </w:rPr>
      </w:pPr>
    </w:p>
    <w:p w:rsidR="001843CD" w:rsidRPr="001843CD" w:rsidRDefault="001843CD" w:rsidP="005122F2">
      <w:pPr>
        <w:jc w:val="center"/>
        <w:rPr>
          <w:u w:val="single"/>
          <w:lang w:val="en-US"/>
        </w:rPr>
      </w:pPr>
    </w:p>
    <w:p w:rsidR="005122F2" w:rsidRDefault="005122F2" w:rsidP="005122F2">
      <w:pPr>
        <w:jc w:val="both"/>
        <w:rPr>
          <w:lang w:val="mk-MK"/>
        </w:rPr>
      </w:pPr>
    </w:p>
    <w:p w:rsidR="005122F2" w:rsidRDefault="005122F2" w:rsidP="005122F2">
      <w:pPr>
        <w:jc w:val="both"/>
        <w:rPr>
          <w:b/>
          <w:lang w:val="mk-MK"/>
        </w:rPr>
      </w:pPr>
      <w:r>
        <w:rPr>
          <w:b/>
          <w:lang w:val="mk-MK"/>
        </w:rPr>
        <w:lastRenderedPageBreak/>
        <w:t>Наслов на предлог законот:</w:t>
      </w:r>
    </w:p>
    <w:p w:rsidR="005122F2" w:rsidRDefault="005122F2" w:rsidP="005122F2">
      <w:pPr>
        <w:jc w:val="both"/>
        <w:rPr>
          <w:lang w:val="mk-MK"/>
        </w:rPr>
      </w:pPr>
      <w:r>
        <w:rPr>
          <w:lang w:val="mk-MK"/>
        </w:rPr>
        <w:t>Предлог на Закон за изменување и дополнување на</w:t>
      </w:r>
    </w:p>
    <w:p w:rsidR="005122F2" w:rsidRDefault="005122F2" w:rsidP="005122F2">
      <w:pPr>
        <w:jc w:val="both"/>
        <w:rPr>
          <w:b/>
          <w:lang w:val="mk-MK"/>
        </w:rPr>
      </w:pPr>
      <w:r>
        <w:rPr>
          <w:lang w:val="mk-MK"/>
        </w:rPr>
        <w:t xml:space="preserve">Законот за домување. </w:t>
      </w:r>
      <w:r>
        <w:rPr>
          <w:b/>
          <w:lang w:val="mk-MK"/>
        </w:rPr>
        <w:t xml:space="preserve"> </w:t>
      </w:r>
    </w:p>
    <w:p w:rsidR="005122F2" w:rsidRDefault="005122F2" w:rsidP="005122F2">
      <w:pPr>
        <w:jc w:val="both"/>
        <w:rPr>
          <w:b/>
          <w:lang w:val="mk-MK"/>
        </w:rPr>
      </w:pPr>
    </w:p>
    <w:p w:rsidR="005122F2" w:rsidRDefault="005122F2" w:rsidP="005122F2">
      <w:pPr>
        <w:jc w:val="both"/>
        <w:rPr>
          <w:b/>
          <w:lang w:val="mk-MK"/>
        </w:rPr>
      </w:pPr>
      <w:r>
        <w:rPr>
          <w:b/>
          <w:lang w:val="mk-MK"/>
        </w:rPr>
        <w:t>Министерство / Лице за контакт/одговорно лице:</w:t>
      </w:r>
    </w:p>
    <w:p w:rsidR="005122F2" w:rsidRDefault="005122F2" w:rsidP="005122F2">
      <w:pPr>
        <w:jc w:val="both"/>
        <w:rPr>
          <w:lang w:val="mk-MK"/>
        </w:rPr>
      </w:pPr>
      <w:r>
        <w:rPr>
          <w:lang w:val="mk-MK"/>
        </w:rPr>
        <w:t>Министерство за транспорт и врски,Сузана Камческа тел. 3 145 506</w:t>
      </w:r>
    </w:p>
    <w:p w:rsidR="005122F2" w:rsidRDefault="005122F2" w:rsidP="005122F2">
      <w:pPr>
        <w:jc w:val="both"/>
        <w:rPr>
          <w:lang w:val="mk-MK"/>
        </w:rPr>
      </w:pPr>
    </w:p>
    <w:p w:rsidR="005122F2" w:rsidRDefault="005122F2" w:rsidP="005122F2">
      <w:pPr>
        <w:jc w:val="both"/>
        <w:rPr>
          <w:b/>
          <w:lang w:val="mk-MK"/>
        </w:rPr>
      </w:pPr>
      <w:r>
        <w:rPr>
          <w:b/>
          <w:lang w:val="mk-MK"/>
        </w:rPr>
        <w:t>Очекуван датум за усвојување на предлог законот:</w:t>
      </w:r>
    </w:p>
    <w:p w:rsidR="005122F2" w:rsidRDefault="005122F2" w:rsidP="005122F2">
      <w:pPr>
        <w:jc w:val="both"/>
        <w:rPr>
          <w:lang w:val="mk-MK"/>
        </w:rPr>
      </w:pPr>
      <w:r>
        <w:rPr>
          <w:lang w:val="mk-MK"/>
        </w:rPr>
        <w:t xml:space="preserve">  Јануари  2013 година</w:t>
      </w:r>
    </w:p>
    <w:p w:rsidR="005122F2" w:rsidRDefault="005122F2" w:rsidP="005122F2">
      <w:pPr>
        <w:jc w:val="both"/>
        <w:rPr>
          <w:lang w:val="mk-MK"/>
        </w:rPr>
      </w:pPr>
    </w:p>
    <w:p w:rsidR="005122F2" w:rsidRDefault="005122F2" w:rsidP="005122F2">
      <w:pPr>
        <w:jc w:val="both"/>
        <w:rPr>
          <w:b/>
          <w:lang w:val="mk-MK"/>
        </w:rPr>
      </w:pPr>
      <w:r>
        <w:rPr>
          <w:b/>
          <w:lang w:val="mk-MK"/>
        </w:rPr>
        <w:t>Поврзаност со ЕУ директиви</w:t>
      </w:r>
    </w:p>
    <w:p w:rsidR="005122F2" w:rsidRDefault="005122F2" w:rsidP="005122F2">
      <w:pPr>
        <w:jc w:val="both"/>
        <w:rPr>
          <w:i/>
          <w:lang w:val="mk-MK"/>
        </w:rPr>
      </w:pPr>
      <w:r>
        <w:rPr>
          <w:i/>
          <w:lang w:val="mk-MK"/>
        </w:rPr>
        <w:t>Нема</w:t>
      </w:r>
    </w:p>
    <w:p w:rsidR="005122F2" w:rsidRDefault="005122F2" w:rsidP="005122F2">
      <w:pPr>
        <w:jc w:val="both"/>
        <w:rPr>
          <w:i/>
          <w:lang w:val="mk-MK"/>
        </w:rPr>
      </w:pPr>
    </w:p>
    <w:p w:rsidR="005122F2" w:rsidRDefault="005122F2" w:rsidP="005122F2">
      <w:pPr>
        <w:jc w:val="both"/>
        <w:rPr>
          <w:i/>
          <w:lang w:val="mk-MK"/>
        </w:rPr>
      </w:pPr>
    </w:p>
    <w:p w:rsidR="005122F2" w:rsidRDefault="005122F2" w:rsidP="005122F2">
      <w:pPr>
        <w:rPr>
          <w:rFonts w:ascii="Arial" w:hAnsi="Arial" w:cs="Arial"/>
          <w:b/>
          <w:u w:val="single"/>
          <w:lang w:val="mk-MK"/>
        </w:rPr>
      </w:pPr>
    </w:p>
    <w:p w:rsidR="005122F2" w:rsidRDefault="005122F2" w:rsidP="005122F2">
      <w:pPr>
        <w:rPr>
          <w:rFonts w:ascii="Arial" w:hAnsi="Arial" w:cs="Arial"/>
          <w:b/>
          <w:u w:val="single"/>
          <w:lang w:val="mk-MK"/>
        </w:rPr>
      </w:pPr>
    </w:p>
    <w:p w:rsidR="005122F2" w:rsidRDefault="005122F2" w:rsidP="005122F2">
      <w:pPr>
        <w:rPr>
          <w:rFonts w:ascii="Arial" w:hAnsi="Arial" w:cs="Arial"/>
          <w:b/>
          <w:u w:val="single"/>
          <w:lang w:val="mk-MK"/>
        </w:rPr>
      </w:pPr>
    </w:p>
    <w:p w:rsidR="005122F2" w:rsidRDefault="005122F2" w:rsidP="005122F2">
      <w:pPr>
        <w:rPr>
          <w:rFonts w:ascii="Arial" w:hAnsi="Arial" w:cs="Arial"/>
          <w:b/>
          <w:u w:val="single"/>
          <w:lang w:val="mk-MK"/>
        </w:rPr>
      </w:pPr>
    </w:p>
    <w:p w:rsidR="005122F2" w:rsidRDefault="005122F2" w:rsidP="005122F2">
      <w:pPr>
        <w:rPr>
          <w:rFonts w:ascii="Arial" w:hAnsi="Arial" w:cs="Arial"/>
          <w:b/>
          <w:u w:val="single"/>
          <w:lang w:val="mk-MK"/>
        </w:rPr>
      </w:pPr>
    </w:p>
    <w:p w:rsidR="005122F2" w:rsidRDefault="005122F2" w:rsidP="005122F2">
      <w:pPr>
        <w:rPr>
          <w:rFonts w:ascii="Arial" w:hAnsi="Arial" w:cs="Arial"/>
          <w:b/>
          <w:u w:val="single"/>
          <w:lang w:val="mk-MK"/>
        </w:rPr>
      </w:pPr>
    </w:p>
    <w:p w:rsidR="005122F2" w:rsidRDefault="005122F2" w:rsidP="005122F2">
      <w:pPr>
        <w:rPr>
          <w:rFonts w:ascii="Arial" w:hAnsi="Arial" w:cs="Arial"/>
          <w:b/>
          <w:u w:val="single"/>
          <w:lang w:val="mk-MK"/>
        </w:rPr>
      </w:pPr>
    </w:p>
    <w:p w:rsidR="005122F2" w:rsidRDefault="005122F2" w:rsidP="005122F2">
      <w:pPr>
        <w:rPr>
          <w:rFonts w:ascii="Arial" w:hAnsi="Arial" w:cs="Arial"/>
          <w:b/>
          <w:u w:val="single"/>
          <w:lang w:val="mk-MK"/>
        </w:rPr>
      </w:pPr>
    </w:p>
    <w:p w:rsidR="005122F2" w:rsidRDefault="005122F2" w:rsidP="005122F2">
      <w:pPr>
        <w:rPr>
          <w:rFonts w:ascii="Arial" w:hAnsi="Arial" w:cs="Arial"/>
          <w:b/>
          <w:u w:val="single"/>
          <w:lang w:val="mk-MK"/>
        </w:rPr>
      </w:pPr>
    </w:p>
    <w:p w:rsidR="005122F2" w:rsidRDefault="005122F2" w:rsidP="005122F2">
      <w:pPr>
        <w:rPr>
          <w:rFonts w:ascii="Arial" w:hAnsi="Arial" w:cs="Arial"/>
          <w:b/>
          <w:u w:val="single"/>
          <w:lang w:val="mk-MK"/>
        </w:rPr>
      </w:pPr>
    </w:p>
    <w:p w:rsidR="005122F2" w:rsidRDefault="005122F2" w:rsidP="005122F2">
      <w:pPr>
        <w:rPr>
          <w:rFonts w:ascii="Arial" w:hAnsi="Arial" w:cs="Arial"/>
          <w:b/>
          <w:u w:val="single"/>
          <w:lang w:val="mk-MK"/>
        </w:rPr>
      </w:pPr>
    </w:p>
    <w:p w:rsidR="005122F2" w:rsidRDefault="005122F2" w:rsidP="005122F2">
      <w:pPr>
        <w:rPr>
          <w:rFonts w:ascii="Arial" w:hAnsi="Arial" w:cs="Arial"/>
          <w:b/>
          <w:u w:val="single"/>
          <w:lang w:val="mk-MK"/>
        </w:rPr>
      </w:pPr>
    </w:p>
    <w:p w:rsidR="005122F2" w:rsidRDefault="005122F2" w:rsidP="005122F2">
      <w:pPr>
        <w:rPr>
          <w:rFonts w:ascii="Arial" w:hAnsi="Arial" w:cs="Arial"/>
          <w:b/>
          <w:u w:val="single"/>
          <w:lang w:val="mk-MK"/>
        </w:rPr>
      </w:pPr>
    </w:p>
    <w:p w:rsidR="005122F2" w:rsidRDefault="005122F2" w:rsidP="005122F2">
      <w:pPr>
        <w:rPr>
          <w:rFonts w:ascii="Arial" w:hAnsi="Arial" w:cs="Arial"/>
          <w:b/>
          <w:u w:val="single"/>
          <w:lang w:val="mk-MK"/>
        </w:rPr>
      </w:pPr>
    </w:p>
    <w:p w:rsidR="005122F2" w:rsidRDefault="005122F2" w:rsidP="005122F2">
      <w:pPr>
        <w:rPr>
          <w:rFonts w:ascii="Arial" w:hAnsi="Arial" w:cs="Arial"/>
          <w:b/>
          <w:u w:val="single"/>
          <w:lang w:val="mk-MK"/>
        </w:rPr>
      </w:pPr>
    </w:p>
    <w:p w:rsidR="005122F2" w:rsidRDefault="005122F2" w:rsidP="005122F2">
      <w:pPr>
        <w:rPr>
          <w:rFonts w:ascii="Arial" w:hAnsi="Arial" w:cs="Arial"/>
          <w:b/>
          <w:u w:val="single"/>
          <w:lang w:val="mk-MK"/>
        </w:rPr>
      </w:pPr>
    </w:p>
    <w:sectPr w:rsidR="005122F2" w:rsidSect="001843CD">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tobiSerif Regular">
    <w:panose1 w:val="00000000000000000000"/>
    <w:charset w:val="00"/>
    <w:family w:val="modern"/>
    <w:notTrueType/>
    <w:pitch w:val="variable"/>
    <w:sig w:usb0="A00002AF" w:usb1="5000204B" w:usb2="00000000" w:usb3="00000000" w:csb0="0000009F" w:csb1="00000000"/>
  </w:font>
  <w:font w:name="Verdana">
    <w:panose1 w:val="020B0604030504040204"/>
    <w:charset w:val="00"/>
    <w:family w:val="swiss"/>
    <w:pitch w:val="variable"/>
    <w:sig w:usb0="A10006FF" w:usb1="4000205B" w:usb2="00000010" w:usb3="00000000" w:csb0="0000019F" w:csb1="00000000"/>
  </w:font>
  <w:font w:name="Albertus MT Lt">
    <w:panose1 w:val="020E05020303040203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603C3"/>
    <w:multiLevelType w:val="hybridMultilevel"/>
    <w:tmpl w:val="F96C63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527651F"/>
    <w:multiLevelType w:val="hybridMultilevel"/>
    <w:tmpl w:val="033A0F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EE62CD2"/>
    <w:multiLevelType w:val="hybridMultilevel"/>
    <w:tmpl w:val="6EA4F2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CF63501"/>
    <w:multiLevelType w:val="hybridMultilevel"/>
    <w:tmpl w:val="514C63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22F2"/>
    <w:rsid w:val="001843CD"/>
    <w:rsid w:val="005122F2"/>
    <w:rsid w:val="0070520A"/>
    <w:rsid w:val="0075175A"/>
    <w:rsid w:val="00B21A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2F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2F2"/>
    <w:pPr>
      <w:ind w:left="720"/>
    </w:pPr>
  </w:style>
  <w:style w:type="paragraph" w:customStyle="1" w:styleId="msonormalcxspmiddle">
    <w:name w:val="msonormalcxspmiddle"/>
    <w:basedOn w:val="Normal"/>
    <w:rsid w:val="005122F2"/>
    <w:pPr>
      <w:spacing w:before="100" w:beforeAutospacing="1" w:after="100" w:afterAutospacing="1"/>
    </w:pPr>
    <w:rPr>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2F2F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570</Words>
  <Characters>3252</Characters>
  <Application>Microsoft Office Word</Application>
  <DocSecurity>0</DocSecurity>
  <Lines>27</Lines>
  <Paragraphs>7</Paragraphs>
  <ScaleCrop>false</ScaleCrop>
  <Company>Home</Company>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tatjana.labovic</dc:creator>
  <cp:keywords/>
  <dc:description/>
  <cp:lastModifiedBy>tatjana.labovic</cp:lastModifiedBy>
  <cp:revision>3</cp:revision>
  <dcterms:created xsi:type="dcterms:W3CDTF">2012-11-30T07:51:00Z</dcterms:created>
  <dcterms:modified xsi:type="dcterms:W3CDTF">2012-11-30T08:02:00Z</dcterms:modified>
</cp:coreProperties>
</file>