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5A" w:rsidRPr="0010589D" w:rsidRDefault="00284C5A" w:rsidP="00284C5A">
      <w:pPr>
        <w:jc w:val="right"/>
        <w:outlineLvl w:val="0"/>
        <w:rPr>
          <w:rFonts w:ascii="StobiSerif Regular" w:hAnsi="StobiSerif Regular"/>
          <w:b/>
          <w:sz w:val="22"/>
          <w:szCs w:val="22"/>
          <w:u w:val="single"/>
          <w:lang w:val="ru-RU"/>
        </w:rPr>
      </w:pPr>
      <w:r w:rsidRPr="00BF6D74">
        <w:rPr>
          <w:rFonts w:ascii="StobiSerif Regular" w:hAnsi="StobiSerif Regular"/>
          <w:b/>
          <w:sz w:val="22"/>
          <w:szCs w:val="22"/>
          <w:u w:val="single"/>
          <w:lang w:val="mk-MK"/>
        </w:rPr>
        <w:t>Образец бр.1</w:t>
      </w:r>
    </w:p>
    <w:p w:rsidR="00284C5A" w:rsidRPr="00BF6D74" w:rsidRDefault="00284C5A" w:rsidP="00284C5A">
      <w:pPr>
        <w:jc w:val="center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BF6D74">
        <w:rPr>
          <w:rFonts w:ascii="StobiSerif Regular" w:hAnsi="StobiSerif Regular"/>
          <w:b/>
          <w:sz w:val="22"/>
          <w:szCs w:val="22"/>
          <w:lang w:val="mk-MK"/>
        </w:rPr>
        <w:t xml:space="preserve"> План за спроведување</w:t>
      </w:r>
    </w:p>
    <w:p w:rsidR="00284C5A" w:rsidRPr="00BF6D74" w:rsidRDefault="00284C5A" w:rsidP="00284C5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BF6D74">
        <w:rPr>
          <w:rFonts w:ascii="StobiSerif Regular" w:hAnsi="StobiSerif Regular"/>
          <w:b/>
          <w:sz w:val="22"/>
          <w:szCs w:val="22"/>
          <w:lang w:val="mk-MK"/>
        </w:rPr>
        <w:t>на проценка на влијание на регулативата</w:t>
      </w:r>
    </w:p>
    <w:p w:rsidR="00284C5A" w:rsidRPr="00BF6D74" w:rsidRDefault="00284C5A" w:rsidP="00284C5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6299"/>
      </w:tblGrid>
      <w:tr w:rsidR="00284C5A" w:rsidRPr="00BF6D74" w:rsidTr="00327FA4">
        <w:tc>
          <w:tcPr>
            <w:tcW w:w="2943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mk-MK"/>
              </w:rPr>
              <w:t>Наслов на предлог законот:</w:t>
            </w:r>
          </w:p>
        </w:tc>
        <w:tc>
          <w:tcPr>
            <w:tcW w:w="6299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jc w:val="both"/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ru-RU"/>
              </w:rPr>
              <w:t>Закон за занаетчиство</w:t>
            </w:r>
          </w:p>
        </w:tc>
      </w:tr>
      <w:tr w:rsidR="00284C5A" w:rsidRPr="00BF6D74" w:rsidTr="00327FA4">
        <w:tc>
          <w:tcPr>
            <w:tcW w:w="2943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mk-MK"/>
              </w:rPr>
              <w:t>Министерство:</w:t>
            </w:r>
          </w:p>
        </w:tc>
        <w:tc>
          <w:tcPr>
            <w:tcW w:w="6299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Министерство за </w:t>
            </w:r>
            <w:r w:rsidRPr="00BF6D74">
              <w:rPr>
                <w:rFonts w:ascii="StobiSerif Regular" w:hAnsi="StobiSerif Regular"/>
                <w:sz w:val="22"/>
                <w:szCs w:val="22"/>
                <w:lang w:val="mk-MK"/>
              </w:rPr>
              <w:t>економија</w:t>
            </w:r>
          </w:p>
        </w:tc>
      </w:tr>
      <w:tr w:rsidR="00284C5A" w:rsidRPr="00BF6D74" w:rsidTr="00327FA4">
        <w:tc>
          <w:tcPr>
            <w:tcW w:w="2943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mk-MK"/>
              </w:rPr>
              <w:t>Лице за контакт/одговорно лице:</w:t>
            </w:r>
          </w:p>
        </w:tc>
        <w:tc>
          <w:tcPr>
            <w:tcW w:w="6299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jc w:val="both"/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Имерали Бафтијари, раководител на Сектор за претприемништво и конкурентност на малите и средните претпријатија </w:t>
            </w:r>
          </w:p>
        </w:tc>
      </w:tr>
      <w:tr w:rsidR="00284C5A" w:rsidRPr="00BF6D74" w:rsidTr="00327FA4">
        <w:trPr>
          <w:trHeight w:val="728"/>
        </w:trPr>
        <w:tc>
          <w:tcPr>
            <w:tcW w:w="2943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mk-MK"/>
              </w:rPr>
              <w:t>Очекуван датум за усвојување на предлог законот:</w:t>
            </w:r>
          </w:p>
        </w:tc>
        <w:tc>
          <w:tcPr>
            <w:tcW w:w="6299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Март 2013 година</w:t>
            </w:r>
          </w:p>
        </w:tc>
      </w:tr>
      <w:tr w:rsidR="00284C5A" w:rsidRPr="00BF6D74" w:rsidTr="00327FA4">
        <w:tc>
          <w:tcPr>
            <w:tcW w:w="2943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BF6D74">
              <w:rPr>
                <w:rFonts w:ascii="StobiSerif Regular" w:hAnsi="StobiSerif Regular"/>
                <w:sz w:val="22"/>
                <w:szCs w:val="22"/>
                <w:lang w:val="mk-MK"/>
              </w:rPr>
              <w:t>Поврзаност со ЕУ директиви</w:t>
            </w:r>
          </w:p>
        </w:tc>
        <w:tc>
          <w:tcPr>
            <w:tcW w:w="6299" w:type="dxa"/>
            <w:tcMar>
              <w:top w:w="85" w:type="dxa"/>
              <w:bottom w:w="85" w:type="dxa"/>
            </w:tcMar>
          </w:tcPr>
          <w:p w:rsidR="00284C5A" w:rsidRPr="00BF6D74" w:rsidRDefault="00284C5A" w:rsidP="00327FA4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BF6D74"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</w:tbl>
    <w:p w:rsidR="00284C5A" w:rsidRPr="00BF6D74" w:rsidRDefault="00284C5A" w:rsidP="00284C5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84C5A" w:rsidRPr="00BF6D74" w:rsidRDefault="00284C5A" w:rsidP="0028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BF6D74">
        <w:rPr>
          <w:rFonts w:ascii="StobiSerif Regular" w:hAnsi="StobiSerif Regular"/>
          <w:b/>
          <w:sz w:val="22"/>
          <w:szCs w:val="22"/>
          <w:lang w:val="mk-MK"/>
        </w:rPr>
        <w:t>Дел 1: Почетна проценка на влијанието на регулативата и планирање на работата</w:t>
      </w:r>
    </w:p>
    <w:p w:rsidR="00284C5A" w:rsidRPr="00BF6D74" w:rsidRDefault="00284C5A" w:rsidP="0028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>(забелешка: овој дел е јавен и ќе се објави во Единствениот електронскиот регистар на прописи)</w:t>
      </w:r>
    </w:p>
    <w:p w:rsidR="00284C5A" w:rsidRPr="00BF6D74" w:rsidRDefault="00284C5A" w:rsidP="00284C5A">
      <w:pPr>
        <w:jc w:val="both"/>
        <w:rPr>
          <w:rFonts w:ascii="StobiSerif Regular" w:hAnsi="StobiSerif Regular"/>
          <w:sz w:val="22"/>
          <w:szCs w:val="22"/>
          <w:u w:val="single"/>
          <w:lang w:val="mk-MK"/>
        </w:rPr>
      </w:pPr>
    </w:p>
    <w:p w:rsidR="00284C5A" w:rsidRPr="00BF6D74" w:rsidRDefault="00284C5A" w:rsidP="00284C5A">
      <w:pPr>
        <w:jc w:val="both"/>
        <w:outlineLvl w:val="0"/>
        <w:rPr>
          <w:rFonts w:ascii="StobiSerif Regular" w:hAnsi="StobiSerif Regular"/>
          <w:sz w:val="22"/>
          <w:szCs w:val="22"/>
          <w:u w:val="single"/>
          <w:lang w:val="mk-MK"/>
        </w:rPr>
      </w:pPr>
      <w:r w:rsidRPr="00BF6D74">
        <w:rPr>
          <w:rFonts w:ascii="StobiSerif Regular" w:hAnsi="StobiSerif Regular"/>
          <w:sz w:val="22"/>
          <w:szCs w:val="22"/>
          <w:u w:val="single"/>
          <w:lang w:val="mk-MK"/>
        </w:rPr>
        <w:t>А. Почетна проценка на влијанието на регулативата</w:t>
      </w:r>
    </w:p>
    <w:p w:rsidR="00284C5A" w:rsidRPr="00BF6D74" w:rsidRDefault="00284C5A" w:rsidP="00284C5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Кои се главните проблеми?                          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 w:cs="Arial"/>
          <w:sz w:val="22"/>
          <w:szCs w:val="22"/>
          <w:lang w:val="mk-MK"/>
        </w:rPr>
        <w:t xml:space="preserve">Неефикасен систем </w:t>
      </w:r>
      <w:r w:rsidRPr="0010589D">
        <w:rPr>
          <w:rFonts w:ascii="StobiSerif Regular" w:eastAsia="Calibri" w:hAnsi="StobiSerif Regular"/>
          <w:sz w:val="22"/>
          <w:szCs w:val="22"/>
          <w:lang w:val="ru-RU"/>
        </w:rPr>
        <w:t>на регионално коморско здружување на занаетчиите</w:t>
      </w:r>
      <w:r w:rsidRPr="00BF6D74">
        <w:rPr>
          <w:rFonts w:ascii="StobiSerif Regular" w:eastAsia="Calibri" w:hAnsi="StobiSerif Regular"/>
          <w:sz w:val="22"/>
          <w:szCs w:val="22"/>
          <w:lang w:val="mk-MK"/>
        </w:rPr>
        <w:t>,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BF6D74">
        <w:rPr>
          <w:rFonts w:ascii="StobiSerif Regular" w:eastAsia="Calibri" w:hAnsi="StobiSerif Regular"/>
          <w:sz w:val="22"/>
          <w:szCs w:val="22"/>
          <w:lang w:val="mk-MK"/>
        </w:rPr>
        <w:t>Н</w:t>
      </w:r>
      <w:r w:rsidRPr="0010589D">
        <w:rPr>
          <w:rFonts w:ascii="StobiSerif Regular" w:eastAsia="Calibri" w:hAnsi="StobiSerif Regular"/>
          <w:sz w:val="22"/>
          <w:szCs w:val="22"/>
          <w:lang w:val="ru-RU"/>
        </w:rPr>
        <w:t>едоволен просторен и административен капацитет во регионалните комори</w:t>
      </w:r>
      <w:r w:rsidRPr="00BF6D74">
        <w:rPr>
          <w:rFonts w:ascii="StobiSerif Regular" w:eastAsia="Calibri" w:hAnsi="StobiSerif Regular"/>
          <w:sz w:val="22"/>
          <w:szCs w:val="22"/>
          <w:lang w:val="mk-MK"/>
        </w:rPr>
        <w:t xml:space="preserve"> </w:t>
      </w:r>
      <w:r w:rsidRPr="0010589D">
        <w:rPr>
          <w:rFonts w:ascii="StobiSerif Regular" w:eastAsia="Calibri" w:hAnsi="StobiSerif Regular"/>
          <w:sz w:val="22"/>
          <w:szCs w:val="22"/>
          <w:lang w:val="ru-RU"/>
        </w:rPr>
        <w:t>спроведување на обуки на занаетчиите, развој на занаетчиството и нивна соодветна поддршка</w:t>
      </w:r>
      <w:r w:rsidRPr="00BF6D74">
        <w:rPr>
          <w:rFonts w:ascii="StobiSerif Regular" w:eastAsia="Calibri" w:hAnsi="StobiSerif Regular"/>
          <w:sz w:val="22"/>
          <w:szCs w:val="22"/>
          <w:lang w:val="mk-MK"/>
        </w:rPr>
        <w:t>,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10589D">
        <w:rPr>
          <w:rFonts w:ascii="StobiSerif Regular" w:eastAsia="Calibri" w:hAnsi="StobiSerif Regular"/>
          <w:sz w:val="22"/>
          <w:szCs w:val="22"/>
          <w:lang w:val="ru-RU"/>
        </w:rPr>
        <w:t>Недоста</w:t>
      </w:r>
      <w:r w:rsidRPr="00BF6D74">
        <w:rPr>
          <w:rFonts w:ascii="StobiSerif Regular" w:eastAsia="Calibri" w:hAnsi="StobiSerif Regular"/>
          <w:sz w:val="22"/>
          <w:szCs w:val="22"/>
          <w:lang w:val="mk-MK"/>
        </w:rPr>
        <w:t xml:space="preserve">ток на </w:t>
      </w:r>
      <w:r w:rsidRPr="0010589D">
        <w:rPr>
          <w:rFonts w:ascii="StobiSerif Regular" w:eastAsia="Calibri" w:hAnsi="StobiSerif Regular"/>
          <w:sz w:val="22"/>
          <w:szCs w:val="22"/>
          <w:lang w:val="ru-RU"/>
        </w:rPr>
        <w:t xml:space="preserve"> координација и соработката помеѓу регионалните</w:t>
      </w:r>
      <w:r w:rsidRPr="00BF6D74">
        <w:rPr>
          <w:rFonts w:ascii="StobiSerif Regular" w:eastAsia="Calibri" w:hAnsi="StobiSerif Regular"/>
          <w:sz w:val="22"/>
          <w:szCs w:val="22"/>
          <w:lang w:val="mk-MK"/>
        </w:rPr>
        <w:t xml:space="preserve"> занаетчиски </w:t>
      </w:r>
      <w:r w:rsidRPr="0010589D">
        <w:rPr>
          <w:rFonts w:ascii="StobiSerif Regular" w:eastAsia="Calibri" w:hAnsi="StobiSerif Regular"/>
          <w:sz w:val="22"/>
          <w:szCs w:val="22"/>
          <w:lang w:val="ru-RU"/>
        </w:rPr>
        <w:t xml:space="preserve"> комори и Централната комора</w:t>
      </w:r>
      <w:r w:rsidRPr="00BF6D74">
        <w:rPr>
          <w:rFonts w:ascii="StobiSerif Regular" w:eastAsia="Calibri" w:hAnsi="StobiSerif Regular"/>
          <w:sz w:val="22"/>
          <w:szCs w:val="22"/>
          <w:lang w:val="mk-MK"/>
        </w:rPr>
        <w:t>,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BF6D74">
        <w:rPr>
          <w:rFonts w:ascii="StobiSerif Regular" w:eastAsia="Calibri" w:hAnsi="StobiSerif Regular"/>
          <w:sz w:val="22"/>
          <w:szCs w:val="22"/>
          <w:lang w:val="mk-MK"/>
        </w:rPr>
        <w:t>Недостаток на централен регистар за занаетчии и за вршители на занаетчиска дејност,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BF6D74">
        <w:rPr>
          <w:rFonts w:ascii="StobiSerif Regular" w:eastAsia="Calibri" w:hAnsi="StobiSerif Regular"/>
          <w:sz w:val="22"/>
          <w:szCs w:val="22"/>
          <w:lang w:val="mk-MK"/>
        </w:rPr>
        <w:t>Недостаток на постапката за давање и одземање на јавните овластувања на занаетчиските комори,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BF6D74">
        <w:rPr>
          <w:rFonts w:ascii="StobiSerif Regular" w:eastAsia="Calibri" w:hAnsi="StobiSerif Regular"/>
          <w:sz w:val="22"/>
          <w:szCs w:val="22"/>
          <w:lang w:val="mk-MK"/>
        </w:rPr>
        <w:t>Недоволно дефинирање на начинот и условите за формирање на регионалните занаетчиски комори</w:t>
      </w:r>
    </w:p>
    <w:p w:rsidR="00284C5A" w:rsidRPr="00BF6D74" w:rsidRDefault="00284C5A" w:rsidP="00284C5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Кои се можните решенија (опции)? Кои регулаторни или нерегулаторни мерки би можеле да се разгледаат?     </w:t>
      </w:r>
    </w:p>
    <w:p w:rsidR="00284C5A" w:rsidRPr="0010589D" w:rsidRDefault="00284C5A" w:rsidP="00284C5A">
      <w:pPr>
        <w:pStyle w:val="ListParagraph"/>
        <w:numPr>
          <w:ilvl w:val="0"/>
          <w:numId w:val="3"/>
        </w:numPr>
        <w:jc w:val="both"/>
        <w:rPr>
          <w:rFonts w:ascii="StobiSerif Regular" w:eastAsia="Calibri" w:hAnsi="StobiSerif Regular"/>
          <w:sz w:val="22"/>
          <w:szCs w:val="22"/>
          <w:lang w:val="ru-RU"/>
        </w:rPr>
      </w:pPr>
      <w:r w:rsidRPr="0010589D">
        <w:rPr>
          <w:rFonts w:ascii="StobiSerif Regular" w:eastAsia="Calibri" w:hAnsi="StobiSerif Regular"/>
          <w:sz w:val="22"/>
          <w:szCs w:val="22"/>
          <w:lang w:val="ru-RU"/>
        </w:rPr>
        <w:t>Унапредување на постоечкиот систем на регионално коморско здружување,</w:t>
      </w:r>
    </w:p>
    <w:p w:rsidR="00284C5A" w:rsidRPr="00BF6D74" w:rsidRDefault="00284C5A" w:rsidP="00284C5A">
      <w:pPr>
        <w:pStyle w:val="ListParagraph"/>
        <w:numPr>
          <w:ilvl w:val="0"/>
          <w:numId w:val="3"/>
        </w:numPr>
        <w:jc w:val="both"/>
        <w:rPr>
          <w:rFonts w:ascii="StobiSerif Regular" w:eastAsia="Calibri" w:hAnsi="StobiSerif Regular"/>
          <w:sz w:val="22"/>
          <w:szCs w:val="22"/>
        </w:rPr>
      </w:pPr>
      <w:proofErr w:type="spellStart"/>
      <w:r w:rsidRPr="00BF6D74">
        <w:rPr>
          <w:rFonts w:ascii="StobiSerif Regular" w:eastAsia="Calibri" w:hAnsi="StobiSerif Regular"/>
          <w:sz w:val="22"/>
          <w:szCs w:val="22"/>
        </w:rPr>
        <w:t>Воспоставување</w:t>
      </w:r>
      <w:proofErr w:type="spellEnd"/>
      <w:r w:rsidRPr="00BF6D74">
        <w:rPr>
          <w:rFonts w:ascii="StobiSerif Regular" w:eastAsia="Calibri" w:hAnsi="StobiSerif Regular"/>
          <w:sz w:val="22"/>
          <w:szCs w:val="22"/>
        </w:rPr>
        <w:t xml:space="preserve"> </w:t>
      </w:r>
      <w:proofErr w:type="spellStart"/>
      <w:r w:rsidRPr="00BF6D74">
        <w:rPr>
          <w:rFonts w:ascii="StobiSerif Regular" w:eastAsia="Calibri" w:hAnsi="StobiSerif Regular"/>
          <w:sz w:val="22"/>
          <w:szCs w:val="22"/>
        </w:rPr>
        <w:t>на</w:t>
      </w:r>
      <w:proofErr w:type="spellEnd"/>
      <w:r w:rsidRPr="00BF6D74">
        <w:rPr>
          <w:rFonts w:ascii="StobiSerif Regular" w:eastAsia="Calibri" w:hAnsi="StobiSerif Regular"/>
          <w:sz w:val="22"/>
          <w:szCs w:val="22"/>
        </w:rPr>
        <w:t xml:space="preserve"> </w:t>
      </w:r>
      <w:proofErr w:type="spellStart"/>
      <w:r w:rsidRPr="00BF6D74">
        <w:rPr>
          <w:rFonts w:ascii="StobiSerif Regular" w:eastAsia="Calibri" w:hAnsi="StobiSerif Regular"/>
          <w:sz w:val="22"/>
          <w:szCs w:val="22"/>
        </w:rPr>
        <w:t>Централна</w:t>
      </w:r>
      <w:proofErr w:type="spellEnd"/>
      <w:r w:rsidRPr="00BF6D74">
        <w:rPr>
          <w:rFonts w:ascii="StobiSerif Regular" w:eastAsia="Calibri" w:hAnsi="StobiSerif Regular"/>
          <w:sz w:val="22"/>
          <w:szCs w:val="22"/>
        </w:rPr>
        <w:t xml:space="preserve"> </w:t>
      </w:r>
      <w:proofErr w:type="spellStart"/>
      <w:r w:rsidRPr="00BF6D74">
        <w:rPr>
          <w:rFonts w:ascii="StobiSerif Regular" w:eastAsia="Calibri" w:hAnsi="StobiSerif Regular"/>
          <w:sz w:val="22"/>
          <w:szCs w:val="22"/>
        </w:rPr>
        <w:t>комора</w:t>
      </w:r>
      <w:proofErr w:type="spellEnd"/>
      <w:r w:rsidRPr="00BF6D74">
        <w:rPr>
          <w:rFonts w:ascii="StobiSerif Regular" w:eastAsia="Calibri" w:hAnsi="StobiSerif Regular"/>
          <w:sz w:val="22"/>
          <w:szCs w:val="22"/>
        </w:rPr>
        <w:t xml:space="preserve"> </w:t>
      </w:r>
    </w:p>
    <w:p w:rsidR="00284C5A" w:rsidRPr="0010589D" w:rsidRDefault="00284C5A" w:rsidP="00284C5A">
      <w:pPr>
        <w:pStyle w:val="ListParagraph"/>
        <w:numPr>
          <w:ilvl w:val="0"/>
          <w:numId w:val="3"/>
        </w:numPr>
        <w:jc w:val="both"/>
        <w:rPr>
          <w:rFonts w:ascii="StobiSerif Regular" w:eastAsia="Calibri" w:hAnsi="StobiSerif Regular"/>
          <w:sz w:val="22"/>
          <w:szCs w:val="22"/>
          <w:lang w:val="ru-RU"/>
        </w:rPr>
      </w:pPr>
      <w:r w:rsidRPr="0010589D">
        <w:rPr>
          <w:rFonts w:ascii="StobiSerif Regular" w:eastAsia="Calibri" w:hAnsi="StobiSerif Regular"/>
          <w:sz w:val="22"/>
          <w:szCs w:val="22"/>
          <w:lang w:val="ru-RU"/>
        </w:rPr>
        <w:lastRenderedPageBreak/>
        <w:t xml:space="preserve">Воспоставување на Централна комора со упис на занаетчиите во Централниот регистар на Република Македонија. </w:t>
      </w:r>
    </w:p>
    <w:p w:rsidR="00284C5A" w:rsidRPr="0010589D" w:rsidRDefault="00284C5A" w:rsidP="00284C5A">
      <w:pPr>
        <w:pStyle w:val="ListParagraph"/>
        <w:ind w:left="1080"/>
        <w:jc w:val="both"/>
        <w:rPr>
          <w:rFonts w:ascii="StobiSerif Regular" w:eastAsia="Calibri" w:hAnsi="StobiSerif Regular"/>
          <w:sz w:val="22"/>
          <w:szCs w:val="22"/>
          <w:lang w:val="ru-RU"/>
        </w:rPr>
      </w:pP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  <w:r w:rsidRPr="0010589D">
        <w:rPr>
          <w:rFonts w:ascii="StobiSerif Regular" w:eastAsia="Calibri" w:hAnsi="StobiSerif Regular"/>
          <w:sz w:val="22"/>
          <w:szCs w:val="22"/>
          <w:lang w:val="ru-RU"/>
        </w:rPr>
        <w:t xml:space="preserve">Со цел успешно спроведување на првата опција потребно е унапредување на постоечката инфраструктура на институции и подобрување на институционалниот капацитет на Централната комора и на регионалните занаетчиски комори, преку вработување на нови лица и обука на постоечките со цел задоволување на потребите и опслужување на сите занаетчии. </w:t>
      </w:r>
    </w:p>
    <w:p w:rsidR="00284C5A" w:rsidRPr="00BF6D74" w:rsidRDefault="00284C5A" w:rsidP="00284C5A">
      <w:pPr>
        <w:ind w:left="720"/>
        <w:jc w:val="both"/>
        <w:rPr>
          <w:rFonts w:ascii="StobiSerif Regular" w:eastAsia="Calibri" w:hAnsi="StobiSerif Regular"/>
          <w:sz w:val="22"/>
          <w:szCs w:val="22"/>
          <w:lang w:val="mk-MK"/>
        </w:rPr>
      </w:pPr>
    </w:p>
    <w:p w:rsidR="00284C5A" w:rsidRPr="0010589D" w:rsidRDefault="00284C5A" w:rsidP="00284C5A">
      <w:pPr>
        <w:ind w:left="709"/>
        <w:jc w:val="both"/>
        <w:rPr>
          <w:rFonts w:ascii="StobiSerif Regular" w:eastAsia="Calibri" w:hAnsi="StobiSerif Regular"/>
          <w:sz w:val="22"/>
          <w:szCs w:val="22"/>
          <w:lang w:val="ru-RU"/>
        </w:rPr>
      </w:pPr>
      <w:r w:rsidRPr="0010589D">
        <w:rPr>
          <w:rFonts w:ascii="StobiSerif Regular" w:eastAsia="Calibri" w:hAnsi="StobiSerif Regular"/>
          <w:sz w:val="22"/>
          <w:szCs w:val="22"/>
          <w:lang w:val="ru-RU"/>
        </w:rPr>
        <w:t xml:space="preserve">За спроведувањето на втората и третата опција кои се однесуваат на централно коморско здружување неопходно е носење на нов закон за вршење на знаетчиска дејност со кој ќе допрецизираат одредбите на постоечкиот закон кој ја регулира оваа област во делот на здружување на коморите и нивно поврзување, јавните овластувања, допрецизирање на </w:t>
      </w:r>
      <w:r w:rsidRPr="0010589D">
        <w:rPr>
          <w:rFonts w:ascii="StobiSerif Regular" w:hAnsi="StobiSerif Regular"/>
          <w:sz w:val="22"/>
          <w:szCs w:val="22"/>
          <w:lang w:val="ru-RU"/>
        </w:rPr>
        <w:t>постапката за стекнување мајсторска титула итн.</w:t>
      </w:r>
      <w:r w:rsidRPr="0010589D">
        <w:rPr>
          <w:rFonts w:ascii="StobiSerif Regular" w:eastAsia="Calibri" w:hAnsi="StobiSerif Regular"/>
          <w:sz w:val="22"/>
          <w:szCs w:val="22"/>
          <w:lang w:val="ru-RU"/>
        </w:rPr>
        <w:t xml:space="preserve">    </w:t>
      </w:r>
    </w:p>
    <w:p w:rsidR="00284C5A" w:rsidRPr="00BF6D74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84C5A" w:rsidRPr="0010589D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284C5A" w:rsidRPr="00BF6D74" w:rsidRDefault="00284C5A" w:rsidP="00284C5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>Кои се засегнатите страни кои ќе бидат вклучени во процесот</w:t>
      </w:r>
      <w:r w:rsidRPr="00BF6D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BF6D74">
        <w:rPr>
          <w:rFonts w:ascii="StobiSerif Regular" w:hAnsi="StobiSerif Regular"/>
          <w:sz w:val="22"/>
          <w:szCs w:val="22"/>
          <w:lang w:val="mk-MK"/>
        </w:rPr>
        <w:t>на проценка на влијанието на регулативата?</w:t>
      </w:r>
    </w:p>
    <w:p w:rsidR="00284C5A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Министерство за економија, Кабинет на заменик претседателот на Владата на Република Македонија задолжен за економски прашања, Министерство за образование и наука, Министерството за информатичко општество и администрација, Министерство за труд и социјална политика, </w:t>
      </w:r>
    </w:p>
    <w:p w:rsidR="00284C5A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Органи на централна и локална власт</w:t>
      </w:r>
    </w:p>
    <w:p w:rsidR="00284C5A" w:rsidRPr="00BF6D74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>З</w:t>
      </w:r>
      <w:r>
        <w:rPr>
          <w:rFonts w:ascii="StobiSerif Regular" w:hAnsi="StobiSerif Regular"/>
          <w:sz w:val="22"/>
          <w:szCs w:val="22"/>
          <w:lang w:val="mk-MK"/>
        </w:rPr>
        <w:t xml:space="preserve">анаетчиска  комора </w:t>
      </w:r>
      <w:r w:rsidRPr="00BF6D7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на Република Македонија, регионални занаетчиски комори </w:t>
      </w:r>
      <w:r w:rsidRPr="00BF6D74">
        <w:rPr>
          <w:rFonts w:ascii="StobiSerif Regular" w:hAnsi="StobiSerif Regular"/>
          <w:sz w:val="22"/>
          <w:szCs w:val="22"/>
          <w:lang w:val="mk-MK"/>
        </w:rPr>
        <w:t xml:space="preserve">и </w:t>
      </w:r>
      <w:r>
        <w:rPr>
          <w:rFonts w:ascii="StobiSerif Regular" w:hAnsi="StobiSerif Regular"/>
          <w:sz w:val="22"/>
          <w:szCs w:val="22"/>
          <w:lang w:val="mk-MK"/>
        </w:rPr>
        <w:t xml:space="preserve">ЕСНАФ  здруженијата. </w:t>
      </w:r>
    </w:p>
    <w:p w:rsidR="00284C5A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Бизнис субјекти (занаетчии и вршители на занаетчиска дејност)</w:t>
      </w:r>
    </w:p>
    <w:p w:rsidR="00284C5A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>Јавност.</w:t>
      </w:r>
      <w:r w:rsidRPr="00BF6D74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BF6D74">
        <w:rPr>
          <w:rFonts w:ascii="StobiSerif Regular" w:hAnsi="StobiSerif Regular"/>
          <w:sz w:val="22"/>
          <w:szCs w:val="22"/>
          <w:lang w:val="ru-RU"/>
        </w:rPr>
        <w:tab/>
      </w:r>
    </w:p>
    <w:p w:rsidR="00284C5A" w:rsidRPr="00BF6D74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284C5A" w:rsidRPr="00BF6D74" w:rsidRDefault="00284C5A" w:rsidP="00284C5A">
      <w:pPr>
        <w:pStyle w:val="ListParagraph"/>
        <w:spacing w:after="200" w:line="276" w:lineRule="auto"/>
        <w:ind w:left="360"/>
        <w:jc w:val="both"/>
        <w:rPr>
          <w:rFonts w:ascii="StobiSerif Regular" w:hAnsi="StobiSerif Regular"/>
          <w:color w:val="FF00FF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u w:val="single"/>
          <w:lang w:val="mk-MK"/>
        </w:rPr>
        <w:t xml:space="preserve">Б. Планирање на потребната работа за проценка на влијанието на регулативата           </w:t>
      </w:r>
    </w:p>
    <w:p w:rsidR="00284C5A" w:rsidRPr="00BF6D74" w:rsidRDefault="00284C5A" w:rsidP="00284C5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Кои информации и податоци се веќе достапни? </w:t>
      </w:r>
    </w:p>
    <w:p w:rsidR="00284C5A" w:rsidRDefault="00284C5A" w:rsidP="00284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Предлог иницијативи од занаетчии и занаетчиски комори за измени и дополнувања на Законот за вршење на занаетчиската дејност</w:t>
      </w:r>
    </w:p>
    <w:p w:rsidR="00284C5A" w:rsidRPr="00BF6D74" w:rsidRDefault="00284C5A" w:rsidP="00284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Закон за вршење на занаетчиска дејност, </w:t>
      </w:r>
    </w:p>
    <w:p w:rsidR="00284C5A" w:rsidRPr="00BF6D74" w:rsidRDefault="00284C5A" w:rsidP="00284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Стратегија за развој на занаетчиството, </w:t>
      </w:r>
    </w:p>
    <w:p w:rsidR="00284C5A" w:rsidRPr="00BF6D74" w:rsidRDefault="00284C5A" w:rsidP="00284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>Анализа на досегашната имплементација на Законот за вршење на занаетчиска дејност</w:t>
      </w:r>
    </w:p>
    <w:p w:rsidR="00284C5A" w:rsidRPr="00BF6D74" w:rsidRDefault="00284C5A" w:rsidP="00284C5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Кои дополнителни информации и податоци треба да се соберат? </w:t>
      </w:r>
    </w:p>
    <w:p w:rsidR="00284C5A" w:rsidRDefault="00284C5A" w:rsidP="00284C5A">
      <w:pPr>
        <w:pStyle w:val="ListParagraph"/>
        <w:numPr>
          <w:ilvl w:val="0"/>
          <w:numId w:val="4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Број на мајсторски титули,</w:t>
      </w:r>
    </w:p>
    <w:p w:rsidR="00284C5A" w:rsidRDefault="00284C5A" w:rsidP="00284C5A">
      <w:pPr>
        <w:pStyle w:val="ListParagraph"/>
        <w:numPr>
          <w:ilvl w:val="0"/>
          <w:numId w:val="4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Цена за регистрација ,</w:t>
      </w:r>
    </w:p>
    <w:p w:rsidR="00284C5A" w:rsidRDefault="00284C5A" w:rsidP="00284C5A">
      <w:pPr>
        <w:pStyle w:val="ListParagraph"/>
        <w:numPr>
          <w:ilvl w:val="0"/>
          <w:numId w:val="4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Одржани обуки од страна на занаетчиските комори за занаетчиите,</w:t>
      </w:r>
    </w:p>
    <w:p w:rsidR="00284C5A" w:rsidRDefault="00284C5A" w:rsidP="00284C5A">
      <w:pPr>
        <w:pStyle w:val="ListParagraph"/>
        <w:numPr>
          <w:ilvl w:val="0"/>
          <w:numId w:val="4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Учество на саеми и сл.</w:t>
      </w:r>
    </w:p>
    <w:p w:rsidR="00284C5A" w:rsidRPr="00BF6D74" w:rsidRDefault="00284C5A" w:rsidP="00284C5A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:rsidR="00284C5A" w:rsidRDefault="00284C5A" w:rsidP="00284C5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Кој тип и ниво на проценка е потребно (Иницијална или Комплетна проценка на влијание на регулативата - принцип на пропорционална анализа)? </w:t>
      </w:r>
    </w:p>
    <w:p w:rsidR="00284C5A" w:rsidRPr="00BF6D74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Ќе се спроведе иницијална проценка на влијанието.</w:t>
      </w:r>
    </w:p>
    <w:p w:rsidR="00284C5A" w:rsidRPr="00BF6D74" w:rsidRDefault="00284C5A" w:rsidP="00284C5A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:rsidR="00284C5A" w:rsidRPr="00BF6D74" w:rsidRDefault="00284C5A" w:rsidP="00284C5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6D74">
        <w:rPr>
          <w:rFonts w:ascii="StobiSerif Regular" w:hAnsi="StobiSerif Regular"/>
          <w:sz w:val="22"/>
          <w:szCs w:val="22"/>
          <w:lang w:val="mk-MK"/>
        </w:rPr>
        <w:t xml:space="preserve">Дали ќе се формира </w:t>
      </w:r>
      <w:proofErr w:type="spellStart"/>
      <w:r w:rsidRPr="00BF6D74">
        <w:rPr>
          <w:rFonts w:ascii="StobiSerif Regular" w:hAnsi="StobiSerif Regular"/>
          <w:sz w:val="22"/>
          <w:szCs w:val="22"/>
          <w:lang w:val="mk-MK"/>
        </w:rPr>
        <w:t>меѓуресорска</w:t>
      </w:r>
      <w:proofErr w:type="spellEnd"/>
      <w:r w:rsidRPr="00BF6D74">
        <w:rPr>
          <w:rFonts w:ascii="StobiSerif Regular" w:hAnsi="StobiSerif Regular"/>
          <w:sz w:val="22"/>
          <w:szCs w:val="22"/>
          <w:lang w:val="mk-MK"/>
        </w:rPr>
        <w:t xml:space="preserve"> работна група за спроведување на проценка на влијание на регулативата и кои институции ќе се вклучат?</w:t>
      </w:r>
    </w:p>
    <w:p w:rsidR="00284C5A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Ќе се формира работна група во состав од:</w:t>
      </w:r>
    </w:p>
    <w:p w:rsidR="00284C5A" w:rsidRDefault="00284C5A" w:rsidP="00284C5A">
      <w:pPr>
        <w:pStyle w:val="ListParagraph"/>
        <w:spacing w:after="200"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Министерство за економија, Кабинет на заменик претседателот на Владата на Република Македонија задолжен за економски прашања, Министерство за образование и наука, Министерството за информатичко општество и администрација, Министерство за труд и социјална политика, </w:t>
      </w:r>
      <w:r w:rsidR="006D3C85">
        <w:rPr>
          <w:rFonts w:ascii="StobiSerif Regular" w:hAnsi="StobiSerif Regular"/>
          <w:sz w:val="22"/>
          <w:szCs w:val="22"/>
          <w:lang w:val="mk-MK"/>
        </w:rPr>
        <w:t xml:space="preserve">Национален совет за претприемништво и конкурентност, </w:t>
      </w:r>
      <w:r>
        <w:rPr>
          <w:rFonts w:ascii="StobiSerif Regular" w:hAnsi="StobiSerif Regular"/>
          <w:sz w:val="22"/>
          <w:szCs w:val="22"/>
          <w:lang w:val="mk-MK"/>
        </w:rPr>
        <w:t>Централен регистар на РМ, Центар за стручно образование и обука, Центар за образование на возрасни и Занаетчиска комора на Република Македонија.</w:t>
      </w:r>
    </w:p>
    <w:p w:rsidR="000F7473" w:rsidRDefault="000F7473"/>
    <w:sectPr w:rsidR="000F7473" w:rsidSect="000F7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">
    <w:panose1 w:val="00000000000000000000"/>
    <w:charset w:val="00"/>
    <w:family w:val="modern"/>
    <w:notTrueType/>
    <w:pitch w:val="variable"/>
    <w:sig w:usb0="000002A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2CD2"/>
    <w:multiLevelType w:val="hybridMultilevel"/>
    <w:tmpl w:val="13A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65C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ans" w:eastAsia="Times New Roman" w:hAnsi="StobiSan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550BE"/>
    <w:multiLevelType w:val="hybridMultilevel"/>
    <w:tmpl w:val="556A204C"/>
    <w:lvl w:ilvl="0" w:tplc="5344C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C05A49"/>
    <w:multiLevelType w:val="hybridMultilevel"/>
    <w:tmpl w:val="FF6C72E4"/>
    <w:lvl w:ilvl="0" w:tplc="C5562ADE">
      <w:start w:val="3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F63501"/>
    <w:multiLevelType w:val="hybridMultilevel"/>
    <w:tmpl w:val="514C6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84C5A"/>
    <w:rsid w:val="000D666D"/>
    <w:rsid w:val="000F7473"/>
    <w:rsid w:val="00284C5A"/>
    <w:rsid w:val="00285378"/>
    <w:rsid w:val="00313408"/>
    <w:rsid w:val="003E5328"/>
    <w:rsid w:val="004506F0"/>
    <w:rsid w:val="006D3C85"/>
    <w:rsid w:val="00783375"/>
    <w:rsid w:val="00954F0E"/>
    <w:rsid w:val="00A62193"/>
    <w:rsid w:val="00AD319A"/>
    <w:rsid w:val="00D436D1"/>
    <w:rsid w:val="00D7686C"/>
    <w:rsid w:val="00DE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jumni.ademi</dc:creator>
  <cp:lastModifiedBy>jumni.ademi</cp:lastModifiedBy>
  <cp:revision>2</cp:revision>
  <dcterms:created xsi:type="dcterms:W3CDTF">2012-12-13T09:45:00Z</dcterms:created>
  <dcterms:modified xsi:type="dcterms:W3CDTF">2012-12-13T09:48:00Z</dcterms:modified>
</cp:coreProperties>
</file>