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FD" w:rsidRPr="00911DC1" w:rsidRDefault="00B012FD" w:rsidP="00387F0D">
      <w:pPr>
        <w:jc w:val="center"/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ИЗВЕШТАЈ ЗА ПРОЦЕНКА НА ВЛИЈАНИЕТО НА РЕГУЛАТИВАТА</w:t>
      </w:r>
    </w:p>
    <w:p w:rsidR="00B012FD" w:rsidRPr="00911DC1" w:rsidRDefault="00B012FD" w:rsidP="00387F0D">
      <w:pPr>
        <w:jc w:val="center"/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</w:p>
    <w:p w:rsidR="00B012FD" w:rsidRPr="00911DC1" w:rsidRDefault="00B012FD" w:rsidP="00387F0D">
      <w:pPr>
        <w:jc w:val="center"/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</w:p>
    <w:p w:rsidR="00B012FD" w:rsidRPr="00911DC1" w:rsidRDefault="00B012FD" w:rsidP="00387F0D">
      <w:pPr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5"/>
        <w:gridCol w:w="6196"/>
      </w:tblGrid>
      <w:tr w:rsidR="00B012FD" w:rsidRPr="00911DC1">
        <w:trPr>
          <w:trHeight w:val="622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Назив на министерство: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Министерство за животна средина и просторно планирање</w:t>
            </w:r>
          </w:p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</w:p>
        </w:tc>
      </w:tr>
      <w:tr w:rsidR="00B012FD" w:rsidRPr="00911DC1">
        <w:trPr>
          <w:trHeight w:val="622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Назив на предлогот на закон: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Предлог на Закон за изменување и дополнување на Законот за генетски модифицирани организмиедина</w:t>
            </w:r>
          </w:p>
        </w:tc>
      </w:tr>
      <w:tr w:rsidR="00B012FD" w:rsidRPr="00911DC1">
        <w:trPr>
          <w:trHeight w:val="622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 </w:t>
            </w:r>
          </w:p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Влатко Трпевски</w:t>
            </w:r>
          </w:p>
        </w:tc>
      </w:tr>
      <w:tr w:rsidR="00B012FD" w:rsidRPr="00911DC1">
        <w:trPr>
          <w:trHeight w:val="939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highlight w:val="yellow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</w:tcPr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t xml:space="preserve"> √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Нацрт</w:t>
            </w:r>
          </w:p>
          <w:bookmarkStart w:id="0" w:name="Check11"/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instrText xml:space="preserve"> FORMCHECKBOX </w:instrTex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fldChar w:fldCharType="end"/>
            </w:r>
            <w:bookmarkEnd w:id="0"/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 xml:space="preserve">Предлог </w:t>
            </w:r>
          </w:p>
          <w:p w:rsidR="00B012FD" w:rsidRPr="00911DC1" w:rsidRDefault="00B012FD">
            <w:pPr>
              <w:pStyle w:val="ListParagraph"/>
              <w:spacing w:after="0" w:line="240" w:lineRule="auto"/>
              <w:rPr>
                <w:rFonts w:ascii="StobiSerif Regular" w:hAnsi="StobiSerif Regular" w:cs="StobiSerif Regular"/>
                <w:sz w:val="20"/>
                <w:szCs w:val="20"/>
              </w:rPr>
            </w:pPr>
          </w:p>
        </w:tc>
      </w:tr>
      <w:tr w:rsidR="00B012FD" w:rsidRPr="00911DC1">
        <w:trPr>
          <w:trHeight w:val="1243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Обврската за подготовка на предлогот на закон произлегува од:</w:t>
            </w:r>
          </w:p>
        </w:tc>
        <w:bookmarkStart w:id="1" w:name="Check13"/>
        <w:tc>
          <w:tcPr>
            <w:tcW w:w="6196" w:type="dxa"/>
          </w:tcPr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instrText>FORMCHECKBOX</w:instrTex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end"/>
            </w:r>
            <w:bookmarkEnd w:id="1"/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Годишната програма за работа на Владата на Република</w:t>
            </w:r>
          </w:p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 xml:space="preserve">      Македонија</w:t>
            </w:r>
          </w:p>
          <w:bookmarkStart w:id="2" w:name="Check14"/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instrText>FORMCHECKBOX</w:instrTex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НПАА</w:t>
            </w:r>
          </w:p>
          <w:bookmarkStart w:id="3" w:name="Check16"/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instrText xml:space="preserve"> FORMCHECKBOX </w:instrTex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fldChar w:fldCharType="end"/>
            </w:r>
            <w:bookmarkEnd w:id="3"/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Заклучок на Владата на Република Македонија</w:t>
            </w:r>
          </w:p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t>√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Друго _____________________________________</w:t>
            </w:r>
          </w:p>
        </w:tc>
      </w:tr>
      <w:tr w:rsidR="00B012FD" w:rsidRPr="00911DC1">
        <w:trPr>
          <w:trHeight w:val="634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B012FD" w:rsidRPr="00911DC1" w:rsidRDefault="00B012FD" w:rsidP="00E62E5F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Директива 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 xml:space="preserve"> </w:t>
            </w:r>
          </w:p>
        </w:tc>
      </w:tr>
      <w:tr w:rsidR="00B012FD" w:rsidRPr="00911DC1">
        <w:trPr>
          <w:trHeight w:val="1865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Дали нацрт извештајот содржи информации согласно прописите кои се однесуваат на класифицираните информации </w:t>
            </w:r>
          </w:p>
        </w:tc>
        <w:bookmarkStart w:id="4" w:name="Check17"/>
        <w:tc>
          <w:tcPr>
            <w:tcW w:w="6196" w:type="dxa"/>
          </w:tcPr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instrText xml:space="preserve"> FORMCHECKBOX </w:instrTex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fldChar w:fldCharType="end"/>
            </w:r>
            <w:bookmarkEnd w:id="4"/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Да</w:t>
            </w:r>
          </w:p>
          <w:p w:rsidR="00B012FD" w:rsidRPr="00911DC1" w:rsidRDefault="00B012FD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t>✓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</w:rPr>
              <w:t>Не</w:t>
            </w:r>
          </w:p>
        </w:tc>
      </w:tr>
      <w:tr w:rsidR="00B012FD" w:rsidRPr="00911DC1">
        <w:trPr>
          <w:trHeight w:val="939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ru-RU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16.02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.2015 година</w:t>
            </w:r>
          </w:p>
        </w:tc>
      </w:tr>
      <w:tr w:rsidR="00B012FD" w:rsidRPr="00911DC1">
        <w:trPr>
          <w:trHeight w:val="691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Датум на доставување на нацрт Извештајот до 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ru-RU"/>
              </w:rPr>
            </w:pPr>
          </w:p>
        </w:tc>
      </w:tr>
      <w:tr w:rsidR="00B012FD" w:rsidRPr="00911DC1">
        <w:trPr>
          <w:trHeight w:val="622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Датум на добивање на мислењето од 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</w:p>
        </w:tc>
      </w:tr>
      <w:tr w:rsidR="00B012FD" w:rsidRPr="00911DC1">
        <w:trPr>
          <w:trHeight w:val="951"/>
        </w:trPr>
        <w:tc>
          <w:tcPr>
            <w:tcW w:w="3105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highlight w:val="yellow"/>
                <w:lang w:val="mk-MK"/>
              </w:rPr>
            </w:pPr>
            <w:r w:rsidRPr="00911DC1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Рок за доставување на предлогот на закон до Генералниот секретаријат  </w:t>
            </w:r>
          </w:p>
        </w:tc>
        <w:tc>
          <w:tcPr>
            <w:tcW w:w="6196" w:type="dxa"/>
          </w:tcPr>
          <w:p w:rsidR="00B012FD" w:rsidRPr="00911DC1" w:rsidRDefault="00B012FD">
            <w:pPr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</w:p>
        </w:tc>
      </w:tr>
    </w:tbl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1.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B012FD" w:rsidRPr="00911DC1" w:rsidRDefault="00B012FD" w:rsidP="00387F0D">
      <w:pPr>
        <w:spacing w:line="276" w:lineRule="auto"/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spacing w:line="276" w:lineRule="auto"/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1.1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Опис на состојбите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Согласно постојниот Закон за генетски модифицирани организми („Службен весник на Република Македонија бр.35/08) во главата </w:t>
      </w:r>
      <w:r w:rsidRPr="00911DC1">
        <w:rPr>
          <w:rFonts w:ascii="StobiSerif Regular" w:hAnsi="StobiSerif Regular" w:cs="StobiSerif Regular"/>
          <w:sz w:val="20"/>
          <w:szCs w:val="20"/>
          <w:lang w:val="en-US"/>
        </w:rPr>
        <w:t>V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</w:t>
      </w: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>која се однесува на пуштање на  ГМО производи на пазар не се јасно определени надлежностите на одговорните органи на државна управа согласно намената на ГМО производот.Во овој поглед постои преклопување и со прописите од другите сектори во однос на постапувањето со пуштањето на ГМО производи на пазар.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 </w:t>
      </w:r>
    </w:p>
    <w:p w:rsidR="00B012FD" w:rsidRPr="00911DC1" w:rsidRDefault="00B012FD" w:rsidP="00E62E5F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  </w:t>
      </w:r>
    </w:p>
    <w:p w:rsidR="00B012FD" w:rsidRPr="00911DC1" w:rsidRDefault="00B012FD" w:rsidP="00387F0D">
      <w:pPr>
        <w:spacing w:line="276" w:lineRule="auto"/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1.2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Причини за проблемите кои се предмет на разгледување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Главна  причина поради кои се пристапи кон изменување и дополнување на Законот за генетски модифицирани организми  е  јасно разграничување на надлежностите на одговорните органи на државна управа за спроведување на постапките за пуштање на  ГМО производи на пазар. И покрај тоа што досега законот не е применет на ниту еден конкретен случај потребно е да бидат јасно разграничени надлежностите на органите на државната управа за да се знае кој е надлежен за постапување во зависност од 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 намената на ГМО производот.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 xml:space="preserve">2. 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Цели на предлог регулативата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>Цели кои се очекува да бидат постигнати со донесување на Законот за изменување и дополнување на Законот за  генетски модифицирани организми  се: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- усогласување на  националното  законодавство со Директивите ЕУ  за подрачјето генетски модифицирани организми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- јасно дефинирани надлежности на надлежните органи при </w:t>
      </w: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пуштање на  ГМО производи на пазар со што ќе се овозможи поефикасно спроведување на законот и 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>- воспоставување на одржлив систем за безбедно управување  со ГМО .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3.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Можни решенија (опции)</w:t>
      </w:r>
    </w:p>
    <w:p w:rsidR="00B012FD" w:rsidRPr="00911DC1" w:rsidRDefault="00B012FD" w:rsidP="00387F0D">
      <w:pPr>
        <w:spacing w:line="276" w:lineRule="auto"/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spacing w:line="276" w:lineRule="auto"/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3.1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Опис на решението „не прави ништо“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u w:val="single"/>
          <w:lang w:val="mk-MK"/>
        </w:rPr>
        <w:t>Решението „не прави ништо“-</w:t>
      </w: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 Доколку не се донесе Законот за изменување и дополнување на Законот за генетски модифицирани организми и понатаму ќе постојат преклопувања во надлежностите на органите на државната управа во однос на пуштањата на ГМО производи на пазар.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Имено, доколку не се донеста измените и дополнувањата на законот  Министерството за животна средина и просторно планирање е надлежно за издавање на дозволите за пуштање на ГМО производи на пазар кои можат да бидат од повеќе подрачја (храна, земјоделие и др) поврзани со ГМО, што е спротивно со Директивата 2001/18 за намерно ослободување  на ГМО како и со другите постоечки прописи од областа на храна, земјодлество и др.. </w:t>
      </w:r>
    </w:p>
    <w:p w:rsidR="00B012FD" w:rsidRPr="00911DC1" w:rsidRDefault="00B012FD" w:rsidP="00387F0D">
      <w:pPr>
        <w:tabs>
          <w:tab w:val="left" w:pos="675"/>
        </w:tabs>
        <w:spacing w:line="276" w:lineRule="auto"/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3.2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Опис на можните решенија (опции) за решавање на проблемот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b/>
          <w:bCs/>
          <w:sz w:val="20"/>
          <w:szCs w:val="20"/>
          <w:lang w:val="ru-RU"/>
        </w:rPr>
      </w:pP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sz w:val="20"/>
          <w:szCs w:val="20"/>
          <w:u w:val="single"/>
          <w:lang w:val="ru-RU"/>
        </w:rPr>
        <w:t>Опција 1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ru-RU"/>
        </w:rPr>
        <w:t>: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ДА СЕ ДОНЕСЕ Закон за изменување и дополнување на Законот за генетски модифицирани организми со кој ќе </w:t>
      </w: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>се изврши  разграничување на надлежностите на одговорните органи на државна управа за спроведување на постапките за пуштање на пазар на генетски модифициран производ.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Јасно определување на надлежностите на Министерството за животна средина и просторно планирање односно со измените и дополнувањата се предлага да биде надлежно за ограничено користење на ГМО и намерно ослободување на ГМО. Во однос на пуштањето на ГМО производи на пазар надлежноста е поделена помеѓу Министерството за здравство и Министерството за земјодлество, шумарство и водостопанство. На овој начин се овозможува јасно определување на надлежностите со што би се овозможиле поефикасно и полесно спроведување на законот.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color w:val="000000"/>
          <w:sz w:val="20"/>
          <w:szCs w:val="20"/>
          <w:lang w:val="ru-RU"/>
        </w:rPr>
      </w:pP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numPr>
          <w:ilvl w:val="0"/>
          <w:numId w:val="1"/>
        </w:num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en-US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Проценка на влијанијата на регулативата</w:t>
      </w:r>
    </w:p>
    <w:p w:rsidR="00B012FD" w:rsidRPr="00911DC1" w:rsidRDefault="00B012FD" w:rsidP="00387F0D">
      <w:pPr>
        <w:tabs>
          <w:tab w:val="left" w:pos="675"/>
        </w:tabs>
        <w:ind w:left="360"/>
        <w:rPr>
          <w:rFonts w:ascii="StobiSerif Regular" w:hAnsi="StobiSerif Regular" w:cs="StobiSerif Regular"/>
          <w:b/>
          <w:bCs/>
          <w:sz w:val="20"/>
          <w:szCs w:val="20"/>
          <w:lang w:val="en-US"/>
        </w:rPr>
      </w:pP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ab/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Можни позитивни и негативни влијанија од секоја од опциите: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>Опција„не прави ништо“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Економски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Нема позитивни и негативни влијанија </w:t>
      </w: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Фискални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Нема позитивни и негативни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4.3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Социјални влијанија </w:t>
      </w:r>
    </w:p>
    <w:p w:rsidR="00B012FD" w:rsidRPr="00911DC1" w:rsidRDefault="00B012FD" w:rsidP="005222CC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Нејасни одредби и доредби кои се преклопуваат со други законски решенија ја отежнуваат примената на примената на прописите  </w:t>
      </w:r>
    </w:p>
    <w:p w:rsidR="00B012FD" w:rsidRPr="00911DC1" w:rsidRDefault="00B012FD" w:rsidP="005222CC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4.4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Влијанија врз животната средина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Негативно ќе влијае на спроведување на прописите од областа на животната средина ова особено во однос на спроведувањето на законот.Нејасно дефинирани одредби и нејасно определени надлежности доведуваат до неефикасно спроведување на законот.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4.5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B012FD" w:rsidRPr="00911DC1" w:rsidRDefault="00B012FD" w:rsidP="00387F0D">
      <w:pPr>
        <w:ind w:left="720"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а) трошоци за спроведување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Нема позитивни и негативни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left="720"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б)трошоци за почитување на регулативата </w:t>
      </w:r>
    </w:p>
    <w:p w:rsidR="00B012FD" w:rsidRPr="00911DC1" w:rsidRDefault="00B012FD" w:rsidP="005222CC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Нема позитивни и негативни влијанија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sz w:val="20"/>
          <w:szCs w:val="20"/>
          <w:u w:val="single"/>
          <w:lang w:val="mk-MK"/>
        </w:rPr>
      </w:pP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u w:val="single"/>
          <w:lang w:val="mk-MK"/>
        </w:rPr>
        <w:t xml:space="preserve">Опција 1 - 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ru-RU"/>
        </w:rPr>
        <w:t>Донесување на Закон за изменување и дополнување на Законот за генетски модифицирани организми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Економски влијанија  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Нема позитивни и негативни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Фискални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Нема позитивни и негативни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4.3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Социјални влијанија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Јасни и усогласени законски решенија на граѓаните им овозможуваат полесна примена на прописите 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4.4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Влијанија врз животната средина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Преку јасно разграничување на надлежностите на органите на државната управа ќе се придонесе кон полесно и поефикасно спроведување на законот.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4.5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B012FD" w:rsidRPr="00911DC1" w:rsidRDefault="00B012FD" w:rsidP="00387F0D">
      <w:pPr>
        <w:ind w:left="720"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а) трошоци за спроведување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Предложените решенија во предлог на законот не предизвикуваат трошоци за нејзино спроведување.</w:t>
      </w:r>
    </w:p>
    <w:p w:rsidR="00B012FD" w:rsidRPr="00911DC1" w:rsidRDefault="00B012FD" w:rsidP="00387F0D">
      <w:pPr>
        <w:ind w:left="720"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б)трошоци за почитување на регулативата 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sz w:val="20"/>
          <w:szCs w:val="20"/>
          <w:u w:val="single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Почитување на предложените решенија во предлог на законот не предизвикуваат трошоци.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5.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Консултации</w:t>
      </w: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5.1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Засегнати страни и начин на вклучување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Министерство за финансии, Секретаријат за законодавство, Министерство за информатичко општество и администрација, Министерство за здравство, Агенција за лекови и Агенција за храна и ветеринарство, Министерство за земјоделство, шумарство и водостопанство.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Со Министерството за здравство е одржан состанок на кој се разгелдуваа предложените измени и дополнувања на законот.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5.2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Преглед на добиените и вградените мислења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 </w:t>
      </w: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5.3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Мислењата кои не биле земени предвид и зошто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Сите доставени мислења се земени во предвид и се соодветно вградени.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 xml:space="preserve">6. 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Заклучоци и препорачано решение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ind w:left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6.1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:rsidR="00B012FD" w:rsidRPr="00911DC1" w:rsidRDefault="00B012FD" w:rsidP="00387F0D">
      <w:pPr>
        <w:tabs>
          <w:tab w:val="left" w:pos="675"/>
        </w:tabs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Опција – „не прави ништо“ е неприфатлива затоа што со недонесувањето на Законот за изменување и дополнување на Законот за генетски модифицирани оргнизми ќе се отежне неговата примена  во делот на пуштање на ГМО производи на пазар.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Опција 1 – е прифатливо решение затоа што прифаќањето на оваа опција има само позитивно влијание и е во насока на  разграничување на надлежности</w:t>
      </w:r>
      <w:r w:rsidRPr="00911DC1">
        <w:rPr>
          <w:rFonts w:ascii="StobiSerif Regular" w:hAnsi="StobiSerif Regular" w:cs="StobiSerif Regular"/>
          <w:sz w:val="20"/>
          <w:szCs w:val="20"/>
          <w:lang w:val="mk-MK"/>
        </w:rPr>
        <w:t xml:space="preserve"> на одговорните органи на државна управа за спроведување на постапките за пуштање на пазар на генетски модифициран производ.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 xml:space="preserve"> </w:t>
      </w:r>
    </w:p>
    <w:p w:rsidR="00B012FD" w:rsidRPr="00911DC1" w:rsidRDefault="00B012FD" w:rsidP="00387F0D">
      <w:pPr>
        <w:tabs>
          <w:tab w:val="left" w:pos="675"/>
        </w:tabs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ind w:left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6.2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Ризици во спроведувањето и примената на секое од можните решенија (опции)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Нема</w:t>
      </w:r>
    </w:p>
    <w:p w:rsidR="00B012FD" w:rsidRPr="00911DC1" w:rsidRDefault="00B012FD" w:rsidP="00387F0D">
      <w:pPr>
        <w:ind w:firstLine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6.3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>Препорачано решение со образложение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Да се донесе Закон за изменување и дополнување на Законот за генетски модифицирани организми</w:t>
      </w:r>
      <w:r w:rsidRPr="00911DC1">
        <w:rPr>
          <w:rFonts w:ascii="StobiSerif Regular" w:hAnsi="StobiSerif Regular" w:cs="StobiSerif Regular"/>
          <w:sz w:val="20"/>
          <w:szCs w:val="20"/>
          <w:lang w:val="ru-RU"/>
        </w:rPr>
        <w:t>.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7.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Спроведување на препорачаното решение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numPr>
          <w:ilvl w:val="1"/>
          <w:numId w:val="2"/>
        </w:num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Потреба од менување на закони и подзаконска регулатива во областа или други сродни области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ru-RU"/>
        </w:rPr>
        <w:t xml:space="preserve"> Нема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pStyle w:val="ListParagraph"/>
        <w:jc w:val="both"/>
        <w:rPr>
          <w:rFonts w:ascii="StobiSerif Regular" w:hAnsi="StobiSerif Regular" w:cs="StobiSerif Regular"/>
          <w:i/>
          <w:iCs/>
          <w:sz w:val="20"/>
          <w:szCs w:val="20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>7.2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ab/>
        <w:t>Потребни подзаконски акти и рок за нивно донесување</w:t>
      </w:r>
    </w:p>
    <w:p w:rsidR="00B012FD" w:rsidRPr="00911DC1" w:rsidRDefault="00B012FD" w:rsidP="00387F0D">
      <w:pPr>
        <w:tabs>
          <w:tab w:val="left" w:pos="675"/>
        </w:tabs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ru-RU"/>
        </w:rPr>
        <w:t xml:space="preserve"> Со предложените измени е предвидено донесување на следните подзаконски акти:</w:t>
      </w:r>
    </w:p>
    <w:p w:rsidR="00B012FD" w:rsidRPr="00911DC1" w:rsidRDefault="00B012FD" w:rsidP="00911DC1">
      <w:pPr>
        <w:autoSpaceDE w:val="0"/>
        <w:autoSpaceDN w:val="0"/>
        <w:adjustRightInd w:val="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i/>
          <w:iCs/>
          <w:sz w:val="20"/>
          <w:szCs w:val="20"/>
          <w:lang w:val="mk-MK"/>
        </w:rPr>
        <w:t xml:space="preserve">- 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Правилник за</w:t>
      </w:r>
      <w:r w:rsidRPr="00911DC1">
        <w:rPr>
          <w:rFonts w:ascii="StobiSerif Regular" w:hAnsi="StobiSerif Regular" w:cs="StobiSerif Regular"/>
          <w:b/>
          <w:bCs/>
          <w:i/>
          <w:iCs/>
          <w:sz w:val="20"/>
          <w:szCs w:val="20"/>
          <w:lang w:val="mk-MK"/>
        </w:rPr>
        <w:t xml:space="preserve"> 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поблиската содржина, обемот и методологијата за проценка на ризикот врз животната средина, соодветна за карактерот на внесениот ГМО и животната средина </w:t>
      </w:r>
    </w:p>
    <w:p w:rsidR="00B012FD" w:rsidRPr="00911DC1" w:rsidRDefault="00B012FD" w:rsidP="00911DC1">
      <w:pPr>
        <w:pStyle w:val="BodyText"/>
        <w:jc w:val="both"/>
        <w:rPr>
          <w:rFonts w:ascii="StobiSerif Regular" w:hAnsi="StobiSerif Regular" w:cs="StobiSerif Regular"/>
          <w:b w:val="0"/>
          <w:bCs w:val="0"/>
          <w:i/>
          <w:iCs/>
          <w:sz w:val="20"/>
          <w:szCs w:val="20"/>
        </w:rPr>
      </w:pPr>
      <w:r w:rsidRPr="00911DC1">
        <w:rPr>
          <w:rFonts w:ascii="StobiSerif Regular" w:hAnsi="StobiSerif Regular" w:cs="StobiSerif Regular"/>
          <w:b w:val="0"/>
          <w:bCs w:val="0"/>
          <w:i/>
          <w:iCs/>
          <w:sz w:val="20"/>
          <w:szCs w:val="20"/>
        </w:rPr>
        <w:t xml:space="preserve">- Правилник за критериумите врз основа на кои се врши класифицирање на ограниченото користење, елементите за процена и постапката за спроведување на проценката на ризикот и </w:t>
      </w:r>
    </w:p>
    <w:p w:rsidR="00B012FD" w:rsidRPr="00911DC1" w:rsidRDefault="00B012FD" w:rsidP="00911DC1">
      <w:pPr>
        <w:pStyle w:val="BodyText"/>
        <w:jc w:val="both"/>
        <w:rPr>
          <w:rFonts w:ascii="StobiSerif Regular" w:hAnsi="StobiSerif Regular" w:cs="StobiSerif Regular"/>
          <w:b w:val="0"/>
          <w:bCs w:val="0"/>
          <w:i/>
          <w:iCs/>
          <w:sz w:val="20"/>
          <w:szCs w:val="20"/>
        </w:rPr>
      </w:pPr>
      <w:r w:rsidRPr="00911DC1">
        <w:rPr>
          <w:rFonts w:ascii="StobiSerif Regular" w:hAnsi="StobiSerif Regular" w:cs="StobiSerif Regular"/>
          <w:b w:val="0"/>
          <w:bCs w:val="0"/>
          <w:i/>
          <w:iCs/>
          <w:sz w:val="20"/>
          <w:szCs w:val="20"/>
        </w:rPr>
        <w:t>- Формата и содржината на образецот и начинот на изготвување на извештајот за процена на ГМО производ.</w:t>
      </w:r>
    </w:p>
    <w:p w:rsidR="00B012FD" w:rsidRPr="00911DC1" w:rsidRDefault="00B012FD" w:rsidP="00387F0D">
      <w:pPr>
        <w:tabs>
          <w:tab w:val="left" w:pos="675"/>
        </w:tabs>
        <w:jc w:val="both"/>
        <w:rPr>
          <w:rFonts w:ascii="StobiSerif Regular" w:hAnsi="StobiSerif Regular" w:cs="StobiSerif Regular"/>
          <w:i/>
          <w:iCs/>
          <w:sz w:val="20"/>
          <w:szCs w:val="20"/>
          <w:lang w:val="ru-RU"/>
        </w:rPr>
      </w:pPr>
    </w:p>
    <w:p w:rsidR="00B012FD" w:rsidRPr="00911DC1" w:rsidRDefault="00B012FD" w:rsidP="00387F0D">
      <w:pPr>
        <w:pStyle w:val="ListParagraph"/>
        <w:jc w:val="both"/>
        <w:rPr>
          <w:rFonts w:ascii="StobiSerif Regular" w:hAnsi="StobiSerif Regular" w:cs="StobiSerif Regular"/>
          <w:i/>
          <w:iCs/>
          <w:sz w:val="20"/>
          <w:szCs w:val="20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>7.3</w:t>
      </w: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ab/>
        <w:t>Органи на државната управа, државни органи и други органи надлежни за спроведување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Надлежен орган за спроведување на Законот е Министерството за животна средина и просторно планирање, Управата за животна средина и Државниот инспекторат за животна средина.</w:t>
      </w:r>
    </w:p>
    <w:p w:rsidR="00B012FD" w:rsidRPr="00911DC1" w:rsidRDefault="00B012FD" w:rsidP="00387F0D">
      <w:pPr>
        <w:pStyle w:val="ListParagraph"/>
        <w:jc w:val="both"/>
        <w:rPr>
          <w:rFonts w:ascii="StobiSerif Regular" w:hAnsi="StobiSerif Regular" w:cs="StobiSerif Regular"/>
          <w:i/>
          <w:iCs/>
          <w:sz w:val="20"/>
          <w:szCs w:val="20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>7.4</w:t>
      </w:r>
      <w:r w:rsidRPr="00911DC1">
        <w:rPr>
          <w:rFonts w:ascii="StobiSerif Regular" w:hAnsi="StobiSerif Regular" w:cs="StobiSerif Regular"/>
          <w:i/>
          <w:iCs/>
          <w:sz w:val="20"/>
          <w:szCs w:val="20"/>
        </w:rPr>
        <w:tab/>
        <w:t>Активности за обезбедување на ефикасно спроведување на предлогот на закон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ru-RU"/>
        </w:rPr>
        <w:t>Најголем дел од одредбите се однесуваат на усогласување на законот со наведените закони како и промена на правните основи за донесување на подзаконски акти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. Активности со кои ќе се овозможи спроведување на законот е донесување на предвидените подзаконски акти.</w:t>
      </w:r>
    </w:p>
    <w:p w:rsidR="00B012FD" w:rsidRPr="00911DC1" w:rsidRDefault="00B012FD" w:rsidP="00387F0D">
      <w:pPr>
        <w:tabs>
          <w:tab w:val="left" w:pos="675"/>
        </w:tabs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</w:p>
    <w:p w:rsidR="00B012FD" w:rsidRPr="00911DC1" w:rsidRDefault="00B012FD" w:rsidP="00387F0D">
      <w:pPr>
        <w:shd w:val="clear" w:color="auto" w:fill="CCFFFF"/>
        <w:tabs>
          <w:tab w:val="left" w:pos="675"/>
        </w:tabs>
        <w:rPr>
          <w:rFonts w:ascii="StobiSerif Regular" w:hAnsi="StobiSerif Regular" w:cs="StobiSerif Regular"/>
          <w:b/>
          <w:b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>8.</w:t>
      </w:r>
      <w:r w:rsidRPr="00911DC1">
        <w:rPr>
          <w:rFonts w:ascii="StobiSerif Regular" w:hAnsi="StobiSerif Regular" w:cs="StobiSerif Regular"/>
          <w:b/>
          <w:bCs/>
          <w:sz w:val="20"/>
          <w:szCs w:val="20"/>
          <w:lang w:val="mk-MK"/>
        </w:rPr>
        <w:tab/>
        <w:t>Следење и евалуација</w:t>
      </w:r>
    </w:p>
    <w:p w:rsidR="00B012FD" w:rsidRPr="00911DC1" w:rsidRDefault="00B012FD" w:rsidP="00387F0D">
      <w:pPr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B012FD" w:rsidRPr="00911DC1" w:rsidRDefault="00B012FD" w:rsidP="00387F0D">
      <w:pPr>
        <w:ind w:left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 xml:space="preserve">8.1 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B012FD" w:rsidRPr="00911DC1" w:rsidRDefault="00B012FD" w:rsidP="00387F0D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Следењето на спроведувањето се врши преку донесување на предвидените подзаконски акти.</w:t>
      </w:r>
    </w:p>
    <w:p w:rsidR="00B012FD" w:rsidRPr="00911DC1" w:rsidRDefault="00B012FD" w:rsidP="00387F0D">
      <w:pPr>
        <w:ind w:left="720"/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8.2</w:t>
      </w: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ab/>
        <w:t xml:space="preserve">Евалуација на ефектите од предлогот на закон и рокови </w:t>
      </w:r>
    </w:p>
    <w:p w:rsidR="00B012FD" w:rsidRPr="00911DC1" w:rsidRDefault="00B012FD" w:rsidP="00911DC1">
      <w:pPr>
        <w:jc w:val="both"/>
        <w:rPr>
          <w:rFonts w:ascii="StobiSerif Regular" w:hAnsi="StobiSerif Regular" w:cs="StobiSerif Regular"/>
          <w:i/>
          <w:iCs/>
          <w:sz w:val="20"/>
          <w:szCs w:val="20"/>
          <w:lang w:val="mk-MK"/>
        </w:rPr>
      </w:pPr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Ефектите од предлог законот ќе се следат во зависност од тоа дали во наредниот период ќе постојат реални случаи на кои би се применил законот</w:t>
      </w:r>
      <w:bookmarkStart w:id="5" w:name="_GoBack"/>
      <w:bookmarkEnd w:id="5"/>
      <w:r w:rsidRPr="00911DC1">
        <w:rPr>
          <w:rFonts w:ascii="StobiSerif Regular" w:hAnsi="StobiSerif Regular" w:cs="StobiSerif Regular"/>
          <w:i/>
          <w:iCs/>
          <w:sz w:val="20"/>
          <w:szCs w:val="20"/>
          <w:lang w:val="mk-MK"/>
        </w:rPr>
        <w:t>.</w:t>
      </w:r>
    </w:p>
    <w:sectPr w:rsidR="00B012FD" w:rsidRPr="00911DC1" w:rsidSect="00BF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DE1"/>
    <w:multiLevelType w:val="hybridMultilevel"/>
    <w:tmpl w:val="B08C9ABC"/>
    <w:lvl w:ilvl="0" w:tplc="2CCE2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2B48A8"/>
    <w:multiLevelType w:val="multilevel"/>
    <w:tmpl w:val="21C0310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F0D"/>
    <w:rsid w:val="00175FC3"/>
    <w:rsid w:val="001C7F18"/>
    <w:rsid w:val="0020718A"/>
    <w:rsid w:val="00387F0D"/>
    <w:rsid w:val="005222CC"/>
    <w:rsid w:val="00665507"/>
    <w:rsid w:val="006E4839"/>
    <w:rsid w:val="007679C6"/>
    <w:rsid w:val="00911DC1"/>
    <w:rsid w:val="00B012FD"/>
    <w:rsid w:val="00B50304"/>
    <w:rsid w:val="00BF1B21"/>
    <w:rsid w:val="00D43B6C"/>
    <w:rsid w:val="00E468D5"/>
    <w:rsid w:val="00E62E5F"/>
    <w:rsid w:val="00F539CC"/>
    <w:rsid w:val="00FD4142"/>
    <w:rsid w:val="00FE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0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7F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mk-MK"/>
    </w:rPr>
  </w:style>
  <w:style w:type="paragraph" w:styleId="BodyText">
    <w:name w:val="Body Text"/>
    <w:basedOn w:val="Normal"/>
    <w:link w:val="BodyTextChar1"/>
    <w:uiPriority w:val="99"/>
    <w:rsid w:val="00911DC1"/>
    <w:pPr>
      <w:suppressAutoHyphens/>
      <w:jc w:val="center"/>
    </w:pPr>
    <w:rPr>
      <w:rFonts w:eastAsia="Calibri"/>
      <w:b/>
      <w:bCs/>
      <w:lang w:val="mk-MK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A45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911DC1"/>
    <w:rPr>
      <w:b/>
      <w:bCs/>
      <w:sz w:val="24"/>
      <w:szCs w:val="24"/>
      <w:lang w:val="mk-M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1377</Words>
  <Characters>7849</Characters>
  <Application>Microsoft Office Outlook</Application>
  <DocSecurity>0</DocSecurity>
  <Lines>0</Lines>
  <Paragraphs>0</Paragraphs>
  <ScaleCrop>false</ScaleCrop>
  <Company>MoEPP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ЗА ПРОЦЕНКА НА ВЛИЈАНИЕТО НА РЕГУЛАТИВАТА</dc:title>
  <dc:subject/>
  <dc:creator>damjan lutovski</dc:creator>
  <cp:keywords/>
  <dc:description/>
  <cp:lastModifiedBy>draganac</cp:lastModifiedBy>
  <cp:revision>3</cp:revision>
  <dcterms:created xsi:type="dcterms:W3CDTF">2015-02-16T09:50:00Z</dcterms:created>
  <dcterms:modified xsi:type="dcterms:W3CDTF">2015-02-16T09:57:00Z</dcterms:modified>
</cp:coreProperties>
</file>