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11" w:rsidRPr="00FF38D5" w:rsidRDefault="000D4111" w:rsidP="000D4111">
      <w:pPr>
        <w:pStyle w:val="Naslov-Glaven"/>
        <w:ind w:right="32"/>
        <w:rPr>
          <w:rFonts w:ascii="StobiSerif Regular" w:hAnsi="StobiSerif Regular" w:cs="StobiSerif Regular"/>
          <w:sz w:val="22"/>
          <w:szCs w:val="22"/>
          <w:lang w:val="mk-MK"/>
        </w:rPr>
      </w:pPr>
      <w:r w:rsidRPr="00FF38D5">
        <w:rPr>
          <w:rFonts w:ascii="StobiSerif Regular" w:hAnsi="StobiSerif Regular" w:cs="StobiSerif Regular"/>
          <w:sz w:val="22"/>
          <w:szCs w:val="22"/>
          <w:lang w:val="mk-MK"/>
        </w:rPr>
        <w:t xml:space="preserve">ОБРАЗЛОЖЕНИЕ НА ПРЕДЛОГ ЗАКОНОТ ЗА ИЗМЕНУВАЊЕ И ДОПОЛНУВАЊЕ НА ЗАКОНОТ  ЗА </w:t>
      </w:r>
      <w:r w:rsidRPr="00FF38D5">
        <w:rPr>
          <w:rFonts w:ascii="StobiSerif Regular" w:hAnsi="StobiSerif Regular" w:cs="StobiSerif Regular"/>
          <w:sz w:val="22"/>
          <w:szCs w:val="22"/>
        </w:rPr>
        <w:t xml:space="preserve"> </w:t>
      </w:r>
      <w:r w:rsidRPr="00FF38D5">
        <w:rPr>
          <w:rFonts w:ascii="StobiSerif Regular" w:hAnsi="StobiSerif Regular" w:cs="StobiSerif Regular"/>
          <w:sz w:val="22"/>
          <w:szCs w:val="22"/>
          <w:lang w:val="mk-MK"/>
        </w:rPr>
        <w:t>трговските друштва</w:t>
      </w:r>
    </w:p>
    <w:p w:rsidR="000D4111" w:rsidRPr="00FF38D5" w:rsidRDefault="000D4111" w:rsidP="000D4111">
      <w:pPr>
        <w:pStyle w:val="Naslov-Glaven"/>
        <w:ind w:right="32"/>
        <w:jc w:val="both"/>
        <w:rPr>
          <w:rFonts w:ascii="StobiSerif Regular" w:hAnsi="StobiSerif Regular" w:cs="StobiSerif Regular"/>
          <w:b w:val="0"/>
          <w:bCs w:val="0"/>
          <w:sz w:val="22"/>
          <w:szCs w:val="22"/>
          <w:lang w:val="mk-MK"/>
        </w:rPr>
      </w:pPr>
    </w:p>
    <w:p w:rsidR="000D4111" w:rsidRPr="00FF38D5" w:rsidRDefault="000D4111" w:rsidP="000D4111">
      <w:pPr>
        <w:pStyle w:val="Naslov-Glaven"/>
        <w:ind w:right="32"/>
        <w:rPr>
          <w:rFonts w:ascii="StobiSerif Regular" w:hAnsi="StobiSerif Regular" w:cs="StobiSerif Regular"/>
          <w:sz w:val="22"/>
          <w:szCs w:val="22"/>
          <w:lang w:val="mk-MK"/>
        </w:rPr>
      </w:pPr>
      <w:r w:rsidRPr="00FF38D5">
        <w:rPr>
          <w:rFonts w:ascii="StobiSerif Regular" w:hAnsi="StobiSerif Regular" w:cs="StobiSerif Regular"/>
          <w:sz w:val="22"/>
          <w:szCs w:val="22"/>
        </w:rPr>
        <w:t>I</w:t>
      </w:r>
      <w:r w:rsidRPr="00FF38D5">
        <w:rPr>
          <w:rFonts w:ascii="StobiSerif Regular" w:hAnsi="StobiSerif Regular" w:cs="StobiSerif Regular"/>
          <w:sz w:val="22"/>
          <w:szCs w:val="22"/>
          <w:lang w:val="mk-MK"/>
        </w:rPr>
        <w:t>. објаснување на содрЖината на одредбите на предлог законот</w:t>
      </w:r>
    </w:p>
    <w:p w:rsidR="000D4111" w:rsidRPr="006B0722" w:rsidRDefault="000D4111" w:rsidP="000D4111">
      <w:pPr>
        <w:spacing w:before="120"/>
        <w:jc w:val="both"/>
        <w:rPr>
          <w:rFonts w:ascii="StobiSerif Regular" w:hAnsi="StobiSerif Regular" w:cs="StobiSerif Regular"/>
        </w:rPr>
      </w:pPr>
      <w:r w:rsidRPr="00FF38D5">
        <w:rPr>
          <w:rFonts w:ascii="StobiSerif Regular" w:hAnsi="StobiSerif Regular" w:cs="StobiSerif Regular"/>
        </w:rPr>
        <w:t xml:space="preserve"> Со Законот за изменување и дополнување на Законот за трговските друштва  се врши допрецизирање и доуредување на законската одредба со предлагање на конкретни решенија  заради нејзино подоследно применување и надминување на проблемите со субјектите по однос на воведување   на  конкретни решенија  за субјектите кои   се регистрирани во единствениот трговски регистар со предлагање на казнени одредби и бришење на оние фирми кои  не доставуваат годишни сметки  во утврдениот законски рок, кои немаат деловна активност, кои по однос на квалитетот на податоците се несоодветни односно неусогласени тие што се доставени во УЈП  во однос на тие  што се доставени во ЦРМ, потоа пријавување  на промена на седиште на фирма  како и регулирање на статусот на овие субјекти. </w:t>
      </w:r>
    </w:p>
    <w:p w:rsidR="000D4111" w:rsidRDefault="000D4111" w:rsidP="000D4111">
      <w:pPr>
        <w:spacing w:before="120"/>
        <w:jc w:val="both"/>
        <w:rPr>
          <w:rFonts w:ascii="StobiSerif Regular" w:hAnsi="StobiSerif Regular" w:cs="StobiSerif Regular"/>
        </w:rPr>
      </w:pPr>
      <w:r>
        <w:rPr>
          <w:rFonts w:ascii="StobiSerif Regular" w:hAnsi="StobiSerif Regular" w:cs="StobiSerif Regular"/>
        </w:rPr>
        <w:t>Со  член  1 од Предлогот  во  член  14 став  2  се прецизира  дека  пријавата за упис  на трговец-поединец во трговскиот регистар се поднесува  исклучиво во електронска форма  потпишана со електронски потпис  согласно со ситемот за е-регистрација .</w:t>
      </w:r>
    </w:p>
    <w:p w:rsidR="000D4111" w:rsidRPr="00290C11" w:rsidRDefault="000D4111" w:rsidP="000D4111">
      <w:pPr>
        <w:jc w:val="both"/>
        <w:rPr>
          <w:rFonts w:ascii="StobiSerif Regular" w:hAnsi="StobiSerif Regular"/>
        </w:rPr>
      </w:pPr>
      <w:r>
        <w:rPr>
          <w:rFonts w:ascii="StobiSerif Regular" w:hAnsi="StobiSerif Regular" w:cs="StobiSerif Regular"/>
        </w:rPr>
        <w:t xml:space="preserve">Со член 2 од </w:t>
      </w:r>
      <w:proofErr w:type="gramStart"/>
      <w:r>
        <w:rPr>
          <w:rFonts w:ascii="StobiSerif Regular" w:hAnsi="StobiSerif Regular" w:cs="StobiSerif Regular"/>
        </w:rPr>
        <w:t>Предлогот  во</w:t>
      </w:r>
      <w:proofErr w:type="gramEnd"/>
      <w:r>
        <w:rPr>
          <w:rFonts w:ascii="StobiSerif Regular" w:hAnsi="StobiSerif Regular" w:cs="StobiSerif Regular"/>
        </w:rPr>
        <w:t xml:space="preserve"> член 29 став 2   со новата  точка 5) се прецизира  дека  трговско друштво не можат да основаат и </w:t>
      </w:r>
      <w:r w:rsidRPr="00FF38D5">
        <w:rPr>
          <w:rFonts w:ascii="StobiSerif Regular" w:eastAsiaTheme="minorHAnsi" w:hAnsi="StobiSerif Regular" w:cstheme="minorHAnsi"/>
        </w:rPr>
        <w:t xml:space="preserve">одружниците, управителите и членовите на органот на управување и органот на надзор на друштвата за кои согласно член 552-б од овој закон е започната постапка за бришење додека трае таа постапка и во период од 3 години  од денот на објавата на бришењето на друштвото </w:t>
      </w:r>
      <w:r>
        <w:rPr>
          <w:rFonts w:ascii="StobiSerif Regular" w:eastAsiaTheme="minorHAnsi" w:hAnsi="StobiSerif Regular" w:cstheme="minorHAnsi"/>
        </w:rPr>
        <w:t xml:space="preserve"> </w:t>
      </w:r>
      <w:r w:rsidRPr="00FF38D5">
        <w:rPr>
          <w:rFonts w:ascii="StobiSerif Regular" w:eastAsiaTheme="minorHAnsi" w:hAnsi="StobiSerif Regular" w:cstheme="minorHAnsi"/>
        </w:rPr>
        <w:t>на веб страницата на Централниот Региста</w:t>
      </w:r>
      <w:r>
        <w:rPr>
          <w:rFonts w:ascii="StobiSerif Regular" w:eastAsiaTheme="minorHAnsi" w:hAnsi="StobiSerif Regular" w:cstheme="minorHAnsi"/>
        </w:rPr>
        <w:t>р.</w:t>
      </w:r>
    </w:p>
    <w:p w:rsidR="000D4111" w:rsidRDefault="000D4111" w:rsidP="000D4111">
      <w:pPr>
        <w:jc w:val="both"/>
        <w:rPr>
          <w:rFonts w:ascii="StobiSerif Regular" w:hAnsi="StobiSerif Regular"/>
        </w:rPr>
      </w:pPr>
      <w:r>
        <w:rPr>
          <w:rFonts w:ascii="StobiSerif Regular" w:hAnsi="StobiSerif Regular" w:cs="StobiSerif Regular"/>
        </w:rPr>
        <w:t xml:space="preserve">Со  член  3 од Предлогот  во  член   29 став  2  се прецизира  дека   лицата од ченот 29 став </w:t>
      </w:r>
      <w:r>
        <w:rPr>
          <w:rFonts w:ascii="StobiSerif Regular" w:hAnsi="StobiSerif Regular"/>
        </w:rPr>
        <w:t xml:space="preserve"> </w:t>
      </w:r>
      <w:r w:rsidRPr="00FF38D5">
        <w:rPr>
          <w:rFonts w:ascii="StobiSerif Regular" w:hAnsi="StobiSerif Regular"/>
        </w:rPr>
        <w:t>1) трговски друштва чија сметка отворена кај кој било носител на платниот промет е блокирана и лицата кои се членови на органот на управување, органот на надзор, односно се управители на тие друштва, сè додека трае блокадата на сметката на друштвото или додека над истото не се отвори постапка на ликвидација или стечај;</w:t>
      </w:r>
      <w:r>
        <w:rPr>
          <w:rFonts w:ascii="StobiSerif Regular" w:hAnsi="StobiSerif Regular"/>
        </w:rPr>
        <w:t xml:space="preserve"> и од став </w:t>
      </w:r>
      <w:r w:rsidRPr="00FF38D5">
        <w:rPr>
          <w:rFonts w:ascii="StobiSerif Regular" w:hAnsi="StobiSerif Regular"/>
        </w:rPr>
        <w:t>3) лица кои се членови на органот на управување, органот на надзор, односно се управители на трговски друштва на кои во постапка пропишана со закон им е изречена забрана за вршење професија, дејност или дол</w:t>
      </w:r>
      <w:r>
        <w:rPr>
          <w:rFonts w:ascii="StobiSerif Regular" w:hAnsi="StobiSerif Regular"/>
        </w:rPr>
        <w:t xml:space="preserve">жност, сè додека трае забраната,  не можат да бидат управители , членови  на орган на управување и орган на надзор на трговско друштво се додека кај нив постојат овие ограничувања , а лицата од   новата точка   5) </w:t>
      </w:r>
      <w:r w:rsidRPr="00290C11">
        <w:rPr>
          <w:rFonts w:ascii="StobiSerif Regular" w:hAnsi="StobiSerif Regular"/>
        </w:rPr>
        <w:t xml:space="preserve"> </w:t>
      </w:r>
      <w:r>
        <w:rPr>
          <w:rFonts w:ascii="StobiSerif Regular" w:hAnsi="StobiSerif Regular"/>
        </w:rPr>
        <w:t>на член 29 , од денот на отпочнување н а постапка за бришење и во период од 3 години  од денот на објавата н а бришењето на друштвото на веб странатат на ЦРМ.</w:t>
      </w:r>
    </w:p>
    <w:p w:rsidR="000D4111" w:rsidRDefault="000D4111" w:rsidP="000D4111">
      <w:pPr>
        <w:jc w:val="both"/>
        <w:rPr>
          <w:rFonts w:ascii="StobiSerif Regular" w:hAnsi="StobiSerif Regular"/>
        </w:rPr>
      </w:pPr>
      <w:r>
        <w:rPr>
          <w:rFonts w:ascii="StobiSerif Regular" w:hAnsi="StobiSerif Regular"/>
        </w:rPr>
        <w:lastRenderedPageBreak/>
        <w:t xml:space="preserve">Со член 4 од Предлогот во член 92 ставот  1 се менува и се пропишува дека  ` постапкатат за упис во трговскиот регистар се поведува со поднесување пријава на пропишан образец во којашто е содржано барањето з упис. </w:t>
      </w:r>
      <w:proofErr w:type="gramStart"/>
      <w:r>
        <w:rPr>
          <w:rFonts w:ascii="StobiSerif Regular" w:hAnsi="StobiSerif Regular"/>
        </w:rPr>
        <w:t>Истата  се</w:t>
      </w:r>
      <w:proofErr w:type="gramEnd"/>
      <w:r>
        <w:rPr>
          <w:rFonts w:ascii="StobiSerif Regular" w:hAnsi="StobiSerif Regular"/>
        </w:rPr>
        <w:t xml:space="preserve"> поднесува во  писмена или електронска     форма, освен за упис на ДОО и ДООЕЛ за кои пријавата се поднесува иклучиво во електронска форма со елекронски потпис согласно системот за е-регистрација. </w:t>
      </w:r>
    </w:p>
    <w:p w:rsidR="000D4111" w:rsidRDefault="000D4111" w:rsidP="000D4111">
      <w:pPr>
        <w:jc w:val="both"/>
        <w:rPr>
          <w:rFonts w:ascii="StobiSerif Regular" w:hAnsi="StobiSerif Regular"/>
        </w:rPr>
      </w:pPr>
      <w:r>
        <w:rPr>
          <w:rFonts w:ascii="StobiSerif Regular" w:hAnsi="StobiSerif Regular"/>
        </w:rPr>
        <w:t>Со член 5 од Предлог Законот, во член 460-а  во делот на постапката  за одобрување на зделка о заинтересирана страна  кај акционерските друштва  чии хартии од вредност  котираат на  овластена берза, согласно препораките на  Duing Business 2014 за  напредокот 2013 година  ,и по барање на Комисијата за хартии од вредност за да се изврши усогласување со законт за хартии од вредност  кој во моментов  е во собраниска процедура, се определува вредноста н а зделката да изнесува 10% и повеќе  од активата на друштвото .</w:t>
      </w:r>
    </w:p>
    <w:p w:rsidR="000D4111" w:rsidRDefault="000D4111" w:rsidP="000D4111">
      <w:pPr>
        <w:jc w:val="both"/>
        <w:rPr>
          <w:rFonts w:ascii="StobiSerif Regular" w:hAnsi="StobiSerif Regular"/>
        </w:rPr>
      </w:pPr>
      <w:r>
        <w:rPr>
          <w:rFonts w:ascii="StobiSerif Regular" w:hAnsi="StobiSerif Regular"/>
        </w:rPr>
        <w:t xml:space="preserve">Со член 6  во член 477 ставовите (10) и (11) се менуваат во смисл на тоа што  се воведува обврска за доставување на годишни сметки и финансиски извештај  со податоци на пропишан образец да поднесуваат и трговци поединци и трговски друштва  кои не вршееле никаква   трговск дјност односно дејност која може да се смета за трговска. Доколку ТП и ТД не достават годишна сметка дека не биле активни, ќе бидат бришани </w:t>
      </w:r>
      <w:proofErr w:type="gramStart"/>
      <w:r>
        <w:rPr>
          <w:rFonts w:ascii="StobiSerif Regular" w:hAnsi="StobiSerif Regular"/>
        </w:rPr>
        <w:t>од  од</w:t>
      </w:r>
      <w:proofErr w:type="gramEnd"/>
      <w:r>
        <w:rPr>
          <w:rFonts w:ascii="StobiSerif Regular" w:hAnsi="StobiSerif Regular"/>
        </w:rPr>
        <w:t xml:space="preserve"> единствениот трговски регистар. Годишнатат сметка и финансискиот </w:t>
      </w:r>
      <w:proofErr w:type="gramStart"/>
      <w:r>
        <w:rPr>
          <w:rFonts w:ascii="StobiSerif Regular" w:hAnsi="StobiSerif Regular"/>
        </w:rPr>
        <w:t>извештај  се</w:t>
      </w:r>
      <w:proofErr w:type="gramEnd"/>
      <w:r>
        <w:rPr>
          <w:rFonts w:ascii="StobiSerif Regular" w:hAnsi="StobiSerif Regular"/>
        </w:rPr>
        <w:t xml:space="preserve"> доставуваат со предходно извршена ревизија  од овластен ревизор. </w:t>
      </w:r>
    </w:p>
    <w:p w:rsidR="000D4111" w:rsidRDefault="000D4111" w:rsidP="000D4111">
      <w:pPr>
        <w:jc w:val="both"/>
        <w:rPr>
          <w:rFonts w:ascii="StobiSerif Regular" w:hAnsi="StobiSerif Regular"/>
        </w:rPr>
      </w:pPr>
      <w:r>
        <w:rPr>
          <w:rFonts w:ascii="StobiSerif Regular" w:hAnsi="StobiSerif Regular"/>
        </w:rPr>
        <w:t xml:space="preserve">Со член 7  во член 477-а од Законот со новите ставови (5), (6), (7) и (8)  се прецизира дека  доколку  УЈП во постапка на утврдување на статус на неактивен субјект  со Решение гозадолжува  субјектот  во ро од 30 дена   за пресметковната  година  повторно да достави  до ЦРМ  годишна сметка и финансиски извештај со предходно извршена ревизија  од овластен ревизор.  Ако се утврди дека постојат отстапувања  во делот на податоците доставени до ЦРМ,  во однос на податоците  доставени до УЈП,  со решение го задолжува субјектот во рок од 30 дна  за пресметковнатат година повторно да достави до ЦРМ  годишна сметка и фнансиски извештај со предходно извршена ревизија од овластен ревизор. </w:t>
      </w:r>
      <w:proofErr w:type="gramStart"/>
      <w:r>
        <w:rPr>
          <w:rFonts w:ascii="StobiSerif Regular" w:hAnsi="StobiSerif Regular"/>
        </w:rPr>
        <w:t>За ова електронски се известува ЦРМ.</w:t>
      </w:r>
      <w:proofErr w:type="gramEnd"/>
      <w:r>
        <w:rPr>
          <w:rFonts w:ascii="StobiSerif Regular" w:hAnsi="StobiSerif Regular"/>
        </w:rPr>
        <w:t xml:space="preserve">  Доколку субјектот не </w:t>
      </w:r>
      <w:proofErr w:type="gramStart"/>
      <w:r>
        <w:rPr>
          <w:rFonts w:ascii="StobiSerif Regular" w:hAnsi="StobiSerif Regular"/>
        </w:rPr>
        <w:t>достави  во</w:t>
      </w:r>
      <w:proofErr w:type="gramEnd"/>
      <w:r>
        <w:rPr>
          <w:rFonts w:ascii="StobiSerif Regular" w:hAnsi="StobiSerif Regular"/>
        </w:rPr>
        <w:t xml:space="preserve"> определен рок годишна сметка и финансиски извештај,  се брише од трговскиот регистар согласно член 552-а и 552-б на овој закон.</w:t>
      </w:r>
    </w:p>
    <w:p w:rsidR="000D4111" w:rsidRDefault="000D4111" w:rsidP="000D4111">
      <w:pPr>
        <w:jc w:val="both"/>
        <w:rPr>
          <w:rFonts w:ascii="StobiSerif Regular" w:hAnsi="StobiSerif Regular"/>
        </w:rPr>
      </w:pPr>
      <w:r>
        <w:rPr>
          <w:rFonts w:ascii="StobiSerif Regular" w:hAnsi="StobiSerif Regular"/>
        </w:rPr>
        <w:t xml:space="preserve"> Со член </w:t>
      </w:r>
      <w:proofErr w:type="gramStart"/>
      <w:r>
        <w:rPr>
          <w:rFonts w:ascii="StobiSerif Regular" w:hAnsi="StobiSerif Regular"/>
        </w:rPr>
        <w:t>8  се</w:t>
      </w:r>
      <w:proofErr w:type="gramEnd"/>
      <w:r>
        <w:rPr>
          <w:rFonts w:ascii="StobiSerif Regular" w:hAnsi="StobiSerif Regular"/>
        </w:rPr>
        <w:t xml:space="preserve"> менува  член  552-а  од Законот,  се прецизира дека  во определена постапка пропишана во овој член  се спроведува постапка на бришење на субјектот.</w:t>
      </w:r>
    </w:p>
    <w:p w:rsidR="000D4111" w:rsidRDefault="000D4111" w:rsidP="000D4111">
      <w:pPr>
        <w:jc w:val="both"/>
        <w:rPr>
          <w:rFonts w:ascii="StobiSerif Regular" w:hAnsi="StobiSerif Regular"/>
        </w:rPr>
      </w:pPr>
      <w:proofErr w:type="gramStart"/>
      <w:r>
        <w:rPr>
          <w:rFonts w:ascii="StobiSerif Regular" w:hAnsi="StobiSerif Regular"/>
        </w:rPr>
        <w:t>Со  член</w:t>
      </w:r>
      <w:proofErr w:type="gramEnd"/>
      <w:r>
        <w:rPr>
          <w:rFonts w:ascii="StobiSerif Regular" w:hAnsi="StobiSerif Regular"/>
        </w:rPr>
        <w:t xml:space="preserve"> 552-б  се прецизираат случаите кога се брише  од трговскиот регистар трговецот поединец и трговсктото друштво. Тоа се случаите на не доствување на годишна сметка и финансиски извештај за последната  пресметковна година  до </w:t>
      </w:r>
      <w:r>
        <w:rPr>
          <w:rFonts w:ascii="StobiSerif Regular" w:hAnsi="StobiSerif Regular"/>
        </w:rPr>
        <w:lastRenderedPageBreak/>
        <w:t xml:space="preserve">последниот работен ден  во тековнаат година, и   кога субјектот не пријавил адреса на електронско сандаче за прием на писмена  согласно член 21 став 4 од Законот за едношалтерски  систем. </w:t>
      </w:r>
    </w:p>
    <w:p w:rsidR="000D4111" w:rsidRDefault="000D4111" w:rsidP="000D4111">
      <w:pPr>
        <w:jc w:val="both"/>
        <w:rPr>
          <w:rFonts w:ascii="StobiSerif Regular" w:hAnsi="StobiSerif Regular"/>
        </w:rPr>
      </w:pPr>
      <w:r>
        <w:rPr>
          <w:rFonts w:ascii="StobiSerif Regular" w:hAnsi="StobiSerif Regular"/>
        </w:rPr>
        <w:t xml:space="preserve">Со член 10,  во член 597 став 2 се уредува дека  при вршење надзор, инспекциските служби  задолжително пднесуваат предлог за поведување н а прекршочна постапка , додколку е сорен прекршок  во врска со одредбите на овој закон. И како новина се воведува </w:t>
      </w:r>
      <w:proofErr w:type="gramStart"/>
      <w:r>
        <w:rPr>
          <w:rFonts w:ascii="StobiSerif Regular" w:hAnsi="StobiSerif Regular"/>
        </w:rPr>
        <w:t>дека  прекршочн</w:t>
      </w:r>
      <w:proofErr w:type="gramEnd"/>
      <w:r>
        <w:rPr>
          <w:rFonts w:ascii="StobiSerif Regular" w:hAnsi="StobiSerif Regular"/>
        </w:rPr>
        <w:t xml:space="preserve"> апостапка води  прекршочна санкција изрекува ЦРМ  по сопствен предлог или по предлог на инспекциските служби.</w:t>
      </w:r>
    </w:p>
    <w:p w:rsidR="000D4111" w:rsidRDefault="000D4111" w:rsidP="000D4111">
      <w:pPr>
        <w:jc w:val="both"/>
        <w:rPr>
          <w:rFonts w:ascii="StobiSerif Regular" w:hAnsi="StobiSerif Regular"/>
        </w:rPr>
      </w:pPr>
      <w:r>
        <w:rPr>
          <w:rFonts w:ascii="StobiSerif Regular" w:hAnsi="StobiSerif Regular"/>
        </w:rPr>
        <w:t>Со член 11    во член 599 од Законот   делот на прекршоците  се дополнува и со изрекување прекршок за одредбите од член 186 тав 5 и член 233 став 2  .</w:t>
      </w:r>
    </w:p>
    <w:p w:rsidR="000D4111" w:rsidRPr="00290C11" w:rsidRDefault="000D4111" w:rsidP="000D4111">
      <w:pPr>
        <w:jc w:val="both"/>
        <w:rPr>
          <w:rFonts w:ascii="StobiSerif Regular" w:hAnsi="StobiSerif Regular"/>
        </w:rPr>
      </w:pPr>
      <w:r>
        <w:rPr>
          <w:rFonts w:ascii="StobiSerif Regular" w:hAnsi="StobiSerif Regular"/>
        </w:rPr>
        <w:t xml:space="preserve"> Со член </w:t>
      </w:r>
      <w:proofErr w:type="gramStart"/>
      <w:r>
        <w:rPr>
          <w:rFonts w:ascii="StobiSerif Regular" w:hAnsi="StobiSerif Regular"/>
        </w:rPr>
        <w:t>13  се</w:t>
      </w:r>
      <w:proofErr w:type="gramEnd"/>
      <w:r>
        <w:rPr>
          <w:rFonts w:ascii="StobiSerif Regular" w:hAnsi="StobiSerif Regular"/>
        </w:rPr>
        <w:t xml:space="preserve"> врши групирање на одредбите од законот кои ќе  се применуваат од денот на влегување во сила на законот и одредбите кои имаат одложена примен од 01.01.2015 година .</w:t>
      </w:r>
    </w:p>
    <w:p w:rsidR="000D4111" w:rsidRPr="004D3F99" w:rsidRDefault="000D4111" w:rsidP="004D3F99">
      <w:pPr>
        <w:spacing w:before="120"/>
        <w:rPr>
          <w:rFonts w:ascii="StobiSerif Regular" w:hAnsi="StobiSerif Regular" w:cs="StobiSerif Regular"/>
          <w:b/>
          <w:lang w:val="mk-MK"/>
        </w:rPr>
      </w:pPr>
      <w:r w:rsidRPr="004D3F99">
        <w:rPr>
          <w:rFonts w:ascii="StobiSerif Regular" w:hAnsi="StobiSerif Regular" w:cs="StobiSerif Regular"/>
          <w:b/>
        </w:rPr>
        <w:t xml:space="preserve"> II</w:t>
      </w:r>
      <w:r w:rsidRPr="004D3F99">
        <w:rPr>
          <w:rFonts w:ascii="StobiSerif Regular" w:hAnsi="StobiSerif Regular" w:cs="StobiSerif Regular"/>
          <w:b/>
          <w:lang w:val="mk-MK"/>
        </w:rPr>
        <w:t xml:space="preserve">. МЕЃУСЕБНА </w:t>
      </w:r>
      <w:proofErr w:type="gramStart"/>
      <w:r w:rsidRPr="004D3F99">
        <w:rPr>
          <w:rFonts w:ascii="StobiSerif Regular" w:hAnsi="StobiSerif Regular" w:cs="StobiSerif Regular"/>
          <w:b/>
          <w:lang w:val="mk-MK"/>
        </w:rPr>
        <w:t>ПОВРЗАНОСТ  НА</w:t>
      </w:r>
      <w:proofErr w:type="gramEnd"/>
      <w:r w:rsidRPr="004D3F99">
        <w:rPr>
          <w:rFonts w:ascii="StobiSerif Regular" w:hAnsi="StobiSerif Regular" w:cs="StobiSerif Regular"/>
          <w:b/>
          <w:lang w:val="mk-MK"/>
        </w:rPr>
        <w:t xml:space="preserve">  РЕШЕНИЈАТА  СОДРЖАНИ  ВО ПРЕДЛОЖЕНИТЕ  ОДРЕДБИ</w:t>
      </w:r>
    </w:p>
    <w:p w:rsidR="000D4111" w:rsidRPr="00FF38D5" w:rsidRDefault="000D4111" w:rsidP="000D4111">
      <w:pPr>
        <w:spacing w:after="0" w:line="240" w:lineRule="auto"/>
        <w:jc w:val="both"/>
        <w:rPr>
          <w:rFonts w:ascii="StobiSerif Regular" w:hAnsi="StobiSerif Regular" w:cs="StobiSerif Regular"/>
        </w:rPr>
      </w:pPr>
      <w:r w:rsidRPr="00FF38D5">
        <w:rPr>
          <w:rFonts w:ascii="StobiSerif Regular" w:hAnsi="StobiSerif Regular" w:cs="StobiSerif Regular"/>
        </w:rPr>
        <w:t xml:space="preserve"> </w:t>
      </w:r>
      <w:r w:rsidRPr="00FF38D5">
        <w:rPr>
          <w:rFonts w:ascii="StobiSerif Regular" w:eastAsia="StobiSerif Regular" w:hAnsi="StobiSerif Regular" w:cs="Arial"/>
        </w:rPr>
        <w:t xml:space="preserve">Предложените одредби од предлог законот се меѓусебно поврзани со одделните решенија во самиот закон со кој се воведува можност </w:t>
      </w:r>
      <w:proofErr w:type="gramStart"/>
      <w:r w:rsidRPr="00FF38D5">
        <w:rPr>
          <w:rFonts w:ascii="StobiSerif Regular" w:eastAsia="StobiSerif Regular" w:hAnsi="StobiSerif Regular" w:cs="Arial"/>
        </w:rPr>
        <w:t xml:space="preserve">за  </w:t>
      </w:r>
      <w:r w:rsidRPr="00FF38D5">
        <w:rPr>
          <w:rFonts w:ascii="StobiSerif Regular" w:hAnsi="StobiSerif Regular" w:cs="StobiSerif Regular"/>
        </w:rPr>
        <w:t>предлагање</w:t>
      </w:r>
      <w:proofErr w:type="gramEnd"/>
      <w:r w:rsidRPr="00FF38D5">
        <w:rPr>
          <w:rFonts w:ascii="StobiSerif Regular" w:hAnsi="StobiSerif Regular" w:cs="StobiSerif Regular"/>
        </w:rPr>
        <w:t xml:space="preserve"> на конкретни решенија  заради нејзино подоследно применување и надминување на проблемите со субјектите на начин содржан во  текстот Предлог законот.</w:t>
      </w:r>
    </w:p>
    <w:p w:rsidR="000D4111" w:rsidRPr="00FF38D5" w:rsidRDefault="000D4111" w:rsidP="000D4111">
      <w:pPr>
        <w:pStyle w:val="Naslov-Glaven"/>
        <w:ind w:right="32"/>
        <w:jc w:val="both"/>
        <w:rPr>
          <w:rFonts w:ascii="StobiSerif Regular" w:hAnsi="StobiSerif Regular" w:cs="StobiSerif Regular"/>
          <w:b w:val="0"/>
          <w:bCs w:val="0"/>
          <w:sz w:val="22"/>
          <w:szCs w:val="22"/>
          <w:lang w:val="mk-MK"/>
        </w:rPr>
      </w:pPr>
    </w:p>
    <w:p w:rsidR="000D4111" w:rsidRPr="00FF38D5" w:rsidRDefault="000D4111" w:rsidP="004D3F99">
      <w:pPr>
        <w:pStyle w:val="Naslov-Glaven"/>
        <w:ind w:right="32"/>
        <w:jc w:val="left"/>
        <w:rPr>
          <w:rFonts w:ascii="StobiSerif Regular" w:hAnsi="StobiSerif Regular" w:cs="StobiSerif Regular"/>
          <w:sz w:val="22"/>
          <w:szCs w:val="22"/>
          <w:lang w:val="mk-MK"/>
        </w:rPr>
      </w:pPr>
      <w:r w:rsidRPr="00FF38D5">
        <w:rPr>
          <w:rFonts w:ascii="StobiSerif Regular" w:hAnsi="StobiSerif Regular" w:cs="StobiSerif Regular"/>
          <w:sz w:val="22"/>
          <w:szCs w:val="22"/>
        </w:rPr>
        <w:t>III</w:t>
      </w:r>
      <w:r w:rsidRPr="00FF38D5">
        <w:rPr>
          <w:rFonts w:ascii="StobiSerif Regular" w:hAnsi="StobiSerif Regular" w:cs="StobiSerif Regular"/>
          <w:sz w:val="22"/>
          <w:szCs w:val="22"/>
          <w:lang w:val="mk-MK"/>
        </w:rPr>
        <w:t>. ПОСЛЕДИЦИ ШТО ЌЕ ПРОИЗЛЕЗАТ ОД ПРЕДЛОЖЕНИТЕ РЕШЕНИЈА</w:t>
      </w:r>
    </w:p>
    <w:p w:rsidR="000D4111" w:rsidRPr="00FF38D5" w:rsidRDefault="000D4111" w:rsidP="000D4111">
      <w:pPr>
        <w:pStyle w:val="Naslov-Glaven"/>
        <w:ind w:right="32"/>
        <w:rPr>
          <w:rFonts w:ascii="StobiSerif Regular" w:hAnsi="StobiSerif Regular" w:cs="StobiSerif Regular"/>
          <w:sz w:val="22"/>
          <w:szCs w:val="22"/>
          <w:lang w:val="mk-MK"/>
        </w:rPr>
      </w:pPr>
    </w:p>
    <w:p w:rsidR="000D4111" w:rsidRDefault="000D4111" w:rsidP="000D4111">
      <w:pPr>
        <w:spacing w:before="120"/>
        <w:jc w:val="both"/>
        <w:rPr>
          <w:rFonts w:ascii="StobiSerif Regular" w:hAnsi="StobiSerif Regular" w:cs="StobiSerif Regular"/>
        </w:rPr>
      </w:pPr>
      <w:r w:rsidRPr="00FF38D5">
        <w:rPr>
          <w:rFonts w:ascii="StobiSerif Regular" w:hAnsi="StobiSerif Regular" w:cs="StobiSerif Regular"/>
        </w:rPr>
        <w:t>Со предложените измени и дополнувања се допрецизира и правно нормира можноста  со конкретни решенија  заради нејзино подоследно применување и надминување на проблемите со субјектите кои се регистрирани во единствениот трговски регистар со предлагање на казнени одредби и бришење на оние фирми кои  кои  не доставуваат годишни сметки  во утврдениот законски рок, кои немаат деловна активност, кои по однос на квалитетот на податоците се несоодветни односно неусогласени тие што се доставени во УЈП  во однос на тие  што се доставени во ЦРМ, потоа пријавување  на промена на седиште на фирма  како и регулирање на статусот на овие субјекти</w:t>
      </w:r>
    </w:p>
    <w:p w:rsidR="000D4111" w:rsidRDefault="000D4111" w:rsidP="000D4111">
      <w:pPr>
        <w:pStyle w:val="Naslov-Glaven"/>
        <w:ind w:right="32"/>
        <w:jc w:val="left"/>
        <w:rPr>
          <w:rFonts w:ascii="StobiSerif Regular" w:hAnsi="StobiSerif Regular" w:cs="StobiSerif Regular"/>
          <w:sz w:val="22"/>
          <w:szCs w:val="22"/>
          <w:lang w:val="mk-MK"/>
        </w:rPr>
      </w:pPr>
    </w:p>
    <w:p w:rsidR="00667DC6" w:rsidRDefault="00667DC6"/>
    <w:sectPr w:rsidR="00667DC6" w:rsidSect="004D3F99">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C C Swiss">
    <w:panose1 w:val="020B7200000000000000"/>
    <w:charset w:val="00"/>
    <w:family w:val="swiss"/>
    <w:pitch w:val="variable"/>
    <w:sig w:usb0="00000083" w:usb1="00000000" w:usb2="00000000" w:usb3="00000000" w:csb0="00000009"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D4111"/>
    <w:rsid w:val="000D4111"/>
    <w:rsid w:val="00253BC3"/>
    <w:rsid w:val="004D3F99"/>
    <w:rsid w:val="00667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Glaven">
    <w:name w:val="Naslov-Glaven"/>
    <w:basedOn w:val="Normal"/>
    <w:uiPriority w:val="99"/>
    <w:rsid w:val="000D4111"/>
    <w:pPr>
      <w:spacing w:after="0" w:line="240" w:lineRule="auto"/>
      <w:jc w:val="center"/>
    </w:pPr>
    <w:rPr>
      <w:rFonts w:ascii="MAC C Swiss" w:eastAsia="Times New Roman" w:hAnsi="MAC C Swiss" w:cs="MAC C Swiss"/>
      <w:b/>
      <w:bCs/>
      <w:cap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shpetim.ibraimi</dc:creator>
  <cp:keywords/>
  <dc:description/>
  <cp:lastModifiedBy>shpetim.ibraimi</cp:lastModifiedBy>
  <cp:revision>3</cp:revision>
  <dcterms:created xsi:type="dcterms:W3CDTF">2014-01-02T00:11:00Z</dcterms:created>
  <dcterms:modified xsi:type="dcterms:W3CDTF">2014-01-02T00:20:00Z</dcterms:modified>
</cp:coreProperties>
</file>