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6EB" w:rsidRPr="00C94075" w:rsidRDefault="00C94075" w:rsidP="00C94075">
      <w:pPr>
        <w:jc w:val="center"/>
        <w:rPr>
          <w:b/>
        </w:rPr>
      </w:pPr>
      <w:r w:rsidRPr="00C94075">
        <w:rPr>
          <w:b/>
        </w:rPr>
        <w:t>ПРЕДЛОЗИ И КОМЕНТАРИ</w:t>
      </w:r>
    </w:p>
    <w:p w:rsidR="00C94075" w:rsidRDefault="00C94075" w:rsidP="00C94075">
      <w:pPr>
        <w:jc w:val="center"/>
      </w:pPr>
      <w:r>
        <w:t>Кон Нацрт текст на предлог Закон за енергетика</w:t>
      </w:r>
    </w:p>
    <w:p w:rsidR="00C94075" w:rsidRDefault="00C94075"/>
    <w:p w:rsidR="00C94075" w:rsidRDefault="00C94075">
      <w:r>
        <w:t>Од: Проф. д-р Константин Димитров</w:t>
      </w:r>
    </w:p>
    <w:p w:rsidR="00C94075" w:rsidRDefault="00C94075">
      <w:r>
        <w:t>За да се разберат подобро предлозите за разјаснување, додефинирање, дополнување или измена на определени законски одредби предлозите ќе бидат вметнати во текстор на постоечките одредби со црвена боја.</w:t>
      </w:r>
    </w:p>
    <w:p w:rsidR="00C94075" w:rsidRDefault="00C94075"/>
    <w:p w:rsidR="00C94075" w:rsidRDefault="00C94075" w:rsidP="00C94075">
      <w:pPr>
        <w:pStyle w:val="Style1"/>
      </w:pPr>
      <w:r w:rsidRPr="002A4E52">
        <w:t>Член 2</w:t>
      </w:r>
      <w:r>
        <w:t xml:space="preserve"> </w:t>
      </w:r>
      <w:bookmarkStart w:id="0" w:name="_Toc498721290"/>
      <w:r>
        <w:t xml:space="preserve"> </w:t>
      </w:r>
      <w:r w:rsidRPr="009B3665">
        <w:t>Цели на законот</w:t>
      </w:r>
      <w:bookmarkEnd w:id="0"/>
    </w:p>
    <w:p w:rsidR="00C94075" w:rsidRDefault="00C94075" w:rsidP="00EC531C">
      <w:pPr>
        <w:pStyle w:val="Stavovi"/>
      </w:pPr>
      <w:r>
        <w:t>(1) Целта на овој Закон е да се обезбеди:</w:t>
      </w:r>
    </w:p>
    <w:p w:rsidR="00C94075" w:rsidRPr="001E6B3F" w:rsidRDefault="00C94075" w:rsidP="00336CF5">
      <w:pPr>
        <w:jc w:val="both"/>
      </w:pPr>
      <w:r>
        <w:t xml:space="preserve">2) </w:t>
      </w:r>
      <w:r w:rsidRPr="001E6B3F">
        <w:t xml:space="preserve">создавање на ефикасен, конкурентен, </w:t>
      </w:r>
      <w:r w:rsidRPr="00C93B31">
        <w:rPr>
          <w:b/>
          <w:color w:val="FF0000"/>
        </w:rPr>
        <w:t>еколошки</w:t>
      </w:r>
      <w:r w:rsidRPr="00C93B31">
        <w:rPr>
          <w:b/>
        </w:rPr>
        <w:t>,</w:t>
      </w:r>
      <w:r w:rsidRPr="001E6B3F">
        <w:t xml:space="preserve"> и финансиски одржлив енергетски сектор</w:t>
      </w:r>
      <w:r w:rsidRPr="00C93B31">
        <w:rPr>
          <w:b/>
          <w:color w:val="FF0000"/>
        </w:rPr>
        <w:t xml:space="preserve"> насочен кон општество без користење на фосилни горива</w:t>
      </w:r>
      <w:r w:rsidRPr="001E6B3F">
        <w:t xml:space="preserve">, заснован на начелата на недискриминација, </w:t>
      </w:r>
      <w:r w:rsidRPr="00C93B31">
        <w:t>објективност и транспарентност, кој што обезбедува високо ниво на сигурност во снабдувањето со енергија,</w:t>
      </w:r>
    </w:p>
    <w:p w:rsidR="00336CF5" w:rsidRPr="009B3665" w:rsidRDefault="00336CF5" w:rsidP="00336CF5">
      <w:pPr>
        <w:pStyle w:val="Style1"/>
      </w:pPr>
      <w:bookmarkStart w:id="1" w:name="_Toc499071850"/>
      <w:r w:rsidRPr="009B3665">
        <w:t xml:space="preserve">Член </w:t>
      </w:r>
      <w:fldSimple w:instr=" SEQ Член \* ARABIC ">
        <w:r w:rsidRPr="009B3665">
          <w:t>10</w:t>
        </w:r>
        <w:bookmarkEnd w:id="1"/>
      </w:fldSimple>
      <w:bookmarkStart w:id="2" w:name="_Toc498721300"/>
      <w:r w:rsidRPr="009B3665">
        <w:t xml:space="preserve">   Цели на енергетска политика</w:t>
      </w:r>
      <w:bookmarkEnd w:id="2"/>
    </w:p>
    <w:p w:rsidR="00336CF5" w:rsidRDefault="00336CF5" w:rsidP="00EC531C">
      <w:pPr>
        <w:pStyle w:val="Stavovi"/>
        <w:numPr>
          <w:ilvl w:val="0"/>
          <w:numId w:val="1"/>
        </w:numPr>
      </w:pPr>
      <w:r>
        <w:t>Со енергетската политика на Република Македонија се обезбедува:</w:t>
      </w:r>
    </w:p>
    <w:p w:rsidR="00C94075" w:rsidRPr="00336CF5" w:rsidRDefault="00336CF5" w:rsidP="00336CF5">
      <w:pPr>
        <w:pStyle w:val="ListParagraph"/>
        <w:numPr>
          <w:ilvl w:val="0"/>
          <w:numId w:val="2"/>
        </w:numPr>
        <w:rPr>
          <w:color w:val="FF0000"/>
        </w:rPr>
      </w:pPr>
      <w:r w:rsidRPr="00336CF5">
        <w:rPr>
          <w:color w:val="FF0000"/>
        </w:rPr>
        <w:t>Изградба на општество без користење на фосилни горива!</w:t>
      </w:r>
    </w:p>
    <w:p w:rsidR="00336CF5" w:rsidRDefault="00336CF5" w:rsidP="00336CF5">
      <w:pPr>
        <w:pStyle w:val="ListParagraph"/>
        <w:numPr>
          <w:ilvl w:val="0"/>
          <w:numId w:val="2"/>
        </w:numPr>
        <w:tabs>
          <w:tab w:val="left" w:pos="340"/>
        </w:tabs>
        <w:spacing w:before="60" w:after="60" w:line="240" w:lineRule="auto"/>
        <w:contextualSpacing w:val="0"/>
        <w:jc w:val="both"/>
        <w:rPr>
          <w:rFonts w:eastAsia="Calibri"/>
        </w:rPr>
      </w:pPr>
      <w:r>
        <w:rPr>
          <w:rFonts w:eastAsia="Calibri"/>
        </w:rPr>
        <w:t>сигурно, безбедно и квалитетно снабдување на крајните потрошувачи со сите видови енергија, ......</w:t>
      </w:r>
    </w:p>
    <w:p w:rsidR="00C94075" w:rsidRPr="00336CF5" w:rsidRDefault="00336CF5" w:rsidP="00336CF5">
      <w:pPr>
        <w:shd w:val="clear" w:color="auto" w:fill="E2EFD9" w:themeFill="accent6" w:themeFillTint="33"/>
        <w:jc w:val="both"/>
        <w:rPr>
          <w:color w:val="0070C0"/>
          <w:sz w:val="20"/>
          <w:szCs w:val="20"/>
        </w:rPr>
      </w:pPr>
      <w:r w:rsidRPr="00336CF5">
        <w:rPr>
          <w:b/>
          <w:color w:val="0070C0"/>
          <w:sz w:val="20"/>
          <w:szCs w:val="20"/>
        </w:rPr>
        <w:t>Образложение</w:t>
      </w:r>
      <w:r w:rsidRPr="00336CF5">
        <w:rPr>
          <w:color w:val="0070C0"/>
          <w:sz w:val="20"/>
          <w:szCs w:val="20"/>
        </w:rPr>
        <w:t>: Законот за енергетика го разбирам како Устав за развојот на енергетиката, највисок документ кој треба да го почитуваат сите дејности на општеството. Во согласност со развојните стратегии на ЕУ и целата светска заедница, насока е изградба на ОПШТЕСТВА без користење (или минимално користење) на фосилните горива до 2050 година. Некои тоа си го поставуваат како цел до 2035 година и ќе го реализираат.</w:t>
      </w:r>
    </w:p>
    <w:p w:rsidR="00336CF5" w:rsidRPr="00336CF5" w:rsidRDefault="00336CF5" w:rsidP="00336CF5">
      <w:pPr>
        <w:shd w:val="clear" w:color="auto" w:fill="E2EFD9" w:themeFill="accent6" w:themeFillTint="33"/>
        <w:jc w:val="both"/>
        <w:rPr>
          <w:color w:val="0070C0"/>
          <w:sz w:val="20"/>
          <w:szCs w:val="20"/>
        </w:rPr>
      </w:pPr>
      <w:r w:rsidRPr="00336CF5">
        <w:rPr>
          <w:color w:val="0070C0"/>
          <w:sz w:val="20"/>
          <w:szCs w:val="20"/>
        </w:rPr>
        <w:t>Со точките 8) , 9) и 10) се наброени активностите со кои ќе се реализираат обврските/целите од овој Закон, иако новата точка е насочена и кон целото општество иструктури кои се дури и надвор од овој Зако, како образованието, транспортот и сл.</w:t>
      </w:r>
    </w:p>
    <w:p w:rsidR="00336CF5" w:rsidRDefault="00336CF5" w:rsidP="00EC531C">
      <w:pPr>
        <w:pStyle w:val="Stavovi"/>
      </w:pPr>
      <w:r w:rsidRPr="002A4E52">
        <w:t>(2) Заради остварување на целите на енергетската политика надлежните државни органи и операторите на енергетските системи на Република Македонија остваруваат соработка со</w:t>
      </w:r>
      <w:r w:rsidRPr="001E6B3F">
        <w:t xml:space="preserve"> </w:t>
      </w:r>
      <w:r>
        <w:rPr>
          <w:color w:val="FF0000"/>
        </w:rPr>
        <w:t>а</w:t>
      </w:r>
      <w:r w:rsidRPr="001E6B3F">
        <w:rPr>
          <w:color w:val="FF0000"/>
        </w:rPr>
        <w:t>кадемските и научните инст</w:t>
      </w:r>
      <w:r>
        <w:rPr>
          <w:color w:val="FF0000"/>
        </w:rPr>
        <w:t>и</w:t>
      </w:r>
      <w:r w:rsidRPr="001E6B3F">
        <w:rPr>
          <w:color w:val="FF0000"/>
        </w:rPr>
        <w:t xml:space="preserve">туции во Република Македонија </w:t>
      </w:r>
      <w:r>
        <w:rPr>
          <w:color w:val="FF0000"/>
        </w:rPr>
        <w:t xml:space="preserve">и </w:t>
      </w:r>
      <w:r w:rsidRPr="002A4E52">
        <w:t>надлежните органи и тела на други држави, како и со органите и телата на регионално и меѓународно ниво основани со меѓународните договори ратификувани од Република Македонија.</w:t>
      </w:r>
    </w:p>
    <w:p w:rsidR="00C94075" w:rsidRDefault="00C94075"/>
    <w:p w:rsidR="00C94075" w:rsidRDefault="00B83970">
      <w:pPr>
        <w:rPr>
          <w:b/>
        </w:rPr>
      </w:pPr>
      <w:r w:rsidRPr="00B83970">
        <w:rPr>
          <w:b/>
        </w:rPr>
        <w:t xml:space="preserve">Член </w:t>
      </w:r>
      <w:r w:rsidRPr="00B83970">
        <w:rPr>
          <w:b/>
        </w:rPr>
        <w:fldChar w:fldCharType="begin"/>
      </w:r>
      <w:r w:rsidRPr="00B83970">
        <w:rPr>
          <w:b/>
        </w:rPr>
        <w:instrText xml:space="preserve"> SEQ Член \* ARABIC </w:instrText>
      </w:r>
      <w:r w:rsidRPr="00B83970">
        <w:rPr>
          <w:b/>
        </w:rPr>
        <w:fldChar w:fldCharType="separate"/>
      </w:r>
      <w:r w:rsidRPr="00B83970">
        <w:rPr>
          <w:b/>
        </w:rPr>
        <w:t>3</w:t>
      </w:r>
      <w:r w:rsidRPr="00B83970">
        <w:rPr>
          <w:b/>
        </w:rPr>
        <w:fldChar w:fldCharType="end"/>
      </w:r>
      <w:r w:rsidRPr="00B83970">
        <w:rPr>
          <w:b/>
        </w:rPr>
        <w:tab/>
      </w:r>
      <w:r w:rsidRPr="00C53D5C">
        <w:rPr>
          <w:b/>
        </w:rPr>
        <w:t>Термини</w:t>
      </w:r>
    </w:p>
    <w:p w:rsidR="00BE666C" w:rsidRPr="00E32117" w:rsidRDefault="008D79D1">
      <w:r w:rsidRPr="00E32117">
        <w:t>96)</w:t>
      </w:r>
      <w:r w:rsidR="00BE666C" w:rsidRPr="00E32117">
        <w:t>140)</w:t>
      </w:r>
      <w:r w:rsidR="00E32117" w:rsidRPr="00E32117">
        <w:t xml:space="preserve"> „оператор на систем за дистрибуција на природен гас“; </w:t>
      </w:r>
      <w:r w:rsidR="00BE666C" w:rsidRPr="00E32117">
        <w:t xml:space="preserve"> „систем за дистрибуција на природен гас</w:t>
      </w:r>
      <w:r w:rsidRPr="00E32117">
        <w:t>“</w:t>
      </w:r>
    </w:p>
    <w:p w:rsidR="00BE666C" w:rsidRPr="00E32117" w:rsidRDefault="008D79D1">
      <w:r w:rsidRPr="00E32117">
        <w:t xml:space="preserve">97);118); 121) </w:t>
      </w:r>
      <w:r w:rsidR="00BE666C" w:rsidRPr="00E32117">
        <w:t>141)</w:t>
      </w:r>
      <w:r w:rsidRPr="00E32117">
        <w:t xml:space="preserve"> „оператор на систем за пренос на природен гас“; </w:t>
      </w:r>
      <w:r w:rsidR="00BE666C" w:rsidRPr="00E32117">
        <w:t xml:space="preserve"> </w:t>
      </w:r>
      <w:r w:rsidRPr="00E32117">
        <w:t xml:space="preserve">„пренос на природен гас"; „преносна мрежа за природен гас"; </w:t>
      </w:r>
      <w:r w:rsidR="00BE666C" w:rsidRPr="00E32117">
        <w:t>„систем за пренос на природен гас"</w:t>
      </w:r>
    </w:p>
    <w:p w:rsidR="00BE666C" w:rsidRDefault="00E32117">
      <w:r w:rsidRPr="00E32117">
        <w:t>152) „снабдувач со природен гас во краен случај“</w:t>
      </w:r>
    </w:p>
    <w:p w:rsidR="004F639D" w:rsidRPr="004F639D" w:rsidRDefault="00E32117">
      <w:pPr>
        <w:rPr>
          <w:color w:val="FF0000"/>
        </w:rPr>
      </w:pPr>
      <w:r w:rsidRPr="00613E33">
        <w:rPr>
          <w:b/>
          <w:color w:val="FF0000"/>
          <w:u w:val="single"/>
        </w:rPr>
        <w:lastRenderedPageBreak/>
        <w:t>Предлог:</w:t>
      </w:r>
      <w:r w:rsidRPr="004F639D">
        <w:rPr>
          <w:color w:val="FF0000"/>
        </w:rPr>
        <w:t xml:space="preserve"> </w:t>
      </w:r>
      <w:r w:rsidRPr="00613E33">
        <w:rPr>
          <w:b/>
          <w:color w:val="FF0000"/>
        </w:rPr>
        <w:t>Да се дефинира еднозначно каде системот за пренос на природен гас преминува во систем за дистрибуција на природен гас.</w:t>
      </w:r>
      <w:r w:rsidRPr="004F639D">
        <w:rPr>
          <w:color w:val="FF0000"/>
        </w:rPr>
        <w:t xml:space="preserve"> Тоа може да биде ниво на притисок во гасоводите (се </w:t>
      </w:r>
      <w:r w:rsidR="00A3065C" w:rsidRPr="004F639D">
        <w:rPr>
          <w:color w:val="FF0000"/>
        </w:rPr>
        <w:t>напишано</w:t>
      </w:r>
      <w:r w:rsidRPr="004F639D">
        <w:rPr>
          <w:color w:val="FF0000"/>
        </w:rPr>
        <w:t xml:space="preserve"> висок притисок (</w:t>
      </w:r>
      <w:r w:rsidR="00A3065C" w:rsidRPr="004F639D">
        <w:rPr>
          <w:color w:val="FF0000"/>
        </w:rPr>
        <w:t>к</w:t>
      </w:r>
      <w:r w:rsidRPr="004F639D">
        <w:rPr>
          <w:color w:val="FF0000"/>
        </w:rPr>
        <w:t>олку висок????</w:t>
      </w:r>
      <w:r w:rsidR="00A3065C" w:rsidRPr="004F639D">
        <w:rPr>
          <w:color w:val="FF0000"/>
        </w:rPr>
        <w:t xml:space="preserve">) и треба да се дефинира дали тоа е 40, 10, 4 </w:t>
      </w:r>
      <w:r w:rsidR="00A3065C" w:rsidRPr="004F639D">
        <w:rPr>
          <w:color w:val="FF0000"/>
          <w:lang w:val="en-US"/>
        </w:rPr>
        <w:t xml:space="preserve">[bar] </w:t>
      </w:r>
      <w:r w:rsidR="00A3065C" w:rsidRPr="004F639D">
        <w:rPr>
          <w:color w:val="FF0000"/>
        </w:rPr>
        <w:t xml:space="preserve">или некоја разумна вредност. </w:t>
      </w:r>
    </w:p>
    <w:p w:rsidR="00E32117" w:rsidRPr="004F639D" w:rsidRDefault="004F639D" w:rsidP="004F639D">
      <w:pPr>
        <w:shd w:val="clear" w:color="auto" w:fill="D9E2F3" w:themeFill="accent5" w:themeFillTint="33"/>
        <w:rPr>
          <w:color w:val="0070C0"/>
          <w:sz w:val="20"/>
          <w:szCs w:val="20"/>
        </w:rPr>
      </w:pPr>
      <w:r w:rsidRPr="004F639D">
        <w:rPr>
          <w:color w:val="0070C0"/>
          <w:sz w:val="20"/>
          <w:szCs w:val="20"/>
        </w:rPr>
        <w:t xml:space="preserve">Образложение: </w:t>
      </w:r>
      <w:r w:rsidR="00A3065C" w:rsidRPr="004F639D">
        <w:rPr>
          <w:color w:val="0070C0"/>
          <w:sz w:val="20"/>
          <w:szCs w:val="20"/>
        </w:rPr>
        <w:t xml:space="preserve">Не се знае кој е надлежен за определени дистрибутивни магистрални водови низ градот (не сакам да давам конкретни примери, ги знаете). </w:t>
      </w:r>
      <w:r w:rsidR="00740A51">
        <w:rPr>
          <w:color w:val="0070C0"/>
          <w:sz w:val="20"/>
          <w:szCs w:val="20"/>
        </w:rPr>
        <w:t xml:space="preserve">Мора да се изврши и сопственичко раздвојување. </w:t>
      </w:r>
      <w:r w:rsidR="00A3065C" w:rsidRPr="004F639D">
        <w:rPr>
          <w:color w:val="0070C0"/>
          <w:sz w:val="20"/>
          <w:szCs w:val="20"/>
        </w:rPr>
        <w:t>Кој дава согласност на новите потенцијални потрошувачи – операторот на пренос или дистрибуција, кој што одржува и сл. Сопстеноста на системот не е во прашање. Сопстеникот си наплатува “патарина“ без обѕир кој е оператор на системот и без обѕир дали тој дел од цевководот е под надлежност на пренос или дистрибуција.</w:t>
      </w:r>
    </w:p>
    <w:p w:rsidR="00B83970" w:rsidRDefault="00B83970">
      <w:r w:rsidRPr="002A4E52">
        <w:t>176) „финална потрошувачка на енергија“</w:t>
      </w:r>
      <w:r>
        <w:t xml:space="preserve">  .....</w:t>
      </w:r>
    </w:p>
    <w:p w:rsidR="00B83970" w:rsidRDefault="00B83970">
      <w:r>
        <w:t>176.1) “</w:t>
      </w:r>
      <w:r w:rsidRPr="00B83970">
        <w:rPr>
          <w:color w:val="FF0000"/>
        </w:rPr>
        <w:t xml:space="preserve">примарна потрошувачка на енергија“ </w:t>
      </w:r>
      <w:r>
        <w:t>...</w:t>
      </w:r>
    </w:p>
    <w:p w:rsidR="00B83970" w:rsidRDefault="00B83970" w:rsidP="00B83970">
      <w:pPr>
        <w:shd w:val="clear" w:color="auto" w:fill="E2EFD9" w:themeFill="accent6" w:themeFillTint="33"/>
        <w:rPr>
          <w:color w:val="0070C0"/>
          <w:sz w:val="20"/>
          <w:szCs w:val="20"/>
        </w:rPr>
      </w:pPr>
      <w:r w:rsidRPr="00740A51">
        <w:rPr>
          <w:b/>
          <w:color w:val="0070C0"/>
          <w:sz w:val="20"/>
          <w:szCs w:val="20"/>
        </w:rPr>
        <w:t>Образложение:</w:t>
      </w:r>
      <w:r>
        <w:rPr>
          <w:color w:val="0070C0"/>
          <w:sz w:val="20"/>
          <w:szCs w:val="20"/>
        </w:rPr>
        <w:t xml:space="preserve"> Недостасува дефиницијата што е (и како се определува ??) примарната енергија, а веќе во член 8, став 2 се користи тој термин.</w:t>
      </w:r>
    </w:p>
    <w:p w:rsidR="006A7BEA" w:rsidRPr="005F118B" w:rsidRDefault="006A7BEA" w:rsidP="006A7BEA">
      <w:pPr>
        <w:rPr>
          <w:b/>
        </w:rPr>
      </w:pPr>
      <w:bookmarkStart w:id="3" w:name="_Toc499071846"/>
      <w:bookmarkStart w:id="4" w:name="_Ref499125695"/>
      <w:r w:rsidRPr="005F118B">
        <w:rPr>
          <w:b/>
        </w:rPr>
        <w:t xml:space="preserve">Член </w:t>
      </w:r>
      <w:r w:rsidRPr="005F118B">
        <w:rPr>
          <w:b/>
        </w:rPr>
        <w:fldChar w:fldCharType="begin"/>
      </w:r>
      <w:r w:rsidRPr="005F118B">
        <w:rPr>
          <w:b/>
        </w:rPr>
        <w:instrText xml:space="preserve"> SEQ Член \* ARABIC </w:instrText>
      </w:r>
      <w:r w:rsidRPr="005F118B">
        <w:rPr>
          <w:b/>
        </w:rPr>
        <w:fldChar w:fldCharType="separate"/>
      </w:r>
      <w:r w:rsidRPr="005F118B">
        <w:rPr>
          <w:b/>
        </w:rPr>
        <w:t>6</w:t>
      </w:r>
      <w:bookmarkEnd w:id="3"/>
      <w:r w:rsidRPr="005F118B">
        <w:rPr>
          <w:b/>
        </w:rPr>
        <w:fldChar w:fldCharType="end"/>
      </w:r>
      <w:bookmarkEnd w:id="4"/>
      <w:r w:rsidRPr="005F118B">
        <w:rPr>
          <w:b/>
        </w:rPr>
        <w:t xml:space="preserve"> </w:t>
      </w:r>
      <w:r w:rsidRPr="005F118B">
        <w:rPr>
          <w:b/>
        </w:rPr>
        <w:tab/>
      </w:r>
      <w:bookmarkStart w:id="5" w:name="_Toc498721294"/>
      <w:r w:rsidRPr="005F118B">
        <w:rPr>
          <w:b/>
        </w:rPr>
        <w:t>Јавна услуга</w:t>
      </w:r>
      <w:bookmarkEnd w:id="5"/>
    </w:p>
    <w:p w:rsidR="00B83970" w:rsidRPr="00740A51" w:rsidRDefault="00740A51" w:rsidP="00740A51">
      <w:pPr>
        <w:pStyle w:val="ListParagraph"/>
        <w:numPr>
          <w:ilvl w:val="0"/>
          <w:numId w:val="5"/>
        </w:numPr>
        <w:rPr>
          <w:color w:val="0070C0"/>
          <w:sz w:val="20"/>
          <w:szCs w:val="20"/>
        </w:rPr>
      </w:pPr>
      <w:r>
        <w:t xml:space="preserve">Покрај обврската за јавна услуга при вршењето на дејностите од </w:t>
      </w:r>
      <w:r>
        <w:fldChar w:fldCharType="begin"/>
      </w:r>
      <w:r>
        <w:instrText xml:space="preserve"> REF _Ref499120943 \h  \* MERGEFORMAT </w:instrText>
      </w:r>
      <w:r>
        <w:fldChar w:fldCharType="separate"/>
      </w:r>
      <w:r>
        <w:t xml:space="preserve">Член </w:t>
      </w:r>
      <w:r>
        <w:rPr>
          <w:noProof/>
        </w:rPr>
        <w:t>4</w:t>
      </w:r>
      <w:r>
        <w:fldChar w:fldCharType="end"/>
      </w:r>
      <w:r>
        <w:t xml:space="preserve"> став (4) од овој закон, Владата на Република Македонија (во натамошниот текст Влада), по претходно прибавено мислење или на предлог на Регулаторната комисија за енергетика, како и по претходно прибавено мислење од Комисијата за заштита на конкуренцијата</w:t>
      </w:r>
      <w:r w:rsidRPr="00C531A5">
        <w:t xml:space="preserve">, </w:t>
      </w:r>
      <w:r>
        <w:t xml:space="preserve">може да донесе одлука со која на одделно претпријатие за електрична енергија, </w:t>
      </w:r>
      <w:r w:rsidRPr="00740A51">
        <w:rPr>
          <w:strike/>
          <w:color w:val="FF0000"/>
        </w:rPr>
        <w:t>или</w:t>
      </w:r>
      <w:r w:rsidRPr="00740A51">
        <w:rPr>
          <w:color w:val="FF0000"/>
        </w:rPr>
        <w:t xml:space="preserve"> </w:t>
      </w:r>
      <w:r>
        <w:t xml:space="preserve">за природен гас или </w:t>
      </w:r>
      <w:r w:rsidRPr="00740A51">
        <w:rPr>
          <w:color w:val="FF0000"/>
        </w:rPr>
        <w:t xml:space="preserve">топлинска енергија од топлификациски систем </w:t>
      </w:r>
      <w:r>
        <w:t>му наметнува обврска за јавна услуга со цел да се обезбеди:......</w:t>
      </w:r>
    </w:p>
    <w:p w:rsidR="00B83970" w:rsidRDefault="00740A51" w:rsidP="00740A51">
      <w:pPr>
        <w:shd w:val="clear" w:color="auto" w:fill="D9E2F3" w:themeFill="accent5" w:themeFillTint="33"/>
        <w:rPr>
          <w:color w:val="0070C0"/>
          <w:sz w:val="20"/>
          <w:szCs w:val="20"/>
        </w:rPr>
      </w:pPr>
      <w:r w:rsidRPr="00740A51">
        <w:rPr>
          <w:b/>
          <w:color w:val="0070C0"/>
          <w:sz w:val="20"/>
          <w:szCs w:val="20"/>
        </w:rPr>
        <w:t>Образложение:</w:t>
      </w:r>
      <w:r>
        <w:rPr>
          <w:b/>
          <w:color w:val="0070C0"/>
          <w:sz w:val="20"/>
          <w:szCs w:val="20"/>
        </w:rPr>
        <w:t xml:space="preserve"> </w:t>
      </w:r>
      <w:r w:rsidRPr="00740A51">
        <w:rPr>
          <w:color w:val="0070C0"/>
          <w:sz w:val="20"/>
          <w:szCs w:val="20"/>
        </w:rPr>
        <w:t>Сметам дека</w:t>
      </w:r>
      <w:r>
        <w:rPr>
          <w:b/>
          <w:color w:val="0070C0"/>
          <w:sz w:val="20"/>
          <w:szCs w:val="20"/>
        </w:rPr>
        <w:t xml:space="preserve"> </w:t>
      </w:r>
      <w:r w:rsidRPr="00740A51">
        <w:rPr>
          <w:color w:val="0070C0"/>
          <w:sz w:val="20"/>
          <w:szCs w:val="20"/>
        </w:rPr>
        <w:t>и топлификациските системи треба да припаднат во оваа категорија</w:t>
      </w:r>
    </w:p>
    <w:p w:rsidR="00740A51" w:rsidRPr="00740A51" w:rsidRDefault="00740A51" w:rsidP="00740A51">
      <w:pPr>
        <w:pStyle w:val="Style1"/>
        <w:rPr>
          <w:rFonts w:asciiTheme="minorHAnsi" w:eastAsiaTheme="minorHAnsi" w:hAnsiTheme="minorHAnsi" w:cstheme="minorBidi"/>
          <w:iCs w:val="0"/>
          <w:color w:val="auto"/>
          <w:sz w:val="22"/>
        </w:rPr>
      </w:pPr>
      <w:bookmarkStart w:id="6" w:name="_Toc499071877"/>
      <w:bookmarkStart w:id="7" w:name="_Ref500236146"/>
      <w:r w:rsidRPr="00740A51">
        <w:rPr>
          <w:rFonts w:asciiTheme="minorHAnsi" w:eastAsiaTheme="minorHAnsi" w:hAnsiTheme="minorHAnsi" w:cstheme="minorBidi"/>
          <w:iCs w:val="0"/>
          <w:color w:val="auto"/>
          <w:sz w:val="22"/>
        </w:rPr>
        <w:t xml:space="preserve">Член </w:t>
      </w:r>
      <w:r w:rsidRPr="00740A51">
        <w:rPr>
          <w:rFonts w:asciiTheme="minorHAnsi" w:eastAsiaTheme="minorHAnsi" w:hAnsiTheme="minorHAnsi" w:cstheme="minorBidi"/>
          <w:iCs w:val="0"/>
          <w:color w:val="auto"/>
          <w:sz w:val="22"/>
        </w:rPr>
        <w:fldChar w:fldCharType="begin"/>
      </w:r>
      <w:r w:rsidRPr="00740A51">
        <w:rPr>
          <w:rFonts w:asciiTheme="minorHAnsi" w:eastAsiaTheme="minorHAnsi" w:hAnsiTheme="minorHAnsi" w:cstheme="minorBidi"/>
          <w:iCs w:val="0"/>
          <w:color w:val="auto"/>
          <w:sz w:val="22"/>
        </w:rPr>
        <w:instrText xml:space="preserve"> SEQ Член \* ARABIC </w:instrText>
      </w:r>
      <w:r w:rsidRPr="00740A51">
        <w:rPr>
          <w:rFonts w:asciiTheme="minorHAnsi" w:eastAsiaTheme="minorHAnsi" w:hAnsiTheme="minorHAnsi" w:cstheme="minorBidi"/>
          <w:iCs w:val="0"/>
          <w:color w:val="auto"/>
          <w:sz w:val="22"/>
        </w:rPr>
        <w:fldChar w:fldCharType="separate"/>
      </w:r>
      <w:r w:rsidRPr="00740A51">
        <w:rPr>
          <w:rFonts w:asciiTheme="minorHAnsi" w:eastAsiaTheme="minorHAnsi" w:hAnsiTheme="minorHAnsi" w:cstheme="minorBidi"/>
          <w:iCs w:val="0"/>
          <w:color w:val="auto"/>
          <w:sz w:val="22"/>
        </w:rPr>
        <w:t>38</w:t>
      </w:r>
      <w:bookmarkEnd w:id="6"/>
      <w:r w:rsidRPr="00740A51">
        <w:rPr>
          <w:rFonts w:asciiTheme="minorHAnsi" w:eastAsiaTheme="minorHAnsi" w:hAnsiTheme="minorHAnsi" w:cstheme="minorBidi"/>
          <w:iCs w:val="0"/>
          <w:color w:val="auto"/>
          <w:sz w:val="22"/>
        </w:rPr>
        <w:fldChar w:fldCharType="end"/>
      </w:r>
      <w:bookmarkStart w:id="8" w:name="_Toc498721329"/>
      <w:bookmarkEnd w:id="7"/>
      <w:r w:rsidRPr="00740A51">
        <w:rPr>
          <w:rFonts w:asciiTheme="minorHAnsi" w:eastAsiaTheme="minorHAnsi" w:hAnsiTheme="minorHAnsi" w:cstheme="minorBidi"/>
          <w:iCs w:val="0"/>
          <w:color w:val="auto"/>
          <w:sz w:val="22"/>
        </w:rPr>
        <w:t xml:space="preserve">      Издавање на лиценца</w:t>
      </w:r>
      <w:bookmarkEnd w:id="8"/>
    </w:p>
    <w:p w:rsidR="00740A51" w:rsidRPr="002A4E52" w:rsidRDefault="00740A51" w:rsidP="00EC531C">
      <w:pPr>
        <w:pStyle w:val="Stavovi"/>
      </w:pPr>
      <w:r>
        <w:t xml:space="preserve">(2) </w:t>
      </w:r>
      <w:r w:rsidRPr="002A4E52">
        <w:t>Лиценца не е потребна за:</w:t>
      </w:r>
    </w:p>
    <w:p w:rsidR="00740A51" w:rsidRDefault="00740A51" w:rsidP="00EC531C">
      <w:pPr>
        <w:pStyle w:val="Stavovi"/>
      </w:pPr>
      <w:r>
        <w:t xml:space="preserve"> </w:t>
      </w:r>
      <w:r w:rsidRPr="00740A51">
        <w:t>2) производство на електрична енергија од обновливи извори на енергија наменето за сопствена потрошувачка, при што вишокот на произведената енергија се предава во електродистрибутивна мрежа под услови и на начин определени во согласност со овој закон,</w:t>
      </w:r>
      <w:r w:rsidRPr="002A4E52">
        <w:t xml:space="preserve">  </w:t>
      </w:r>
    </w:p>
    <w:p w:rsidR="00740A51" w:rsidRPr="00D831D8" w:rsidRDefault="00740A51" w:rsidP="00740A51">
      <w:pPr>
        <w:pStyle w:val="Style1"/>
        <w:rPr>
          <w:rFonts w:asciiTheme="minorHAnsi" w:eastAsiaTheme="minorHAnsi" w:hAnsiTheme="minorHAnsi" w:cstheme="minorBidi"/>
          <w:iCs w:val="0"/>
          <w:color w:val="auto"/>
          <w:sz w:val="22"/>
          <w:lang w:val="en-US"/>
        </w:rPr>
      </w:pPr>
      <w:bookmarkStart w:id="9" w:name="_Toc499071909"/>
      <w:bookmarkStart w:id="10" w:name="_Ref500174772"/>
      <w:r w:rsidRPr="00740A51">
        <w:rPr>
          <w:rFonts w:asciiTheme="minorHAnsi" w:eastAsiaTheme="minorHAnsi" w:hAnsiTheme="minorHAnsi" w:cstheme="minorBidi"/>
          <w:iCs w:val="0"/>
          <w:color w:val="auto"/>
          <w:sz w:val="22"/>
        </w:rPr>
        <w:t xml:space="preserve">Член </w:t>
      </w:r>
      <w:r w:rsidRPr="00740A51">
        <w:rPr>
          <w:rFonts w:asciiTheme="minorHAnsi" w:eastAsiaTheme="minorHAnsi" w:hAnsiTheme="minorHAnsi" w:cstheme="minorBidi"/>
          <w:iCs w:val="0"/>
          <w:color w:val="auto"/>
          <w:sz w:val="22"/>
        </w:rPr>
        <w:fldChar w:fldCharType="begin"/>
      </w:r>
      <w:r w:rsidRPr="00740A51">
        <w:rPr>
          <w:rFonts w:asciiTheme="minorHAnsi" w:eastAsiaTheme="minorHAnsi" w:hAnsiTheme="minorHAnsi" w:cstheme="minorBidi"/>
          <w:iCs w:val="0"/>
          <w:color w:val="auto"/>
          <w:sz w:val="22"/>
        </w:rPr>
        <w:instrText xml:space="preserve"> SEQ Член \* ARABIC </w:instrText>
      </w:r>
      <w:r w:rsidRPr="00740A51">
        <w:rPr>
          <w:rFonts w:asciiTheme="minorHAnsi" w:eastAsiaTheme="minorHAnsi" w:hAnsiTheme="minorHAnsi" w:cstheme="minorBidi"/>
          <w:iCs w:val="0"/>
          <w:color w:val="auto"/>
          <w:sz w:val="22"/>
        </w:rPr>
        <w:fldChar w:fldCharType="separate"/>
      </w:r>
      <w:r w:rsidRPr="00740A51">
        <w:rPr>
          <w:rFonts w:asciiTheme="minorHAnsi" w:eastAsiaTheme="minorHAnsi" w:hAnsiTheme="minorHAnsi" w:cstheme="minorBidi"/>
          <w:iCs w:val="0"/>
          <w:color w:val="auto"/>
          <w:sz w:val="22"/>
        </w:rPr>
        <w:t>70</w:t>
      </w:r>
      <w:bookmarkEnd w:id="9"/>
      <w:r w:rsidRPr="00740A51">
        <w:rPr>
          <w:rFonts w:asciiTheme="minorHAnsi" w:eastAsiaTheme="minorHAnsi" w:hAnsiTheme="minorHAnsi" w:cstheme="minorBidi"/>
          <w:iCs w:val="0"/>
          <w:color w:val="auto"/>
          <w:sz w:val="22"/>
        </w:rPr>
        <w:fldChar w:fldCharType="end"/>
      </w:r>
      <w:bookmarkEnd w:id="10"/>
      <w:r w:rsidRPr="00740A51">
        <w:rPr>
          <w:rFonts w:asciiTheme="minorHAnsi" w:eastAsiaTheme="minorHAnsi" w:hAnsiTheme="minorHAnsi" w:cstheme="minorBidi"/>
          <w:iCs w:val="0"/>
          <w:color w:val="auto"/>
          <w:sz w:val="22"/>
        </w:rPr>
        <w:t xml:space="preserve">  Производител на електрична енергија</w:t>
      </w:r>
    </w:p>
    <w:p w:rsidR="00E122F7" w:rsidRPr="00E122F7" w:rsidRDefault="00E122F7" w:rsidP="00B83970">
      <w:pPr>
        <w:rPr>
          <w:color w:val="FF0000"/>
        </w:rPr>
      </w:pPr>
      <w:r w:rsidRPr="00613E33">
        <w:rPr>
          <w:b/>
          <w:color w:val="FF0000"/>
          <w:u w:val="single"/>
        </w:rPr>
        <w:t>Предлог:</w:t>
      </w:r>
      <w:r>
        <w:rPr>
          <w:b/>
          <w:color w:val="FF0000"/>
          <w:u w:val="single"/>
        </w:rPr>
        <w:t xml:space="preserve"> </w:t>
      </w:r>
      <w:r w:rsidRPr="00E122F7">
        <w:rPr>
          <w:color w:val="FF0000"/>
        </w:rPr>
        <w:t xml:space="preserve">Или со посебен член во Законот или со посебна уредба, да се дефинира </w:t>
      </w:r>
      <w:r>
        <w:rPr>
          <w:color w:val="FF0000"/>
        </w:rPr>
        <w:t>местото</w:t>
      </w:r>
      <w:r w:rsidRPr="00E122F7">
        <w:rPr>
          <w:color w:val="FF0000"/>
        </w:rPr>
        <w:t xml:space="preserve"> на домаќинствата, како мали производители на електрична енергија</w:t>
      </w:r>
    </w:p>
    <w:p w:rsidR="00E122F7" w:rsidRPr="00E122F7" w:rsidRDefault="00E122F7" w:rsidP="00E122F7">
      <w:pPr>
        <w:shd w:val="clear" w:color="auto" w:fill="D9E2F3" w:themeFill="accent5" w:themeFillTint="33"/>
        <w:rPr>
          <w:color w:val="FF0000"/>
          <w:u w:val="single"/>
        </w:rPr>
      </w:pPr>
      <w:r w:rsidRPr="00740A51">
        <w:rPr>
          <w:b/>
          <w:color w:val="0070C0"/>
          <w:sz w:val="20"/>
          <w:szCs w:val="20"/>
        </w:rPr>
        <w:t>Образложение:</w:t>
      </w:r>
      <w:r>
        <w:rPr>
          <w:b/>
          <w:color w:val="0070C0"/>
          <w:sz w:val="20"/>
          <w:szCs w:val="20"/>
        </w:rPr>
        <w:t xml:space="preserve"> </w:t>
      </w:r>
      <w:r>
        <w:rPr>
          <w:color w:val="0070C0"/>
          <w:sz w:val="20"/>
          <w:szCs w:val="20"/>
        </w:rPr>
        <w:t>Домаќинствата не треба да бидат третирани како Производители на електрична енергија со сите обврски според член 70. Треба да се ЗАДОЛЖИ операторот на дистрибутивната мрежа или Универзалниот снабдувач, дека МОРА да го превземе вишокот на произведена електрична енергија произведен во домаќинствата. Може да се искористат искуствата од другите земји.</w:t>
      </w:r>
    </w:p>
    <w:p w:rsidR="00D831D8" w:rsidRPr="00D831D8" w:rsidRDefault="00D831D8" w:rsidP="00D831D8">
      <w:pPr>
        <w:pStyle w:val="Style1"/>
        <w:rPr>
          <w:rFonts w:asciiTheme="minorHAnsi" w:eastAsiaTheme="minorHAnsi" w:hAnsiTheme="minorHAnsi" w:cstheme="minorBidi"/>
          <w:iCs w:val="0"/>
          <w:color w:val="auto"/>
          <w:sz w:val="22"/>
        </w:rPr>
      </w:pPr>
      <w:bookmarkStart w:id="11" w:name="_Toc499071997"/>
      <w:bookmarkStart w:id="12" w:name="_Ref499127620"/>
      <w:r w:rsidRPr="00D831D8">
        <w:rPr>
          <w:rFonts w:asciiTheme="minorHAnsi" w:eastAsiaTheme="minorHAnsi" w:hAnsiTheme="minorHAnsi" w:cstheme="minorBidi"/>
          <w:iCs w:val="0"/>
          <w:color w:val="auto"/>
          <w:sz w:val="22"/>
        </w:rPr>
        <w:t xml:space="preserve">Член </w:t>
      </w:r>
      <w:r w:rsidRPr="00D831D8">
        <w:rPr>
          <w:rFonts w:asciiTheme="minorHAnsi" w:eastAsiaTheme="minorHAnsi" w:hAnsiTheme="minorHAnsi" w:cstheme="minorBidi"/>
          <w:iCs w:val="0"/>
          <w:color w:val="auto"/>
          <w:sz w:val="22"/>
        </w:rPr>
        <w:fldChar w:fldCharType="begin"/>
      </w:r>
      <w:r w:rsidRPr="00D831D8">
        <w:rPr>
          <w:rFonts w:asciiTheme="minorHAnsi" w:eastAsiaTheme="minorHAnsi" w:hAnsiTheme="minorHAnsi" w:cstheme="minorBidi"/>
          <w:iCs w:val="0"/>
          <w:color w:val="auto"/>
          <w:sz w:val="22"/>
        </w:rPr>
        <w:instrText xml:space="preserve"> SEQ Член \* ARABIC </w:instrText>
      </w:r>
      <w:r w:rsidRPr="00D831D8">
        <w:rPr>
          <w:rFonts w:asciiTheme="minorHAnsi" w:eastAsiaTheme="minorHAnsi" w:hAnsiTheme="minorHAnsi" w:cstheme="minorBidi"/>
          <w:iCs w:val="0"/>
          <w:color w:val="auto"/>
          <w:sz w:val="22"/>
        </w:rPr>
        <w:fldChar w:fldCharType="separate"/>
      </w:r>
      <w:r w:rsidRPr="00D831D8">
        <w:rPr>
          <w:rFonts w:asciiTheme="minorHAnsi" w:eastAsiaTheme="minorHAnsi" w:hAnsiTheme="minorHAnsi" w:cstheme="minorBidi"/>
          <w:iCs w:val="0"/>
          <w:color w:val="auto"/>
          <w:sz w:val="22"/>
        </w:rPr>
        <w:t>155</w:t>
      </w:r>
      <w:bookmarkEnd w:id="11"/>
      <w:r w:rsidRPr="00D831D8">
        <w:rPr>
          <w:rFonts w:asciiTheme="minorHAnsi" w:eastAsiaTheme="minorHAnsi" w:hAnsiTheme="minorHAnsi" w:cstheme="minorBidi"/>
          <w:iCs w:val="0"/>
          <w:color w:val="auto"/>
          <w:sz w:val="22"/>
        </w:rPr>
        <w:fldChar w:fldCharType="end"/>
      </w:r>
      <w:bookmarkEnd w:id="12"/>
      <w:r w:rsidRPr="00D831D8">
        <w:rPr>
          <w:rFonts w:asciiTheme="minorHAnsi" w:eastAsiaTheme="minorHAnsi" w:hAnsiTheme="minorHAnsi" w:cstheme="minorBidi"/>
          <w:iCs w:val="0"/>
          <w:color w:val="auto"/>
          <w:sz w:val="22"/>
        </w:rPr>
        <w:t xml:space="preserve">  Мерни уреди – Топлински системи</w:t>
      </w:r>
    </w:p>
    <w:p w:rsidR="00B83970" w:rsidRDefault="00D831D8" w:rsidP="00B83970">
      <w:pPr>
        <w:rPr>
          <w:color w:val="FF0000"/>
        </w:rPr>
      </w:pPr>
      <w:r w:rsidRPr="00613E33">
        <w:rPr>
          <w:b/>
          <w:color w:val="FF0000"/>
          <w:u w:val="single"/>
        </w:rPr>
        <w:t>Предлог:</w:t>
      </w:r>
      <w:r>
        <w:rPr>
          <w:b/>
          <w:color w:val="FF0000"/>
          <w:u w:val="single"/>
          <w:lang w:val="en-US"/>
        </w:rPr>
        <w:t xml:space="preserve"> </w:t>
      </w:r>
      <w:r>
        <w:rPr>
          <w:color w:val="FF0000"/>
        </w:rPr>
        <w:t>Сопственик на опремата од системот за мерење да биде крајниот снабдител или операторот на дистрибутивната топлификациска мрежа.</w:t>
      </w:r>
    </w:p>
    <w:p w:rsidR="00D831D8" w:rsidRPr="00D831D8" w:rsidRDefault="00D831D8" w:rsidP="00D831D8">
      <w:pPr>
        <w:shd w:val="clear" w:color="auto" w:fill="D9E2F3" w:themeFill="accent5" w:themeFillTint="33"/>
        <w:rPr>
          <w:color w:val="0070C0"/>
          <w:sz w:val="20"/>
          <w:szCs w:val="20"/>
        </w:rPr>
      </w:pPr>
      <w:r w:rsidRPr="00740A51">
        <w:rPr>
          <w:b/>
          <w:color w:val="0070C0"/>
          <w:sz w:val="20"/>
          <w:szCs w:val="20"/>
        </w:rPr>
        <w:t>Образложение:</w:t>
      </w:r>
      <w:r>
        <w:rPr>
          <w:b/>
          <w:color w:val="0070C0"/>
          <w:sz w:val="20"/>
          <w:szCs w:val="20"/>
        </w:rPr>
        <w:t xml:space="preserve"> </w:t>
      </w:r>
      <w:r w:rsidRPr="00D831D8">
        <w:rPr>
          <w:color w:val="0070C0"/>
          <w:sz w:val="20"/>
          <w:szCs w:val="20"/>
        </w:rPr>
        <w:t xml:space="preserve">Потребно е системите за снабдување со енергија (електрична, топлинска и природен гас) </w:t>
      </w:r>
      <w:r>
        <w:rPr>
          <w:color w:val="0070C0"/>
          <w:sz w:val="20"/>
          <w:szCs w:val="20"/>
        </w:rPr>
        <w:t xml:space="preserve">да се натпреваруваат при исти, или барем слични, конкурентски услови. Ако домаќинствата треба да </w:t>
      </w:r>
      <w:r>
        <w:rPr>
          <w:color w:val="0070C0"/>
          <w:sz w:val="20"/>
          <w:szCs w:val="20"/>
        </w:rPr>
        <w:lastRenderedPageBreak/>
        <w:t>платат дополително за оваа опрема, за разлика во однос снабдување со природен гас, тогаш почетните услови се поповолни за системот кој не наплатува за опремата. Ако се предвидат субвенции за оваа опрема на граѓаните, тоа е делумна мерка, која може да се прекине при истрошување на фондот за субвенции. Ако домаќинствата не се сопственици на овој систем за мерење и ОДГОВОРНОСТА за одржување, замена, поправка е на СОПСТВЕНИКОТ. Со тоа домаќинствата се ослободуваат од дополнителни финансиски давачки и грижа за опремата од системот за мерење – било да се нови или постоечки корисници на топлификацискиот систем.</w:t>
      </w:r>
    </w:p>
    <w:p w:rsidR="00897E52" w:rsidRPr="00261EE3" w:rsidRDefault="00897E52" w:rsidP="00897E52">
      <w:pPr>
        <w:pStyle w:val="Style1"/>
        <w:rPr>
          <w:rFonts w:asciiTheme="minorHAnsi" w:eastAsiaTheme="minorHAnsi" w:hAnsiTheme="minorHAnsi" w:cstheme="minorBidi"/>
          <w:iCs w:val="0"/>
          <w:color w:val="auto"/>
          <w:sz w:val="22"/>
        </w:rPr>
      </w:pPr>
      <w:bookmarkStart w:id="13" w:name="_Toc499071965"/>
      <w:r w:rsidRPr="00261EE3">
        <w:rPr>
          <w:rFonts w:asciiTheme="minorHAnsi" w:eastAsiaTheme="minorHAnsi" w:hAnsiTheme="minorHAnsi" w:cstheme="minorBidi"/>
          <w:iCs w:val="0"/>
          <w:color w:val="auto"/>
          <w:sz w:val="22"/>
        </w:rPr>
        <w:t xml:space="preserve">Член </w:t>
      </w:r>
      <w:r w:rsidRPr="00261EE3">
        <w:rPr>
          <w:rFonts w:asciiTheme="minorHAnsi" w:eastAsiaTheme="minorHAnsi" w:hAnsiTheme="minorHAnsi" w:cstheme="minorBidi"/>
          <w:iCs w:val="0"/>
          <w:color w:val="auto"/>
          <w:sz w:val="22"/>
        </w:rPr>
        <w:fldChar w:fldCharType="begin"/>
      </w:r>
      <w:r w:rsidRPr="00261EE3">
        <w:rPr>
          <w:rFonts w:asciiTheme="minorHAnsi" w:eastAsiaTheme="minorHAnsi" w:hAnsiTheme="minorHAnsi" w:cstheme="minorBidi"/>
          <w:iCs w:val="0"/>
          <w:color w:val="auto"/>
          <w:sz w:val="22"/>
        </w:rPr>
        <w:instrText xml:space="preserve"> SEQ Член \* ARABIC </w:instrText>
      </w:r>
      <w:r w:rsidRPr="00261EE3">
        <w:rPr>
          <w:rFonts w:asciiTheme="minorHAnsi" w:eastAsiaTheme="minorHAnsi" w:hAnsiTheme="minorHAnsi" w:cstheme="minorBidi"/>
          <w:iCs w:val="0"/>
          <w:color w:val="auto"/>
          <w:sz w:val="22"/>
        </w:rPr>
        <w:fldChar w:fldCharType="separate"/>
      </w:r>
      <w:r w:rsidRPr="00261EE3">
        <w:rPr>
          <w:rFonts w:asciiTheme="minorHAnsi" w:eastAsiaTheme="minorHAnsi" w:hAnsiTheme="minorHAnsi" w:cstheme="minorBidi"/>
          <w:iCs w:val="0"/>
          <w:color w:val="auto"/>
          <w:sz w:val="22"/>
        </w:rPr>
        <w:t>129</w:t>
      </w:r>
      <w:r w:rsidRPr="00261EE3">
        <w:rPr>
          <w:rFonts w:asciiTheme="minorHAnsi" w:eastAsiaTheme="minorHAnsi" w:hAnsiTheme="minorHAnsi" w:cstheme="minorBidi"/>
          <w:iCs w:val="0"/>
          <w:color w:val="auto"/>
          <w:sz w:val="22"/>
        </w:rPr>
        <w:fldChar w:fldCharType="end"/>
      </w:r>
      <w:bookmarkStart w:id="14" w:name="_Toc498586741"/>
      <w:bookmarkStart w:id="15" w:name="_Toc498721417"/>
      <w:bookmarkEnd w:id="13"/>
      <w:r w:rsidRPr="00261EE3">
        <w:rPr>
          <w:rFonts w:asciiTheme="minorHAnsi" w:eastAsiaTheme="minorHAnsi" w:hAnsiTheme="minorHAnsi" w:cstheme="minorBidi"/>
          <w:iCs w:val="0"/>
          <w:color w:val="auto"/>
          <w:sz w:val="22"/>
        </w:rPr>
        <w:t xml:space="preserve">  Затворен дистрибутивен систем</w:t>
      </w:r>
      <w:bookmarkEnd w:id="14"/>
      <w:bookmarkEnd w:id="15"/>
    </w:p>
    <w:p w:rsidR="00897E52" w:rsidRPr="002A4E52" w:rsidRDefault="00897E52" w:rsidP="00EC531C">
      <w:pPr>
        <w:pStyle w:val="Stavovi"/>
      </w:pPr>
      <w:r w:rsidRPr="002A4E52">
        <w:t xml:space="preserve">(4) Изземањето од став (2) на овој член се применува кога затворениот систем на дистрибуција повремено се користи од страна на </w:t>
      </w:r>
      <w:r w:rsidRPr="00897E52">
        <w:rPr>
          <w:highlight w:val="yellow"/>
          <w:u w:val="single"/>
        </w:rPr>
        <w:t>мал број</w:t>
      </w:r>
      <w:r w:rsidRPr="002A4E52">
        <w:t xml:space="preserve"> </w:t>
      </w:r>
      <w:r>
        <w:t xml:space="preserve"> </w:t>
      </w:r>
      <w:r w:rsidRPr="002A4E52">
        <w:t>домаќинства во подрачјето на затворениот систем, и покрај тоа што некој член од домаќинството е вработен или на друг начин ангажиран кај сопственикот на затворениот систем за дистрибуција.</w:t>
      </w:r>
    </w:p>
    <w:p w:rsidR="00DC70E4" w:rsidRPr="00897E52" w:rsidRDefault="00897E52" w:rsidP="00B83970">
      <w:pPr>
        <w:rPr>
          <w:color w:val="0070C0"/>
          <w:sz w:val="20"/>
          <w:szCs w:val="20"/>
        </w:rPr>
      </w:pPr>
      <w:r w:rsidRPr="00613E33">
        <w:rPr>
          <w:b/>
          <w:color w:val="FF0000"/>
          <w:u w:val="single"/>
        </w:rPr>
        <w:t>Предлог:</w:t>
      </w:r>
      <w:r>
        <w:rPr>
          <w:b/>
          <w:color w:val="FF0000"/>
          <w:u w:val="single"/>
        </w:rPr>
        <w:t xml:space="preserve"> </w:t>
      </w:r>
      <w:r w:rsidRPr="00897E52">
        <w:rPr>
          <w:color w:val="FF0000"/>
        </w:rPr>
        <w:t>Да се дефинира колкав е тој мал број</w:t>
      </w:r>
    </w:p>
    <w:p w:rsidR="00DC70E4" w:rsidRPr="00897E52" w:rsidRDefault="00897E52" w:rsidP="00897E52">
      <w:pPr>
        <w:shd w:val="clear" w:color="auto" w:fill="D9E2F3" w:themeFill="accent5" w:themeFillTint="33"/>
        <w:rPr>
          <w:color w:val="0070C0"/>
          <w:sz w:val="20"/>
          <w:szCs w:val="20"/>
        </w:rPr>
      </w:pPr>
      <w:r w:rsidRPr="00740A51">
        <w:rPr>
          <w:b/>
          <w:color w:val="0070C0"/>
          <w:sz w:val="20"/>
          <w:szCs w:val="20"/>
        </w:rPr>
        <w:t>Образложение:</w:t>
      </w:r>
      <w:r>
        <w:rPr>
          <w:b/>
          <w:color w:val="0070C0"/>
          <w:sz w:val="20"/>
          <w:szCs w:val="20"/>
        </w:rPr>
        <w:t xml:space="preserve"> </w:t>
      </w:r>
      <w:r w:rsidRPr="00897E52">
        <w:rPr>
          <w:color w:val="0070C0"/>
          <w:sz w:val="20"/>
          <w:szCs w:val="20"/>
        </w:rPr>
        <w:t>Не е упатно да се дефинираат обврски ОПИСНО (мал-голем, висок-низок) во законската регулатива.</w:t>
      </w:r>
      <w:r>
        <w:rPr>
          <w:color w:val="0070C0"/>
          <w:sz w:val="20"/>
          <w:szCs w:val="20"/>
        </w:rPr>
        <w:t xml:space="preserve"> Не треба да се остави “отворено“ дефинирање на оваа вредност, затоа што тоа ќе зависи од одлука на еден/неколку луѓе, со потенцијална можност за рекет/корупција.</w:t>
      </w:r>
    </w:p>
    <w:p w:rsidR="00261EE3" w:rsidRPr="00261EE3" w:rsidRDefault="00261EE3" w:rsidP="00261EE3">
      <w:pPr>
        <w:pStyle w:val="Style1"/>
        <w:rPr>
          <w:rFonts w:asciiTheme="minorHAnsi" w:eastAsiaTheme="minorHAnsi" w:hAnsiTheme="minorHAnsi" w:cstheme="minorBidi"/>
          <w:iCs w:val="0"/>
          <w:color w:val="auto"/>
          <w:sz w:val="22"/>
        </w:rPr>
      </w:pPr>
      <w:bookmarkStart w:id="16" w:name="_Toc499071966"/>
      <w:r w:rsidRPr="00261EE3">
        <w:rPr>
          <w:rFonts w:asciiTheme="minorHAnsi" w:eastAsiaTheme="minorHAnsi" w:hAnsiTheme="minorHAnsi" w:cstheme="minorBidi"/>
          <w:iCs w:val="0"/>
          <w:color w:val="auto"/>
          <w:sz w:val="22"/>
        </w:rPr>
        <w:t xml:space="preserve">Член </w:t>
      </w:r>
      <w:r w:rsidRPr="00261EE3">
        <w:rPr>
          <w:rFonts w:asciiTheme="minorHAnsi" w:eastAsiaTheme="minorHAnsi" w:hAnsiTheme="minorHAnsi" w:cstheme="minorBidi"/>
          <w:iCs w:val="0"/>
          <w:color w:val="auto"/>
          <w:sz w:val="22"/>
        </w:rPr>
        <w:fldChar w:fldCharType="begin"/>
      </w:r>
      <w:r w:rsidRPr="00261EE3">
        <w:rPr>
          <w:rFonts w:asciiTheme="minorHAnsi" w:eastAsiaTheme="minorHAnsi" w:hAnsiTheme="minorHAnsi" w:cstheme="minorBidi"/>
          <w:iCs w:val="0"/>
          <w:color w:val="auto"/>
          <w:sz w:val="22"/>
        </w:rPr>
        <w:instrText xml:space="preserve"> SEQ Член \* ARABIC </w:instrText>
      </w:r>
      <w:r w:rsidRPr="00261EE3">
        <w:rPr>
          <w:rFonts w:asciiTheme="minorHAnsi" w:eastAsiaTheme="minorHAnsi" w:hAnsiTheme="minorHAnsi" w:cstheme="minorBidi"/>
          <w:iCs w:val="0"/>
          <w:color w:val="auto"/>
          <w:sz w:val="22"/>
        </w:rPr>
        <w:fldChar w:fldCharType="separate"/>
      </w:r>
      <w:r w:rsidRPr="00261EE3">
        <w:rPr>
          <w:rFonts w:asciiTheme="minorHAnsi" w:eastAsiaTheme="minorHAnsi" w:hAnsiTheme="minorHAnsi" w:cstheme="minorBidi"/>
          <w:iCs w:val="0"/>
          <w:color w:val="auto"/>
          <w:sz w:val="22"/>
        </w:rPr>
        <w:t>130</w:t>
      </w:r>
      <w:r w:rsidRPr="00261EE3">
        <w:rPr>
          <w:rFonts w:asciiTheme="minorHAnsi" w:eastAsiaTheme="minorHAnsi" w:hAnsiTheme="minorHAnsi" w:cstheme="minorBidi"/>
          <w:iCs w:val="0"/>
          <w:color w:val="auto"/>
          <w:sz w:val="22"/>
        </w:rPr>
        <w:fldChar w:fldCharType="end"/>
      </w:r>
      <w:bookmarkStart w:id="17" w:name="_Toc498721418"/>
      <w:bookmarkEnd w:id="16"/>
      <w:r w:rsidRPr="00261EE3">
        <w:rPr>
          <w:rFonts w:asciiTheme="minorHAnsi" w:eastAsiaTheme="minorHAnsi" w:hAnsiTheme="minorHAnsi" w:cstheme="minorBidi"/>
          <w:iCs w:val="0"/>
          <w:color w:val="auto"/>
          <w:sz w:val="22"/>
        </w:rPr>
        <w:tab/>
        <w:t>Комбиниран оператор</w:t>
      </w:r>
      <w:bookmarkEnd w:id="17"/>
    </w:p>
    <w:p w:rsidR="00261EE3" w:rsidRDefault="00261EE3" w:rsidP="00EC531C">
      <w:pPr>
        <w:pStyle w:val="Stavovi"/>
        <w:numPr>
          <w:ilvl w:val="0"/>
          <w:numId w:val="8"/>
        </w:numPr>
      </w:pPr>
      <w:r w:rsidRPr="00261EE3">
        <w:rPr>
          <w:b/>
          <w:highlight w:val="yellow"/>
        </w:rPr>
        <w:t>По исклучок</w:t>
      </w:r>
      <w:r w:rsidRPr="002A4E52">
        <w:t xml:space="preserve"> од </w:t>
      </w:r>
      <w:r w:rsidRPr="002A4E52">
        <w:fldChar w:fldCharType="begin"/>
      </w:r>
      <w:r w:rsidRPr="002A4E52">
        <w:instrText xml:space="preserve"> REF _Ref499126998 \h  \* MERGEFORMAT </w:instrText>
      </w:r>
      <w:r w:rsidRPr="002A4E52">
        <w:fldChar w:fldCharType="separate"/>
      </w:r>
      <w:r w:rsidRPr="002A4E52">
        <w:t xml:space="preserve">Член </w:t>
      </w:r>
      <w:r w:rsidRPr="002A4E52">
        <w:rPr>
          <w:noProof/>
        </w:rPr>
        <w:t>122</w:t>
      </w:r>
      <w:r w:rsidRPr="002A4E52">
        <w:fldChar w:fldCharType="end"/>
      </w:r>
      <w:r w:rsidRPr="002A4E52">
        <w:t xml:space="preserve"> став (1) и </w:t>
      </w:r>
      <w:r w:rsidRPr="002A4E52">
        <w:fldChar w:fldCharType="begin"/>
      </w:r>
      <w:r w:rsidRPr="002A4E52">
        <w:instrText xml:space="preserve"> REF _Ref499126902 \h  \* MERGEFORMAT </w:instrText>
      </w:r>
      <w:r w:rsidRPr="002A4E52">
        <w:fldChar w:fldCharType="separate"/>
      </w:r>
      <w:r w:rsidRPr="002A4E52">
        <w:t xml:space="preserve">Член </w:t>
      </w:r>
      <w:r w:rsidRPr="002A4E52">
        <w:rPr>
          <w:noProof/>
        </w:rPr>
        <w:t>128</w:t>
      </w:r>
      <w:r w:rsidRPr="002A4E52">
        <w:fldChar w:fldCharType="end"/>
      </w:r>
      <w:r w:rsidRPr="002A4E52">
        <w:t xml:space="preserve"> став (1), правно лице може да функционира како комбиниран оператор на системи за пренос и дистрибуција на природен гас, на кој може да му се издадат лиценци за пренос и дистрибуција на природен гас согласно овој Закон. </w:t>
      </w:r>
    </w:p>
    <w:p w:rsidR="00DC70E4" w:rsidRDefault="00261EE3" w:rsidP="00B83970">
      <w:pPr>
        <w:rPr>
          <w:color w:val="0070C0"/>
          <w:sz w:val="20"/>
          <w:szCs w:val="20"/>
        </w:rPr>
      </w:pPr>
      <w:r w:rsidRPr="00613E33">
        <w:rPr>
          <w:b/>
          <w:color w:val="FF0000"/>
          <w:u w:val="single"/>
        </w:rPr>
        <w:t>Предлог:</w:t>
      </w:r>
      <w:r>
        <w:rPr>
          <w:b/>
          <w:color w:val="FF0000"/>
          <w:u w:val="single"/>
        </w:rPr>
        <w:t xml:space="preserve"> </w:t>
      </w:r>
      <w:r w:rsidRPr="00261EE3">
        <w:rPr>
          <w:color w:val="FF0000"/>
        </w:rPr>
        <w:t xml:space="preserve"> Потребно е да се дефинира </w:t>
      </w:r>
      <w:r>
        <w:rPr>
          <w:color w:val="FF0000"/>
        </w:rPr>
        <w:t>која е ситуацијата која доведува да се прифати еден систем да биде</w:t>
      </w:r>
      <w:r w:rsidRPr="00261EE3">
        <w:rPr>
          <w:color w:val="FF0000"/>
        </w:rPr>
        <w:t xml:space="preserve"> исклучок.</w:t>
      </w:r>
      <w:r>
        <w:rPr>
          <w:color w:val="FF0000"/>
        </w:rPr>
        <w:t xml:space="preserve"> Или да отпадне овој член!</w:t>
      </w:r>
    </w:p>
    <w:p w:rsidR="00261EE3" w:rsidRDefault="00261EE3" w:rsidP="00261EE3">
      <w:pPr>
        <w:shd w:val="clear" w:color="auto" w:fill="D9E2F3" w:themeFill="accent5" w:themeFillTint="33"/>
        <w:rPr>
          <w:color w:val="0070C0"/>
          <w:sz w:val="20"/>
          <w:szCs w:val="20"/>
        </w:rPr>
      </w:pPr>
      <w:r w:rsidRPr="00740A51">
        <w:rPr>
          <w:b/>
          <w:color w:val="0070C0"/>
          <w:sz w:val="20"/>
          <w:szCs w:val="20"/>
        </w:rPr>
        <w:t>Образложение:</w:t>
      </w:r>
      <w:r>
        <w:rPr>
          <w:b/>
          <w:color w:val="0070C0"/>
          <w:sz w:val="20"/>
          <w:szCs w:val="20"/>
        </w:rPr>
        <w:t xml:space="preserve"> </w:t>
      </w:r>
      <w:r w:rsidRPr="00897E52">
        <w:rPr>
          <w:color w:val="0070C0"/>
          <w:sz w:val="20"/>
          <w:szCs w:val="20"/>
        </w:rPr>
        <w:t>Не е упатно да се дефинираат обврски ОПИСНО (мал-голем, висок-низок) во законската регулатива.</w:t>
      </w:r>
      <w:r>
        <w:rPr>
          <w:color w:val="0070C0"/>
          <w:sz w:val="20"/>
          <w:szCs w:val="20"/>
        </w:rPr>
        <w:t xml:space="preserve"> Не треба да се остави “отворено“ дефинирање на оваа вредност, затоа што тоа ќе зависи од одлука на еден/неколку луѓе, со потенцијална можност за рекет/корупција.</w:t>
      </w:r>
      <w:r w:rsidR="00EC531C">
        <w:rPr>
          <w:color w:val="0070C0"/>
          <w:sz w:val="20"/>
          <w:szCs w:val="20"/>
        </w:rPr>
        <w:t xml:space="preserve"> Мора да се каже што е ИСКЛУЧОК. На пример – во Член 157 е дефинирано кога е тоа исклучок за топлификациски систем.</w:t>
      </w:r>
    </w:p>
    <w:p w:rsidR="00261EE3" w:rsidRPr="00897E52" w:rsidRDefault="00261EE3" w:rsidP="00261EE3">
      <w:pPr>
        <w:shd w:val="clear" w:color="auto" w:fill="D9E2F3" w:themeFill="accent5" w:themeFillTint="33"/>
        <w:rPr>
          <w:color w:val="0070C0"/>
          <w:sz w:val="20"/>
          <w:szCs w:val="20"/>
        </w:rPr>
      </w:pPr>
      <w:r>
        <w:rPr>
          <w:color w:val="0070C0"/>
          <w:sz w:val="20"/>
          <w:szCs w:val="20"/>
        </w:rPr>
        <w:t>Со претходните членови детално се разработува разграничувањето на гасификацискиот систем, а после тоа, без никакво образложение за потребата од овој член, тој ги елиминира посебните надлежности на преносниот и дистрибутивниот оператор.</w:t>
      </w:r>
    </w:p>
    <w:p w:rsidR="00EC531C" w:rsidRPr="00EC531C" w:rsidRDefault="00EC531C" w:rsidP="00EC531C">
      <w:pPr>
        <w:pStyle w:val="Style1"/>
        <w:rPr>
          <w:rFonts w:asciiTheme="minorHAnsi" w:eastAsiaTheme="minorHAnsi" w:hAnsiTheme="minorHAnsi" w:cstheme="minorBidi"/>
          <w:iCs w:val="0"/>
          <w:color w:val="auto"/>
          <w:sz w:val="22"/>
        </w:rPr>
      </w:pPr>
      <w:bookmarkStart w:id="18" w:name="_Toc499071986"/>
      <w:bookmarkStart w:id="19" w:name="_Ref499181717"/>
      <w:r w:rsidRPr="00EC531C">
        <w:rPr>
          <w:rFonts w:asciiTheme="minorHAnsi" w:eastAsiaTheme="minorHAnsi" w:hAnsiTheme="minorHAnsi" w:cstheme="minorBidi"/>
          <w:iCs w:val="0"/>
          <w:color w:val="auto"/>
          <w:sz w:val="22"/>
        </w:rPr>
        <w:t xml:space="preserve">Член </w:t>
      </w:r>
      <w:r w:rsidRPr="00EC531C">
        <w:rPr>
          <w:rFonts w:asciiTheme="minorHAnsi" w:eastAsiaTheme="minorHAnsi" w:hAnsiTheme="minorHAnsi" w:cstheme="minorBidi"/>
          <w:iCs w:val="0"/>
          <w:color w:val="auto"/>
          <w:sz w:val="22"/>
        </w:rPr>
        <w:fldChar w:fldCharType="begin"/>
      </w:r>
      <w:r w:rsidRPr="00EC531C">
        <w:rPr>
          <w:rFonts w:asciiTheme="minorHAnsi" w:eastAsiaTheme="minorHAnsi" w:hAnsiTheme="minorHAnsi" w:cstheme="minorBidi"/>
          <w:iCs w:val="0"/>
          <w:color w:val="auto"/>
          <w:sz w:val="22"/>
        </w:rPr>
        <w:instrText xml:space="preserve"> SEQ Член \* ARABIC </w:instrText>
      </w:r>
      <w:r w:rsidRPr="00EC531C">
        <w:rPr>
          <w:rFonts w:asciiTheme="minorHAnsi" w:eastAsiaTheme="minorHAnsi" w:hAnsiTheme="minorHAnsi" w:cstheme="minorBidi"/>
          <w:iCs w:val="0"/>
          <w:color w:val="auto"/>
          <w:sz w:val="22"/>
        </w:rPr>
        <w:fldChar w:fldCharType="separate"/>
      </w:r>
      <w:r w:rsidRPr="00EC531C">
        <w:rPr>
          <w:rFonts w:asciiTheme="minorHAnsi" w:eastAsiaTheme="minorHAnsi" w:hAnsiTheme="minorHAnsi" w:cstheme="minorBidi"/>
          <w:iCs w:val="0"/>
          <w:color w:val="auto"/>
          <w:sz w:val="22"/>
        </w:rPr>
        <w:t>145</w:t>
      </w:r>
      <w:bookmarkEnd w:id="18"/>
      <w:r w:rsidRPr="00EC531C">
        <w:rPr>
          <w:rFonts w:asciiTheme="minorHAnsi" w:eastAsiaTheme="minorHAnsi" w:hAnsiTheme="minorHAnsi" w:cstheme="minorBidi"/>
          <w:iCs w:val="0"/>
          <w:color w:val="auto"/>
          <w:sz w:val="22"/>
        </w:rPr>
        <w:fldChar w:fldCharType="end"/>
      </w:r>
      <w:bookmarkStart w:id="20" w:name="_Toc498721434"/>
      <w:bookmarkEnd w:id="19"/>
      <w:r w:rsidRPr="00EC531C">
        <w:rPr>
          <w:rFonts w:asciiTheme="minorHAnsi" w:eastAsiaTheme="minorHAnsi" w:hAnsiTheme="minorHAnsi" w:cstheme="minorBidi"/>
          <w:iCs w:val="0"/>
          <w:color w:val="auto"/>
          <w:sz w:val="22"/>
        </w:rPr>
        <w:t xml:space="preserve">   Квалитет</w:t>
      </w:r>
      <w:bookmarkEnd w:id="20"/>
    </w:p>
    <w:p w:rsidR="00EC531C" w:rsidRPr="002A4E52" w:rsidRDefault="00EC531C" w:rsidP="00EC531C">
      <w:pPr>
        <w:pStyle w:val="Stavovi"/>
      </w:pPr>
      <w:r>
        <w:rPr>
          <w:color w:val="0070C0"/>
          <w:sz w:val="20"/>
          <w:szCs w:val="20"/>
        </w:rPr>
        <w:tab/>
      </w:r>
      <w:r w:rsidRPr="002A4E52">
        <w:t xml:space="preserve">(1) Владата на Република Македонија, на предлог на Министерството, донесува уредба за </w:t>
      </w:r>
      <w:r>
        <w:t xml:space="preserve">квалитетот на течните горива, </w:t>
      </w:r>
      <w:r w:rsidRPr="002A4E52">
        <w:t>која што особено го содржи следново:</w:t>
      </w:r>
    </w:p>
    <w:p w:rsidR="00EC531C" w:rsidRPr="002A4E52" w:rsidRDefault="00EC531C" w:rsidP="00EC531C">
      <w:pPr>
        <w:pStyle w:val="Stavovi"/>
      </w:pPr>
      <w:r w:rsidRPr="00613E33">
        <w:rPr>
          <w:b/>
          <w:color w:val="FF0000"/>
          <w:u w:val="single"/>
        </w:rPr>
        <w:t>Предлог:</w:t>
      </w:r>
      <w:r>
        <w:rPr>
          <w:b/>
          <w:color w:val="FF0000"/>
          <w:u w:val="single"/>
        </w:rPr>
        <w:t xml:space="preserve"> </w:t>
      </w:r>
      <w:r w:rsidRPr="00261EE3">
        <w:rPr>
          <w:color w:val="FF0000"/>
        </w:rPr>
        <w:t xml:space="preserve"> </w:t>
      </w:r>
      <w:r w:rsidRPr="002A4E52">
        <w:t xml:space="preserve">(1) Владата на Република Македонија, на предлог на Министерството, донесува уредба за квалитетот на течните горива, и </w:t>
      </w:r>
      <w:r w:rsidRPr="002A4E52">
        <w:rPr>
          <w:b/>
          <w:color w:val="FF0000"/>
        </w:rPr>
        <w:t>течен нафтен гас</w:t>
      </w:r>
      <w:r w:rsidRPr="002A4E52">
        <w:rPr>
          <w:color w:val="FF0000"/>
        </w:rPr>
        <w:t xml:space="preserve">  </w:t>
      </w:r>
      <w:r w:rsidRPr="002A4E52">
        <w:t>која што особено го содржи следново:</w:t>
      </w:r>
      <w:r>
        <w:t xml:space="preserve"> .......</w:t>
      </w:r>
    </w:p>
    <w:p w:rsidR="00DC70E4" w:rsidRDefault="00EC531C" w:rsidP="00EC531C">
      <w:pPr>
        <w:shd w:val="clear" w:color="auto" w:fill="D9E2F3" w:themeFill="accent5" w:themeFillTint="33"/>
        <w:tabs>
          <w:tab w:val="left" w:pos="1375"/>
        </w:tabs>
        <w:rPr>
          <w:color w:val="0070C0"/>
          <w:sz w:val="20"/>
          <w:szCs w:val="20"/>
        </w:rPr>
      </w:pPr>
      <w:r w:rsidRPr="00740A51">
        <w:rPr>
          <w:b/>
          <w:color w:val="0070C0"/>
          <w:sz w:val="20"/>
          <w:szCs w:val="20"/>
        </w:rPr>
        <w:t>Образложение:</w:t>
      </w:r>
      <w:r>
        <w:rPr>
          <w:b/>
          <w:color w:val="0070C0"/>
          <w:sz w:val="20"/>
          <w:szCs w:val="20"/>
        </w:rPr>
        <w:t xml:space="preserve"> </w:t>
      </w:r>
      <w:r w:rsidRPr="00EC531C">
        <w:rPr>
          <w:color w:val="0070C0"/>
          <w:sz w:val="20"/>
          <w:szCs w:val="20"/>
        </w:rPr>
        <w:t>На пазарот со суровини постои знатна неусогласеност меѓу квалитетот на ТНГ од разни трговци. Добро е да се уедначи, во интерес на потрошувачите.</w:t>
      </w:r>
    </w:p>
    <w:p w:rsidR="00EC531C" w:rsidRPr="00EC531C" w:rsidRDefault="00EC531C" w:rsidP="00EC531C">
      <w:pPr>
        <w:pStyle w:val="Style1"/>
        <w:rPr>
          <w:rFonts w:asciiTheme="minorHAnsi" w:eastAsiaTheme="minorHAnsi" w:hAnsiTheme="minorHAnsi" w:cstheme="minorBidi"/>
          <w:iCs w:val="0"/>
          <w:color w:val="auto"/>
          <w:sz w:val="22"/>
        </w:rPr>
      </w:pPr>
      <w:r w:rsidRPr="00EC531C">
        <w:rPr>
          <w:rFonts w:asciiTheme="minorHAnsi" w:eastAsiaTheme="minorHAnsi" w:hAnsiTheme="minorHAnsi" w:cstheme="minorBidi"/>
          <w:iCs w:val="0"/>
          <w:color w:val="auto"/>
          <w:sz w:val="22"/>
        </w:rPr>
        <w:t xml:space="preserve">Член </w:t>
      </w:r>
      <w:r w:rsidRPr="00EC531C">
        <w:rPr>
          <w:rFonts w:asciiTheme="minorHAnsi" w:eastAsiaTheme="minorHAnsi" w:hAnsiTheme="minorHAnsi" w:cstheme="minorBidi"/>
          <w:iCs w:val="0"/>
          <w:color w:val="auto"/>
          <w:sz w:val="22"/>
        </w:rPr>
        <w:fldChar w:fldCharType="begin"/>
      </w:r>
      <w:r w:rsidRPr="00EC531C">
        <w:rPr>
          <w:rFonts w:asciiTheme="minorHAnsi" w:eastAsiaTheme="minorHAnsi" w:hAnsiTheme="minorHAnsi" w:cstheme="minorBidi"/>
          <w:iCs w:val="0"/>
          <w:color w:val="auto"/>
          <w:sz w:val="22"/>
        </w:rPr>
        <w:instrText xml:space="preserve"> SEQ Член \* ARABIC </w:instrText>
      </w:r>
      <w:r w:rsidRPr="00EC531C">
        <w:rPr>
          <w:rFonts w:asciiTheme="minorHAnsi" w:eastAsiaTheme="minorHAnsi" w:hAnsiTheme="minorHAnsi" w:cstheme="minorBidi"/>
          <w:iCs w:val="0"/>
          <w:color w:val="auto"/>
          <w:sz w:val="22"/>
        </w:rPr>
        <w:fldChar w:fldCharType="separate"/>
      </w:r>
      <w:r w:rsidRPr="00EC531C">
        <w:rPr>
          <w:rFonts w:asciiTheme="minorHAnsi" w:eastAsiaTheme="minorHAnsi" w:hAnsiTheme="minorHAnsi" w:cstheme="minorBidi"/>
          <w:iCs w:val="0"/>
          <w:color w:val="auto"/>
          <w:sz w:val="22"/>
        </w:rPr>
        <w:t>160</w:t>
      </w:r>
      <w:r w:rsidRPr="00EC531C">
        <w:rPr>
          <w:rFonts w:asciiTheme="minorHAnsi" w:eastAsiaTheme="minorHAnsi" w:hAnsiTheme="minorHAnsi" w:cstheme="minorBidi"/>
          <w:iCs w:val="0"/>
          <w:color w:val="auto"/>
          <w:sz w:val="22"/>
        </w:rPr>
        <w:fldChar w:fldCharType="end"/>
      </w:r>
      <w:r w:rsidRPr="00EC531C">
        <w:rPr>
          <w:rFonts w:asciiTheme="minorHAnsi" w:eastAsiaTheme="minorHAnsi" w:hAnsiTheme="minorHAnsi" w:cstheme="minorBidi"/>
          <w:iCs w:val="0"/>
          <w:color w:val="auto"/>
          <w:sz w:val="22"/>
        </w:rPr>
        <w:t xml:space="preserve">    Обврска за пристап и приклучување</w:t>
      </w:r>
    </w:p>
    <w:p w:rsidR="00EC531C" w:rsidRPr="004904AD" w:rsidRDefault="00EC531C" w:rsidP="00EC531C">
      <w:pPr>
        <w:pStyle w:val="Stavovi"/>
        <w:numPr>
          <w:ilvl w:val="0"/>
          <w:numId w:val="9"/>
        </w:numPr>
      </w:pPr>
      <w:r w:rsidRPr="004904AD">
        <w:t>Операторот на системот за пренос и/или дистрибуција на електрична енергија</w:t>
      </w:r>
      <w:r>
        <w:t xml:space="preserve"> и</w:t>
      </w:r>
      <w:r w:rsidRPr="004904AD">
        <w:t xml:space="preserve"> природен гас е должен, во согласност со соодветните мрежни правила и правилата за снабдување, на </w:t>
      </w:r>
      <w:r w:rsidRPr="004904AD">
        <w:lastRenderedPageBreak/>
        <w:t xml:space="preserve">постојните и новите корисници на системот да им овозможи пристап на соодветната мрежа за пренос или дистрибуција: </w:t>
      </w:r>
    </w:p>
    <w:p w:rsidR="00EC531C" w:rsidRPr="004904AD" w:rsidRDefault="00EC531C" w:rsidP="00EC531C">
      <w:pPr>
        <w:pStyle w:val="Stavovi"/>
      </w:pPr>
      <w:r w:rsidRPr="00613E33">
        <w:rPr>
          <w:b/>
          <w:color w:val="FF0000"/>
          <w:u w:val="single"/>
        </w:rPr>
        <w:t>Предлог:</w:t>
      </w:r>
      <w:r>
        <w:rPr>
          <w:b/>
          <w:color w:val="FF0000"/>
          <w:u w:val="single"/>
        </w:rPr>
        <w:t xml:space="preserve"> </w:t>
      </w:r>
      <w:r w:rsidRPr="00261EE3">
        <w:rPr>
          <w:color w:val="FF0000"/>
        </w:rPr>
        <w:t xml:space="preserve"> </w:t>
      </w:r>
      <w:r>
        <w:rPr>
          <w:color w:val="FF0000"/>
        </w:rPr>
        <w:t xml:space="preserve">(1) </w:t>
      </w:r>
      <w:r w:rsidRPr="004904AD">
        <w:t>Операторот на системот за пренос и/или дистрибуција на електрична енергија</w:t>
      </w:r>
      <w:r>
        <w:t>,</w:t>
      </w:r>
      <w:r w:rsidRPr="004904AD">
        <w:t xml:space="preserve"> природен гас </w:t>
      </w:r>
      <w:r w:rsidRPr="00EC531C">
        <w:rPr>
          <w:color w:val="FF0000"/>
        </w:rPr>
        <w:t xml:space="preserve">и топлинска енергија </w:t>
      </w:r>
      <w:r w:rsidRPr="004904AD">
        <w:t xml:space="preserve">е должен, во согласност со соодветните мрежни правила и правилата за снабдување, на постојните и новите корисници на системот да им овозможи пристап на соодветната мрежа за пренос или дистрибуција: </w:t>
      </w:r>
      <w:r>
        <w:t>......</w:t>
      </w:r>
    </w:p>
    <w:p w:rsidR="00DC70E4" w:rsidRPr="00EC531C" w:rsidRDefault="00EC531C" w:rsidP="00EC531C">
      <w:pPr>
        <w:shd w:val="clear" w:color="auto" w:fill="D9E2F3" w:themeFill="accent5" w:themeFillTint="33"/>
        <w:rPr>
          <w:color w:val="0070C0"/>
          <w:sz w:val="20"/>
          <w:szCs w:val="20"/>
        </w:rPr>
      </w:pPr>
      <w:r w:rsidRPr="00740A51">
        <w:rPr>
          <w:b/>
          <w:color w:val="0070C0"/>
          <w:sz w:val="20"/>
          <w:szCs w:val="20"/>
        </w:rPr>
        <w:t>Образложение:</w:t>
      </w:r>
      <w:r>
        <w:rPr>
          <w:b/>
          <w:color w:val="0070C0"/>
          <w:sz w:val="20"/>
          <w:szCs w:val="20"/>
        </w:rPr>
        <w:t xml:space="preserve"> </w:t>
      </w:r>
      <w:r w:rsidRPr="00EC531C">
        <w:rPr>
          <w:color w:val="0070C0"/>
          <w:sz w:val="20"/>
          <w:szCs w:val="20"/>
        </w:rPr>
        <w:t>Истите услови и обврски треба да важат и за топлификацискиот систем</w:t>
      </w:r>
    </w:p>
    <w:p w:rsidR="00AE1A15" w:rsidRPr="00AE1A15" w:rsidRDefault="00AE1A15" w:rsidP="00AE1A15">
      <w:pPr>
        <w:pStyle w:val="Style1"/>
        <w:rPr>
          <w:rFonts w:asciiTheme="minorHAnsi" w:eastAsiaTheme="minorHAnsi" w:hAnsiTheme="minorHAnsi" w:cstheme="minorBidi"/>
          <w:iCs w:val="0"/>
          <w:color w:val="auto"/>
          <w:sz w:val="22"/>
        </w:rPr>
      </w:pPr>
      <w:bookmarkStart w:id="21" w:name="_Toc499072011"/>
      <w:r w:rsidRPr="00AE1A15">
        <w:rPr>
          <w:rFonts w:asciiTheme="minorHAnsi" w:eastAsiaTheme="minorHAnsi" w:hAnsiTheme="minorHAnsi" w:cstheme="minorBidi"/>
          <w:iCs w:val="0"/>
          <w:color w:val="auto"/>
          <w:sz w:val="22"/>
        </w:rPr>
        <w:t xml:space="preserve">Член </w:t>
      </w:r>
      <w:r w:rsidRPr="00AE1A15">
        <w:rPr>
          <w:rFonts w:asciiTheme="minorHAnsi" w:eastAsiaTheme="minorHAnsi" w:hAnsiTheme="minorHAnsi" w:cstheme="minorBidi"/>
          <w:iCs w:val="0"/>
          <w:color w:val="auto"/>
          <w:sz w:val="22"/>
        </w:rPr>
        <w:fldChar w:fldCharType="begin"/>
      </w:r>
      <w:r w:rsidRPr="00AE1A15">
        <w:rPr>
          <w:rFonts w:asciiTheme="minorHAnsi" w:eastAsiaTheme="minorHAnsi" w:hAnsiTheme="minorHAnsi" w:cstheme="minorBidi"/>
          <w:iCs w:val="0"/>
          <w:color w:val="auto"/>
          <w:sz w:val="22"/>
        </w:rPr>
        <w:instrText xml:space="preserve"> SEQ Член \* ARABIC </w:instrText>
      </w:r>
      <w:r w:rsidRPr="00AE1A15">
        <w:rPr>
          <w:rFonts w:asciiTheme="minorHAnsi" w:eastAsiaTheme="minorHAnsi" w:hAnsiTheme="minorHAnsi" w:cstheme="minorBidi"/>
          <w:iCs w:val="0"/>
          <w:color w:val="auto"/>
          <w:sz w:val="22"/>
        </w:rPr>
        <w:fldChar w:fldCharType="separate"/>
      </w:r>
      <w:r w:rsidRPr="00AE1A15">
        <w:rPr>
          <w:rFonts w:asciiTheme="minorHAnsi" w:eastAsiaTheme="minorHAnsi" w:hAnsiTheme="minorHAnsi" w:cstheme="minorBidi"/>
          <w:iCs w:val="0"/>
          <w:color w:val="auto"/>
          <w:sz w:val="22"/>
        </w:rPr>
        <w:t>168</w:t>
      </w:r>
      <w:bookmarkEnd w:id="21"/>
      <w:r w:rsidRPr="00AE1A15">
        <w:rPr>
          <w:rFonts w:asciiTheme="minorHAnsi" w:eastAsiaTheme="minorHAnsi" w:hAnsiTheme="minorHAnsi" w:cstheme="minorBidi"/>
          <w:iCs w:val="0"/>
          <w:color w:val="auto"/>
          <w:sz w:val="22"/>
        </w:rPr>
        <w:fldChar w:fldCharType="end"/>
      </w:r>
      <w:r w:rsidRPr="00AE1A15">
        <w:rPr>
          <w:rFonts w:asciiTheme="minorHAnsi" w:eastAsiaTheme="minorHAnsi" w:hAnsiTheme="minorHAnsi" w:cstheme="minorBidi"/>
          <w:iCs w:val="0"/>
          <w:color w:val="auto"/>
          <w:sz w:val="22"/>
        </w:rPr>
        <w:t xml:space="preserve"> </w:t>
      </w:r>
      <w:bookmarkStart w:id="22" w:name="_Toc498721442"/>
      <w:r w:rsidRPr="00AE1A15">
        <w:rPr>
          <w:rFonts w:asciiTheme="minorHAnsi" w:eastAsiaTheme="minorHAnsi" w:hAnsiTheme="minorHAnsi" w:cstheme="minorBidi"/>
          <w:iCs w:val="0"/>
          <w:color w:val="auto"/>
          <w:sz w:val="22"/>
        </w:rPr>
        <w:t xml:space="preserve">     Стратегија за обновливи извори на енергија</w:t>
      </w:r>
      <w:bookmarkEnd w:id="22"/>
    </w:p>
    <w:p w:rsidR="00DC70E4" w:rsidRPr="00AE1A15" w:rsidRDefault="00AE1A15" w:rsidP="00AE1A15">
      <w:pPr>
        <w:pStyle w:val="ListParagraph"/>
        <w:numPr>
          <w:ilvl w:val="0"/>
          <w:numId w:val="9"/>
        </w:numPr>
        <w:rPr>
          <w:color w:val="0070C0"/>
          <w:sz w:val="20"/>
          <w:szCs w:val="20"/>
        </w:rPr>
      </w:pPr>
      <w:r w:rsidRPr="006C19B9">
        <w:t>Владата, на предло</w:t>
      </w:r>
      <w:r>
        <w:t xml:space="preserve">г на Министерството, на </w:t>
      </w:r>
      <w:r w:rsidRPr="00AE1A15">
        <w:rPr>
          <w:b/>
          <w:highlight w:val="yellow"/>
        </w:rPr>
        <w:t>секои пет години</w:t>
      </w:r>
      <w:r w:rsidRPr="006C19B9">
        <w:t xml:space="preserve"> донесува Стратегија за обновливи извори на енергија која се однесува </w:t>
      </w:r>
      <w:r w:rsidRPr="00AE1A15">
        <w:rPr>
          <w:u w:val="single"/>
        </w:rPr>
        <w:t>за период од наредните 20 години</w:t>
      </w:r>
      <w:r w:rsidRPr="006C19B9">
        <w:t>.</w:t>
      </w:r>
    </w:p>
    <w:p w:rsidR="00AE1A15" w:rsidRPr="00AE1A15" w:rsidRDefault="00AE1A15" w:rsidP="00AE1A15">
      <w:pPr>
        <w:pStyle w:val="Style1"/>
        <w:rPr>
          <w:rFonts w:asciiTheme="minorHAnsi" w:eastAsiaTheme="minorHAnsi" w:hAnsiTheme="minorHAnsi" w:cstheme="minorBidi"/>
          <w:iCs w:val="0"/>
          <w:color w:val="auto"/>
          <w:sz w:val="22"/>
        </w:rPr>
      </w:pPr>
      <w:bookmarkStart w:id="23" w:name="_Toc499072012"/>
      <w:bookmarkStart w:id="24" w:name="_Ref499180136"/>
      <w:r w:rsidRPr="00AE1A15">
        <w:rPr>
          <w:rFonts w:asciiTheme="minorHAnsi" w:eastAsiaTheme="minorHAnsi" w:hAnsiTheme="minorHAnsi" w:cstheme="minorBidi"/>
          <w:iCs w:val="0"/>
          <w:color w:val="auto"/>
          <w:sz w:val="22"/>
        </w:rPr>
        <w:t xml:space="preserve">Член </w:t>
      </w:r>
      <w:r w:rsidRPr="00AE1A15">
        <w:rPr>
          <w:rFonts w:asciiTheme="minorHAnsi" w:eastAsiaTheme="minorHAnsi" w:hAnsiTheme="minorHAnsi" w:cstheme="minorBidi"/>
          <w:iCs w:val="0"/>
          <w:color w:val="auto"/>
          <w:sz w:val="22"/>
        </w:rPr>
        <w:fldChar w:fldCharType="begin"/>
      </w:r>
      <w:r w:rsidRPr="00AE1A15">
        <w:rPr>
          <w:rFonts w:asciiTheme="minorHAnsi" w:eastAsiaTheme="minorHAnsi" w:hAnsiTheme="minorHAnsi" w:cstheme="minorBidi"/>
          <w:iCs w:val="0"/>
          <w:color w:val="auto"/>
          <w:sz w:val="22"/>
        </w:rPr>
        <w:instrText xml:space="preserve"> SEQ Член \* ARABIC </w:instrText>
      </w:r>
      <w:r w:rsidRPr="00AE1A15">
        <w:rPr>
          <w:rFonts w:asciiTheme="minorHAnsi" w:eastAsiaTheme="minorHAnsi" w:hAnsiTheme="minorHAnsi" w:cstheme="minorBidi"/>
          <w:iCs w:val="0"/>
          <w:color w:val="auto"/>
          <w:sz w:val="22"/>
        </w:rPr>
        <w:fldChar w:fldCharType="separate"/>
      </w:r>
      <w:r w:rsidRPr="00AE1A15">
        <w:rPr>
          <w:rFonts w:asciiTheme="minorHAnsi" w:eastAsiaTheme="minorHAnsi" w:hAnsiTheme="minorHAnsi" w:cstheme="minorBidi"/>
          <w:iCs w:val="0"/>
          <w:color w:val="auto"/>
          <w:sz w:val="22"/>
        </w:rPr>
        <w:t>169</w:t>
      </w:r>
      <w:bookmarkEnd w:id="23"/>
      <w:r w:rsidRPr="00AE1A15">
        <w:rPr>
          <w:rFonts w:asciiTheme="minorHAnsi" w:eastAsiaTheme="minorHAnsi" w:hAnsiTheme="minorHAnsi" w:cstheme="minorBidi"/>
          <w:iCs w:val="0"/>
          <w:color w:val="auto"/>
          <w:sz w:val="22"/>
        </w:rPr>
        <w:fldChar w:fldCharType="end"/>
      </w:r>
      <w:bookmarkEnd w:id="24"/>
      <w:r w:rsidRPr="00AE1A15">
        <w:rPr>
          <w:rFonts w:asciiTheme="minorHAnsi" w:eastAsiaTheme="minorHAnsi" w:hAnsiTheme="minorHAnsi" w:cstheme="minorBidi"/>
          <w:iCs w:val="0"/>
          <w:color w:val="auto"/>
          <w:sz w:val="22"/>
        </w:rPr>
        <w:t xml:space="preserve">  Акциски план за обновливи извори</w:t>
      </w:r>
    </w:p>
    <w:p w:rsidR="00031AF5" w:rsidRPr="002A4E52" w:rsidRDefault="00031AF5" w:rsidP="00031AF5">
      <w:pPr>
        <w:pStyle w:val="Stavovi"/>
        <w:spacing w:after="0"/>
        <w:jc w:val="left"/>
        <w:rPr>
          <w:highlight w:val="yellow"/>
        </w:rPr>
      </w:pPr>
      <w:r w:rsidRPr="00031AF5">
        <w:t>(1</w:t>
      </w:r>
      <w:r>
        <w:t xml:space="preserve">) </w:t>
      </w:r>
      <w:r w:rsidRPr="00031AF5">
        <w:t xml:space="preserve">Заради реализација на Стратегијата за обновливите извори на енергија, Владата, на предлог на Министерството, донесува Акциски план за обновливи извори на енергија за период од </w:t>
      </w:r>
      <w:r w:rsidRPr="00031AF5">
        <w:rPr>
          <w:b/>
          <w:highlight w:val="yellow"/>
        </w:rPr>
        <w:t>10 години</w:t>
      </w:r>
      <w:r w:rsidRPr="00031AF5">
        <w:rPr>
          <w:b/>
        </w:rPr>
        <w:t>.</w:t>
      </w:r>
    </w:p>
    <w:p w:rsidR="00DC70E4" w:rsidRDefault="00031AF5" w:rsidP="00B83970">
      <w:pPr>
        <w:rPr>
          <w:color w:val="FF0000"/>
        </w:rPr>
      </w:pPr>
      <w:r w:rsidRPr="00613E33">
        <w:rPr>
          <w:b/>
          <w:color w:val="FF0000"/>
          <w:u w:val="single"/>
        </w:rPr>
        <w:t>Предлог:</w:t>
      </w:r>
      <w:r>
        <w:rPr>
          <w:b/>
          <w:color w:val="FF0000"/>
          <w:u w:val="single"/>
        </w:rPr>
        <w:t xml:space="preserve"> </w:t>
      </w:r>
      <w:r w:rsidRPr="00261EE3">
        <w:rPr>
          <w:color w:val="FF0000"/>
        </w:rPr>
        <w:t xml:space="preserve"> </w:t>
      </w:r>
      <w:r>
        <w:rPr>
          <w:color w:val="FF0000"/>
        </w:rPr>
        <w:t>Да се усогласат роковите за изработка на Стратегијата со Акцискиот план.</w:t>
      </w:r>
    </w:p>
    <w:p w:rsidR="00031AF5" w:rsidRPr="00031AF5" w:rsidRDefault="00031AF5" w:rsidP="00031AF5">
      <w:pPr>
        <w:shd w:val="clear" w:color="auto" w:fill="D9E2F3" w:themeFill="accent5" w:themeFillTint="33"/>
        <w:rPr>
          <w:color w:val="FF0000"/>
        </w:rPr>
      </w:pPr>
      <w:r w:rsidRPr="00740A51">
        <w:rPr>
          <w:b/>
          <w:color w:val="0070C0"/>
          <w:sz w:val="20"/>
          <w:szCs w:val="20"/>
        </w:rPr>
        <w:t>Образложение:</w:t>
      </w:r>
      <w:r>
        <w:rPr>
          <w:b/>
          <w:color w:val="0070C0"/>
          <w:sz w:val="20"/>
          <w:szCs w:val="20"/>
        </w:rPr>
        <w:t xml:space="preserve">  </w:t>
      </w:r>
      <w:r w:rsidRPr="00031AF5">
        <w:rPr>
          <w:color w:val="0070C0"/>
          <w:sz w:val="20"/>
          <w:szCs w:val="20"/>
        </w:rPr>
        <w:t>Не е природно рокот за изработка на нов Акциски план да е подолг од рокот за изработка на Стратегијата</w:t>
      </w:r>
    </w:p>
    <w:p w:rsidR="000A63A9" w:rsidRPr="000A63A9" w:rsidRDefault="000A63A9" w:rsidP="000A63A9">
      <w:pPr>
        <w:pStyle w:val="Style1"/>
        <w:rPr>
          <w:rFonts w:asciiTheme="minorHAnsi" w:eastAsiaTheme="minorHAnsi" w:hAnsiTheme="minorHAnsi" w:cstheme="minorBidi"/>
          <w:iCs w:val="0"/>
          <w:color w:val="auto"/>
          <w:sz w:val="22"/>
        </w:rPr>
      </w:pPr>
      <w:bookmarkStart w:id="25" w:name="_Toc499072039"/>
      <w:bookmarkStart w:id="26" w:name="_Ref499182286"/>
      <w:r w:rsidRPr="000A63A9">
        <w:rPr>
          <w:rFonts w:asciiTheme="minorHAnsi" w:eastAsiaTheme="minorHAnsi" w:hAnsiTheme="minorHAnsi" w:cstheme="minorBidi"/>
          <w:iCs w:val="0"/>
          <w:color w:val="auto"/>
          <w:sz w:val="22"/>
        </w:rPr>
        <w:t xml:space="preserve">Член </w:t>
      </w:r>
      <w:r w:rsidRPr="000A63A9">
        <w:rPr>
          <w:rFonts w:asciiTheme="minorHAnsi" w:eastAsiaTheme="minorHAnsi" w:hAnsiTheme="minorHAnsi" w:cstheme="minorBidi"/>
          <w:iCs w:val="0"/>
          <w:color w:val="auto"/>
          <w:sz w:val="22"/>
        </w:rPr>
        <w:fldChar w:fldCharType="begin"/>
      </w:r>
      <w:r w:rsidRPr="000A63A9">
        <w:rPr>
          <w:rFonts w:asciiTheme="minorHAnsi" w:eastAsiaTheme="minorHAnsi" w:hAnsiTheme="minorHAnsi" w:cstheme="minorBidi"/>
          <w:iCs w:val="0"/>
          <w:color w:val="auto"/>
          <w:sz w:val="22"/>
        </w:rPr>
        <w:instrText xml:space="preserve"> SEQ Член \* ARABIC </w:instrText>
      </w:r>
      <w:r w:rsidRPr="000A63A9">
        <w:rPr>
          <w:rFonts w:asciiTheme="minorHAnsi" w:eastAsiaTheme="minorHAnsi" w:hAnsiTheme="minorHAnsi" w:cstheme="minorBidi"/>
          <w:iCs w:val="0"/>
          <w:color w:val="auto"/>
          <w:sz w:val="22"/>
        </w:rPr>
        <w:fldChar w:fldCharType="separate"/>
      </w:r>
      <w:r w:rsidRPr="000A63A9">
        <w:rPr>
          <w:rFonts w:asciiTheme="minorHAnsi" w:eastAsiaTheme="minorHAnsi" w:hAnsiTheme="minorHAnsi" w:cstheme="minorBidi"/>
          <w:iCs w:val="0"/>
          <w:color w:val="auto"/>
          <w:sz w:val="22"/>
        </w:rPr>
        <w:t>196</w:t>
      </w:r>
      <w:bookmarkEnd w:id="25"/>
      <w:r w:rsidRPr="000A63A9">
        <w:rPr>
          <w:rFonts w:asciiTheme="minorHAnsi" w:eastAsiaTheme="minorHAnsi" w:hAnsiTheme="minorHAnsi" w:cstheme="minorBidi"/>
          <w:iCs w:val="0"/>
          <w:color w:val="auto"/>
          <w:sz w:val="22"/>
        </w:rPr>
        <w:fldChar w:fldCharType="end"/>
      </w:r>
      <w:bookmarkEnd w:id="26"/>
      <w:r w:rsidRPr="000A63A9">
        <w:rPr>
          <w:rFonts w:asciiTheme="minorHAnsi" w:eastAsiaTheme="minorHAnsi" w:hAnsiTheme="minorHAnsi" w:cstheme="minorBidi"/>
          <w:iCs w:val="0"/>
          <w:color w:val="auto"/>
          <w:sz w:val="22"/>
        </w:rPr>
        <w:tab/>
      </w:r>
      <w:bookmarkStart w:id="27" w:name="_Toc498721465"/>
      <w:r w:rsidRPr="000A63A9">
        <w:rPr>
          <w:rFonts w:asciiTheme="minorHAnsi" w:eastAsiaTheme="minorHAnsi" w:hAnsiTheme="minorHAnsi" w:cstheme="minorBidi"/>
          <w:iCs w:val="0"/>
          <w:color w:val="auto"/>
          <w:sz w:val="22"/>
        </w:rPr>
        <w:t>ПОСЕБНИ ОДРЕДБИ</w:t>
      </w:r>
      <w:bookmarkEnd w:id="27"/>
    </w:p>
    <w:p w:rsidR="00031AF5" w:rsidRDefault="000A63A9" w:rsidP="00B83970">
      <w:pPr>
        <w:rPr>
          <w:color w:val="FF0000"/>
        </w:rPr>
      </w:pPr>
      <w:r>
        <w:t xml:space="preserve">19)   </w:t>
      </w:r>
      <w:r w:rsidRPr="002A4E52">
        <w:t xml:space="preserve">ракување со уредите </w:t>
      </w:r>
      <w:r w:rsidRPr="000A63A9">
        <w:rPr>
          <w:highlight w:val="yellow"/>
        </w:rPr>
        <w:t>за сушење на топлотниот ефект</w:t>
      </w:r>
      <w:r w:rsidRPr="002A4E52">
        <w:t>:</w:t>
      </w:r>
      <w:r>
        <w:t xml:space="preserve">  </w:t>
      </w:r>
      <w:r w:rsidRPr="000A63A9">
        <w:rPr>
          <w:color w:val="FF0000"/>
        </w:rPr>
        <w:t>???</w:t>
      </w:r>
    </w:p>
    <w:p w:rsidR="007E35AF" w:rsidRDefault="000A63A9" w:rsidP="007E35AF">
      <w:pPr>
        <w:rPr>
          <w:color w:val="FF0000"/>
        </w:rPr>
      </w:pPr>
      <w:r w:rsidRPr="00613E33">
        <w:rPr>
          <w:b/>
          <w:color w:val="FF0000"/>
          <w:u w:val="single"/>
        </w:rPr>
        <w:t>Предлог:</w:t>
      </w:r>
      <w:r>
        <w:rPr>
          <w:b/>
          <w:color w:val="FF0000"/>
          <w:u w:val="single"/>
        </w:rPr>
        <w:t xml:space="preserve"> </w:t>
      </w:r>
      <w:r w:rsidRPr="00261EE3">
        <w:rPr>
          <w:color w:val="FF0000"/>
        </w:rPr>
        <w:t xml:space="preserve"> </w:t>
      </w:r>
      <w:r>
        <w:rPr>
          <w:color w:val="FF0000"/>
        </w:rPr>
        <w:t xml:space="preserve"> Да се корегира смислата на оваа реченица!</w:t>
      </w:r>
    </w:p>
    <w:p w:rsidR="007E35AF" w:rsidRPr="007E35AF" w:rsidRDefault="007E35AF" w:rsidP="007E35AF">
      <w:pPr>
        <w:rPr>
          <w:b/>
        </w:rPr>
      </w:pPr>
    </w:p>
    <w:p w:rsidR="007E35AF" w:rsidRPr="007E35AF" w:rsidRDefault="007E35AF" w:rsidP="007E35AF">
      <w:pPr>
        <w:rPr>
          <w:b/>
        </w:rPr>
      </w:pPr>
      <w:r w:rsidRPr="007E35AF">
        <w:rPr>
          <w:b/>
        </w:rPr>
        <w:t>Член</w:t>
      </w:r>
      <w:r w:rsidRPr="007E35AF">
        <w:rPr>
          <w:b/>
        </w:rPr>
        <w:t xml:space="preserve"> </w:t>
      </w:r>
      <w:r w:rsidRPr="007E35AF">
        <w:rPr>
          <w:b/>
        </w:rPr>
        <w:t xml:space="preserve"> </w:t>
      </w:r>
      <w:r w:rsidRPr="007E35AF">
        <w:rPr>
          <w:b/>
        </w:rPr>
        <w:fldChar w:fldCharType="begin"/>
      </w:r>
      <w:r w:rsidRPr="007E35AF">
        <w:rPr>
          <w:b/>
        </w:rPr>
        <w:instrText xml:space="preserve"> SEQ Член \* ARABIC </w:instrText>
      </w:r>
      <w:r w:rsidRPr="007E35AF">
        <w:rPr>
          <w:b/>
        </w:rPr>
        <w:fldChar w:fldCharType="separate"/>
      </w:r>
      <w:r w:rsidRPr="007E35AF">
        <w:rPr>
          <w:b/>
        </w:rPr>
        <w:t>237</w:t>
      </w:r>
      <w:r w:rsidRPr="007E35AF">
        <w:rPr>
          <w:b/>
        </w:rPr>
        <w:fldChar w:fldCharType="end"/>
      </w:r>
      <w:r w:rsidRPr="007E35AF">
        <w:rPr>
          <w:b/>
        </w:rPr>
        <w:t xml:space="preserve">      </w:t>
      </w:r>
      <w:r w:rsidRPr="007E35AF">
        <w:rPr>
          <w:b/>
        </w:rPr>
        <w:t>Енергетска ефикасност</w:t>
      </w:r>
    </w:p>
    <w:p w:rsidR="00590211" w:rsidRDefault="007E35AF" w:rsidP="00590211">
      <w:pPr>
        <w:rPr>
          <w:b/>
          <w:lang w:val="en-US"/>
        </w:rPr>
      </w:pPr>
      <w:r w:rsidRPr="007E35AF">
        <w:rPr>
          <w:b/>
        </w:rPr>
        <w:t xml:space="preserve"> Сл. Весник на Р. Македонија, бр.33 од 05.03.2015 година</w:t>
      </w:r>
      <w:r w:rsidR="00590211">
        <w:rPr>
          <w:b/>
          <w:lang w:val="en-US"/>
        </w:rPr>
        <w:t xml:space="preserve">       </w:t>
      </w:r>
    </w:p>
    <w:p w:rsidR="00590211" w:rsidRPr="00590211" w:rsidRDefault="00590211" w:rsidP="00590211">
      <w:pPr>
        <w:rPr>
          <w:b/>
        </w:rPr>
      </w:pPr>
      <w:r>
        <w:rPr>
          <w:b/>
          <w:bCs/>
        </w:rPr>
        <w:t>Член 1</w:t>
      </w:r>
    </w:p>
    <w:p w:rsidR="00590211" w:rsidRDefault="00590211" w:rsidP="00590211">
      <w:r>
        <w:t xml:space="preserve"> Во Законот за енергетика („Службен весник на Република Македонија’’ брoj 16/11, 136/11, 79/13, 164/13, 41/14 и 151/14), </w:t>
      </w:r>
      <w:r w:rsidRPr="00590211">
        <w:rPr>
          <w:highlight w:val="yellow"/>
        </w:rPr>
        <w:t>во членот 134 став (2) точка 3) се брише.</w:t>
      </w:r>
    </w:p>
    <w:p w:rsidR="00590211" w:rsidRDefault="00590211" w:rsidP="007E35AF">
      <w:pPr>
        <w:pStyle w:val="Default"/>
        <w:rPr>
          <w:color w:val="FF0000"/>
        </w:rPr>
      </w:pPr>
      <w:r w:rsidRPr="00590211">
        <w:rPr>
          <w:rFonts w:asciiTheme="minorHAnsi" w:hAnsiTheme="minorHAnsi" w:cstheme="minorBidi"/>
          <w:b/>
          <w:color w:val="FF0000"/>
          <w:sz w:val="22"/>
          <w:szCs w:val="22"/>
          <w:u w:val="single"/>
        </w:rPr>
        <w:t>Предлог:</w:t>
      </w:r>
      <w:r>
        <w:rPr>
          <w:b/>
          <w:color w:val="FF0000"/>
          <w:u w:val="single"/>
        </w:rPr>
        <w:t xml:space="preserve"> </w:t>
      </w:r>
      <w:r w:rsidRPr="00261EE3">
        <w:rPr>
          <w:color w:val="FF0000"/>
        </w:rPr>
        <w:t xml:space="preserve"> </w:t>
      </w:r>
      <w:r>
        <w:rPr>
          <w:color w:val="FF0000"/>
        </w:rPr>
        <w:t xml:space="preserve"> </w:t>
      </w:r>
      <w:r w:rsidRPr="00590211">
        <w:rPr>
          <w:rFonts w:asciiTheme="minorHAnsi" w:hAnsiTheme="minorHAnsi" w:cstheme="minorBidi"/>
          <w:color w:val="FF0000"/>
          <w:sz w:val="22"/>
          <w:szCs w:val="22"/>
        </w:rPr>
        <w:t>Да отпадне последниот дел од овој став</w:t>
      </w:r>
      <w:r>
        <w:rPr>
          <w:color w:val="FF0000"/>
        </w:rPr>
        <w:t xml:space="preserve"> </w:t>
      </w:r>
    </w:p>
    <w:p w:rsidR="007E35AF" w:rsidRPr="00590211" w:rsidRDefault="007E35AF" w:rsidP="00590211">
      <w:pPr>
        <w:rPr>
          <w:b/>
          <w:bCs/>
        </w:rPr>
      </w:pPr>
      <w:r w:rsidRPr="00590211">
        <w:rPr>
          <w:b/>
          <w:bCs/>
        </w:rPr>
        <w:t xml:space="preserve">Член 3 </w:t>
      </w:r>
    </w:p>
    <w:p w:rsidR="007E35AF" w:rsidRPr="007E35AF" w:rsidRDefault="007E35AF" w:rsidP="007E35AF">
      <w:pPr>
        <w:pStyle w:val="Default"/>
        <w:rPr>
          <w:rFonts w:asciiTheme="minorHAnsi" w:hAnsiTheme="minorHAnsi" w:cstheme="minorHAnsi"/>
          <w:sz w:val="22"/>
          <w:szCs w:val="22"/>
        </w:rPr>
      </w:pPr>
      <w:r w:rsidRPr="007E35AF">
        <w:rPr>
          <w:rFonts w:asciiTheme="minorHAnsi" w:hAnsiTheme="minorHAnsi" w:cstheme="minorHAnsi"/>
          <w:sz w:val="22"/>
          <w:szCs w:val="22"/>
        </w:rPr>
        <w:t xml:space="preserve">Одредбите од член </w:t>
      </w:r>
      <w:r w:rsidRPr="00940E36">
        <w:rPr>
          <w:rFonts w:asciiTheme="minorHAnsi" w:hAnsiTheme="minorHAnsi" w:cstheme="minorHAnsi"/>
          <w:b/>
          <w:sz w:val="22"/>
          <w:szCs w:val="22"/>
          <w:highlight w:val="yellow"/>
        </w:rPr>
        <w:t>134 став (2) точка 4 и став (7</w:t>
      </w:r>
      <w:r w:rsidRPr="00590211">
        <w:rPr>
          <w:rFonts w:asciiTheme="minorHAnsi" w:hAnsiTheme="minorHAnsi" w:cstheme="minorHAnsi"/>
          <w:b/>
          <w:sz w:val="22"/>
          <w:szCs w:val="22"/>
        </w:rPr>
        <w:t>)</w:t>
      </w:r>
      <w:r w:rsidRPr="007E35AF">
        <w:rPr>
          <w:rFonts w:asciiTheme="minorHAnsi" w:hAnsiTheme="minorHAnsi" w:cstheme="minorHAnsi"/>
          <w:sz w:val="22"/>
          <w:szCs w:val="22"/>
        </w:rPr>
        <w:t xml:space="preserve"> за зградите или градежните единица кои се изградени до денот на влегување во сила на овој закон обврската за обезбедување на сертификат за енергетски карактеристики на зграда ќе отпочнат да се применуваат со денот на пристапување на Република Македонија во Европската унија. </w:t>
      </w:r>
    </w:p>
    <w:p w:rsidR="007E35AF" w:rsidRPr="007E35AF" w:rsidRDefault="007E35AF" w:rsidP="007E35AF">
      <w:pPr>
        <w:pStyle w:val="Default"/>
        <w:rPr>
          <w:rFonts w:asciiTheme="minorHAnsi" w:hAnsiTheme="minorHAnsi" w:cstheme="minorHAnsi"/>
          <w:sz w:val="22"/>
          <w:szCs w:val="22"/>
        </w:rPr>
      </w:pPr>
      <w:r w:rsidRPr="007E35AF">
        <w:rPr>
          <w:rFonts w:asciiTheme="minorHAnsi" w:hAnsiTheme="minorHAnsi" w:cstheme="minorHAnsi"/>
          <w:sz w:val="22"/>
          <w:szCs w:val="22"/>
        </w:rPr>
        <w:t xml:space="preserve">Одредбите од член 134 став (4) ќе отпочнат да се применуваат со денот на пристапување на Република Македонија во Европската унија. </w:t>
      </w:r>
    </w:p>
    <w:p w:rsidR="007E35AF" w:rsidRPr="00590211" w:rsidRDefault="007E35AF" w:rsidP="00590211">
      <w:pPr>
        <w:rPr>
          <w:b/>
          <w:bCs/>
        </w:rPr>
      </w:pPr>
      <w:r w:rsidRPr="00590211">
        <w:rPr>
          <w:b/>
          <w:bCs/>
        </w:rPr>
        <w:t xml:space="preserve">Член 4 </w:t>
      </w:r>
    </w:p>
    <w:p w:rsidR="007E35AF" w:rsidRPr="00590211" w:rsidRDefault="007E35AF" w:rsidP="007E35AF">
      <w:pPr>
        <w:pStyle w:val="Caption"/>
        <w:rPr>
          <w:rFonts w:cstheme="minorHAnsi"/>
          <w:i w:val="0"/>
          <w:iCs w:val="0"/>
          <w:color w:val="000000"/>
          <w:sz w:val="22"/>
          <w:szCs w:val="22"/>
        </w:rPr>
      </w:pPr>
      <w:r w:rsidRPr="00590211">
        <w:rPr>
          <w:rFonts w:cstheme="minorHAnsi"/>
          <w:i w:val="0"/>
          <w:iCs w:val="0"/>
          <w:color w:val="000000"/>
          <w:sz w:val="22"/>
          <w:szCs w:val="22"/>
        </w:rPr>
        <w:t xml:space="preserve">Одредбите од </w:t>
      </w:r>
      <w:r w:rsidRPr="00940E36">
        <w:rPr>
          <w:rFonts w:cstheme="minorHAnsi"/>
          <w:b/>
          <w:i w:val="0"/>
          <w:iCs w:val="0"/>
          <w:color w:val="000000"/>
          <w:sz w:val="22"/>
          <w:szCs w:val="22"/>
          <w:highlight w:val="yellow"/>
        </w:rPr>
        <w:t>член 136 ставови (5) и (7</w:t>
      </w:r>
      <w:r w:rsidRPr="00940E36">
        <w:rPr>
          <w:rFonts w:cstheme="minorHAnsi"/>
          <w:i w:val="0"/>
          <w:iCs w:val="0"/>
          <w:color w:val="000000"/>
          <w:sz w:val="22"/>
          <w:szCs w:val="22"/>
          <w:highlight w:val="yellow"/>
        </w:rPr>
        <w:t>)</w:t>
      </w:r>
      <w:r w:rsidRPr="00590211">
        <w:rPr>
          <w:rFonts w:cstheme="minorHAnsi"/>
          <w:i w:val="0"/>
          <w:iCs w:val="0"/>
          <w:color w:val="000000"/>
          <w:sz w:val="22"/>
          <w:szCs w:val="22"/>
        </w:rPr>
        <w:t xml:space="preserve"> за зградите или градежните единица кои се изградени до денот на влегување во сила на овој закон обврската за обезбедување на сертификат за енергетски карактеристики на зграда ќе отпочнат да се применуваат со денот на пристапување на Република Македонија во Европската унија.</w:t>
      </w:r>
      <w:bookmarkStart w:id="28" w:name="_GoBack"/>
      <w:bookmarkEnd w:id="28"/>
    </w:p>
    <w:p w:rsidR="00590211" w:rsidRDefault="00590211" w:rsidP="00590211">
      <w:pPr>
        <w:pStyle w:val="Default"/>
        <w:rPr>
          <w:color w:val="FF0000"/>
        </w:rPr>
      </w:pPr>
      <w:r w:rsidRPr="00590211">
        <w:rPr>
          <w:rFonts w:asciiTheme="minorHAnsi" w:hAnsiTheme="minorHAnsi" w:cstheme="minorBidi"/>
          <w:b/>
          <w:color w:val="FF0000"/>
          <w:sz w:val="22"/>
          <w:szCs w:val="22"/>
          <w:u w:val="single"/>
        </w:rPr>
        <w:lastRenderedPageBreak/>
        <w:t>Предлог:</w:t>
      </w:r>
      <w:r>
        <w:rPr>
          <w:b/>
          <w:color w:val="FF0000"/>
          <w:u w:val="single"/>
        </w:rPr>
        <w:t xml:space="preserve"> </w:t>
      </w:r>
      <w:r w:rsidRPr="00261EE3">
        <w:rPr>
          <w:color w:val="FF0000"/>
        </w:rPr>
        <w:t xml:space="preserve"> </w:t>
      </w:r>
      <w:r>
        <w:rPr>
          <w:color w:val="FF0000"/>
        </w:rPr>
        <w:t xml:space="preserve"> </w:t>
      </w:r>
      <w:r w:rsidRPr="00590211">
        <w:rPr>
          <w:rFonts w:asciiTheme="minorHAnsi" w:hAnsiTheme="minorHAnsi" w:cstheme="minorBidi"/>
          <w:color w:val="FF0000"/>
          <w:sz w:val="22"/>
          <w:szCs w:val="22"/>
        </w:rPr>
        <w:t xml:space="preserve">Да </w:t>
      </w:r>
      <w:r>
        <w:rPr>
          <w:rFonts w:asciiTheme="minorHAnsi" w:hAnsiTheme="minorHAnsi" w:cstheme="minorBidi"/>
          <w:color w:val="FF0000"/>
          <w:sz w:val="22"/>
          <w:szCs w:val="22"/>
        </w:rPr>
        <w:t>се избришат овие два члена од постоечкиот Закон за енергетика</w:t>
      </w:r>
      <w:r>
        <w:rPr>
          <w:color w:val="FF0000"/>
        </w:rPr>
        <w:t xml:space="preserve"> </w:t>
      </w:r>
    </w:p>
    <w:p w:rsidR="00590211" w:rsidRPr="00590211" w:rsidRDefault="00590211" w:rsidP="00590211">
      <w:pPr>
        <w:rPr>
          <w:highlight w:val="yellow"/>
        </w:rPr>
      </w:pPr>
    </w:p>
    <w:p w:rsidR="00031AF5" w:rsidRDefault="00590211" w:rsidP="00590211">
      <w:pPr>
        <w:shd w:val="clear" w:color="auto" w:fill="D9E2F3" w:themeFill="accent5" w:themeFillTint="33"/>
        <w:rPr>
          <w:rFonts w:cstheme="minorHAnsi"/>
          <w:i/>
          <w:iCs/>
          <w:color w:val="000000"/>
        </w:rPr>
      </w:pPr>
      <w:r w:rsidRPr="00740A51">
        <w:rPr>
          <w:b/>
          <w:color w:val="0070C0"/>
          <w:sz w:val="20"/>
          <w:szCs w:val="20"/>
        </w:rPr>
        <w:t>Образложение:</w:t>
      </w:r>
      <w:r>
        <w:rPr>
          <w:b/>
          <w:color w:val="0070C0"/>
          <w:sz w:val="20"/>
          <w:szCs w:val="20"/>
        </w:rPr>
        <w:t xml:space="preserve">  </w:t>
      </w:r>
      <w:r w:rsidRPr="00590211">
        <w:rPr>
          <w:color w:val="0070C0"/>
          <w:sz w:val="20"/>
          <w:szCs w:val="20"/>
        </w:rPr>
        <w:t xml:space="preserve">Во согласност со подготовката на овој Закон да биде усогласен цо одредбите на Европската заедница, и како што наведуваат високу функционери од власта, дека тие одредници се 50 години филтрирани одредбата  </w:t>
      </w:r>
      <w:r w:rsidRPr="00590211">
        <w:rPr>
          <w:i/>
          <w:color w:val="0070C0"/>
          <w:sz w:val="20"/>
          <w:szCs w:val="20"/>
        </w:rPr>
        <w:t>“</w:t>
      </w:r>
      <w:r w:rsidRPr="00590211">
        <w:rPr>
          <w:i/>
          <w:color w:val="0070C0"/>
          <w:sz w:val="20"/>
          <w:szCs w:val="20"/>
          <w:u w:val="single"/>
        </w:rPr>
        <w:t>ќе отпочнат да се применуваат со денот на пристапување на Република Македонија во Европската унија</w:t>
      </w:r>
      <w:r w:rsidRPr="00590211">
        <w:rPr>
          <w:i/>
          <w:color w:val="0070C0"/>
          <w:sz w:val="20"/>
          <w:szCs w:val="20"/>
        </w:rPr>
        <w:t>“</w:t>
      </w:r>
      <w:r w:rsidRPr="00590211">
        <w:rPr>
          <w:color w:val="0070C0"/>
          <w:sz w:val="20"/>
          <w:szCs w:val="20"/>
        </w:rPr>
        <w:t xml:space="preserve"> е СРАМНА и неприфатлива.</w:t>
      </w:r>
      <w:r>
        <w:rPr>
          <w:rFonts w:cstheme="minorHAnsi"/>
          <w:i/>
          <w:iCs/>
          <w:color w:val="000000"/>
        </w:rPr>
        <w:t xml:space="preserve"> </w:t>
      </w:r>
    </w:p>
    <w:p w:rsidR="00590211" w:rsidRDefault="00590211" w:rsidP="00590211">
      <w:pPr>
        <w:shd w:val="clear" w:color="auto" w:fill="D9E2F3" w:themeFill="accent5" w:themeFillTint="33"/>
        <w:rPr>
          <w:color w:val="0070C0"/>
          <w:sz w:val="20"/>
          <w:szCs w:val="20"/>
        </w:rPr>
      </w:pPr>
      <w:r w:rsidRPr="00590211">
        <w:rPr>
          <w:color w:val="0070C0"/>
          <w:sz w:val="20"/>
          <w:szCs w:val="20"/>
        </w:rPr>
        <w:t>Неприфатливо би било и објаснување дека тоа ќе се регулира со друг закон (на пример за Енергетска ефикасност). Се работи за ИТНО усогласување на нашата законска регулатива со ЕУ законодавството и обврските кон Енергетската заедница</w:t>
      </w:r>
      <w:r>
        <w:rPr>
          <w:color w:val="0070C0"/>
          <w:sz w:val="20"/>
          <w:szCs w:val="20"/>
        </w:rPr>
        <w:t>.</w:t>
      </w:r>
    </w:p>
    <w:p w:rsidR="00590211" w:rsidRPr="00590211" w:rsidRDefault="00590211" w:rsidP="00590211">
      <w:pPr>
        <w:shd w:val="clear" w:color="auto" w:fill="D9E2F3" w:themeFill="accent5" w:themeFillTint="33"/>
        <w:rPr>
          <w:color w:val="0070C0"/>
          <w:sz w:val="20"/>
          <w:szCs w:val="20"/>
        </w:rPr>
      </w:pPr>
      <w:r>
        <w:rPr>
          <w:color w:val="0070C0"/>
          <w:sz w:val="20"/>
          <w:szCs w:val="20"/>
        </w:rPr>
        <w:t>Во прилог ви доставувам мислењето на Енергетската заедница за овие одредби:</w:t>
      </w:r>
    </w:p>
    <w:p w:rsidR="00590211" w:rsidRPr="00590211" w:rsidRDefault="00590211" w:rsidP="00590211">
      <w:pPr>
        <w:rPr>
          <w:color w:val="FF0000"/>
        </w:rPr>
      </w:pPr>
      <w:r w:rsidRPr="00590211">
        <w:rPr>
          <w:color w:val="FF0000"/>
        </w:rPr>
        <w:t xml:space="preserve">Key provisions of Directive 2010/31/EU were incorporated in the Energy Law and the Rulebook on Energy Performance of Buildings. However, the amendments to the Energy Law of March 2015 resulted in non-compliance with the following articles of Directive 2010/31/EU: Article 11 (energy performance certificates), Article 12 (issuing of energy performance certificates), and Article 13 (display of energy performance certificates). Moreover, the implementation of its provisions with respect to existing buildings was postponed until former Yugoslav Republic of Macedonia accedes to the European Union. </w:t>
      </w:r>
      <w:r w:rsidRPr="00590211">
        <w:rPr>
          <w:b/>
          <w:color w:val="FF0000"/>
          <w:highlight w:val="yellow"/>
        </w:rPr>
        <w:t>This constitutes a clear breach of the country’s obligation to implement Directive 2010/30/EU.</w:t>
      </w:r>
    </w:p>
    <w:p w:rsidR="00031AF5" w:rsidRDefault="00590211" w:rsidP="00590211">
      <w:pPr>
        <w:rPr>
          <w:color w:val="FF0000"/>
        </w:rPr>
      </w:pPr>
      <w:r w:rsidRPr="00590211">
        <w:rPr>
          <w:color w:val="FF0000"/>
        </w:rPr>
        <w:t>https://www.energy-community.org/implementation/FYR_Macedonia/EE.html</w:t>
      </w:r>
    </w:p>
    <w:p w:rsidR="00031AF5" w:rsidRDefault="00031AF5" w:rsidP="00B83970">
      <w:pPr>
        <w:rPr>
          <w:color w:val="0070C0"/>
          <w:sz w:val="20"/>
          <w:szCs w:val="20"/>
        </w:rPr>
      </w:pPr>
    </w:p>
    <w:p w:rsidR="00DC70E4" w:rsidRPr="00B83970" w:rsidRDefault="00DC70E4" w:rsidP="00B83970">
      <w:pPr>
        <w:rPr>
          <w:color w:val="0070C0"/>
          <w:sz w:val="20"/>
          <w:szCs w:val="20"/>
        </w:rPr>
      </w:pPr>
    </w:p>
    <w:sectPr w:rsidR="00DC70E4" w:rsidRPr="00B839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tobiSerif Regular">
    <w:altName w:val="Calibri"/>
    <w:panose1 w:val="00000000000000000000"/>
    <w:charset w:val="00"/>
    <w:family w:val="modern"/>
    <w:notTrueType/>
    <w:pitch w:val="variable"/>
    <w:sig w:usb0="00000001" w:usb1="5000204B" w:usb2="00000000" w:usb3="00000000" w:csb0="000000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43A8"/>
    <w:multiLevelType w:val="hybridMultilevel"/>
    <w:tmpl w:val="DF508F20"/>
    <w:lvl w:ilvl="0" w:tplc="DEE45A0C">
      <w:start w:val="1"/>
      <w:numFmt w:val="decimal"/>
      <w:lvlText w:val="(%1)"/>
      <w:lvlJc w:val="left"/>
      <w:pPr>
        <w:ind w:left="401" w:hanging="360"/>
      </w:pPr>
      <w:rPr>
        <w:rFonts w:hint="default"/>
      </w:rPr>
    </w:lvl>
    <w:lvl w:ilvl="1" w:tplc="042F0019" w:tentative="1">
      <w:start w:val="1"/>
      <w:numFmt w:val="lowerLetter"/>
      <w:lvlText w:val="%2."/>
      <w:lvlJc w:val="left"/>
      <w:pPr>
        <w:ind w:left="1121" w:hanging="360"/>
      </w:pPr>
    </w:lvl>
    <w:lvl w:ilvl="2" w:tplc="042F001B" w:tentative="1">
      <w:start w:val="1"/>
      <w:numFmt w:val="lowerRoman"/>
      <w:lvlText w:val="%3."/>
      <w:lvlJc w:val="right"/>
      <w:pPr>
        <w:ind w:left="1841" w:hanging="180"/>
      </w:pPr>
    </w:lvl>
    <w:lvl w:ilvl="3" w:tplc="042F000F" w:tentative="1">
      <w:start w:val="1"/>
      <w:numFmt w:val="decimal"/>
      <w:lvlText w:val="%4."/>
      <w:lvlJc w:val="left"/>
      <w:pPr>
        <w:ind w:left="2561" w:hanging="360"/>
      </w:pPr>
    </w:lvl>
    <w:lvl w:ilvl="4" w:tplc="042F0019" w:tentative="1">
      <w:start w:val="1"/>
      <w:numFmt w:val="lowerLetter"/>
      <w:lvlText w:val="%5."/>
      <w:lvlJc w:val="left"/>
      <w:pPr>
        <w:ind w:left="3281" w:hanging="360"/>
      </w:pPr>
    </w:lvl>
    <w:lvl w:ilvl="5" w:tplc="042F001B" w:tentative="1">
      <w:start w:val="1"/>
      <w:numFmt w:val="lowerRoman"/>
      <w:lvlText w:val="%6."/>
      <w:lvlJc w:val="right"/>
      <w:pPr>
        <w:ind w:left="4001" w:hanging="180"/>
      </w:pPr>
    </w:lvl>
    <w:lvl w:ilvl="6" w:tplc="042F000F" w:tentative="1">
      <w:start w:val="1"/>
      <w:numFmt w:val="decimal"/>
      <w:lvlText w:val="%7."/>
      <w:lvlJc w:val="left"/>
      <w:pPr>
        <w:ind w:left="4721" w:hanging="360"/>
      </w:pPr>
    </w:lvl>
    <w:lvl w:ilvl="7" w:tplc="042F0019" w:tentative="1">
      <w:start w:val="1"/>
      <w:numFmt w:val="lowerLetter"/>
      <w:lvlText w:val="%8."/>
      <w:lvlJc w:val="left"/>
      <w:pPr>
        <w:ind w:left="5441" w:hanging="360"/>
      </w:pPr>
    </w:lvl>
    <w:lvl w:ilvl="8" w:tplc="042F001B" w:tentative="1">
      <w:start w:val="1"/>
      <w:numFmt w:val="lowerRoman"/>
      <w:lvlText w:val="%9."/>
      <w:lvlJc w:val="right"/>
      <w:pPr>
        <w:ind w:left="6161" w:hanging="180"/>
      </w:pPr>
    </w:lvl>
  </w:abstractNum>
  <w:abstractNum w:abstractNumId="1" w15:restartNumberingAfterBreak="0">
    <w:nsid w:val="0B9A5626"/>
    <w:multiLevelType w:val="hybridMultilevel"/>
    <w:tmpl w:val="E3525C76"/>
    <w:lvl w:ilvl="0" w:tplc="79DEBE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B2BD0"/>
    <w:multiLevelType w:val="hybridMultilevel"/>
    <w:tmpl w:val="3314F6C6"/>
    <w:lvl w:ilvl="0" w:tplc="CAA261AA">
      <w:start w:val="1"/>
      <w:numFmt w:val="decimal"/>
      <w:lvlText w:val="(%1)"/>
      <w:lvlJc w:val="left"/>
      <w:pPr>
        <w:ind w:left="502"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4405D8"/>
    <w:multiLevelType w:val="hybridMultilevel"/>
    <w:tmpl w:val="EFA2DECC"/>
    <w:lvl w:ilvl="0" w:tplc="0120A4C0">
      <w:start w:val="1"/>
      <w:numFmt w:val="decimal"/>
      <w:lvlText w:val="(%1)"/>
      <w:lvlJc w:val="left"/>
      <w:pPr>
        <w:ind w:left="810" w:hanging="360"/>
      </w:pPr>
      <w:rPr>
        <w:rFonts w:hint="default"/>
      </w:rPr>
    </w:lvl>
    <w:lvl w:ilvl="1" w:tplc="042F0019" w:tentative="1">
      <w:start w:val="1"/>
      <w:numFmt w:val="lowerLetter"/>
      <w:lvlText w:val="%2."/>
      <w:lvlJc w:val="left"/>
      <w:pPr>
        <w:ind w:left="1530" w:hanging="360"/>
      </w:pPr>
    </w:lvl>
    <w:lvl w:ilvl="2" w:tplc="042F001B" w:tentative="1">
      <w:start w:val="1"/>
      <w:numFmt w:val="lowerRoman"/>
      <w:lvlText w:val="%3."/>
      <w:lvlJc w:val="right"/>
      <w:pPr>
        <w:ind w:left="2250" w:hanging="180"/>
      </w:pPr>
    </w:lvl>
    <w:lvl w:ilvl="3" w:tplc="042F000F" w:tentative="1">
      <w:start w:val="1"/>
      <w:numFmt w:val="decimal"/>
      <w:lvlText w:val="%4."/>
      <w:lvlJc w:val="left"/>
      <w:pPr>
        <w:ind w:left="2970" w:hanging="360"/>
      </w:pPr>
    </w:lvl>
    <w:lvl w:ilvl="4" w:tplc="042F0019" w:tentative="1">
      <w:start w:val="1"/>
      <w:numFmt w:val="lowerLetter"/>
      <w:lvlText w:val="%5."/>
      <w:lvlJc w:val="left"/>
      <w:pPr>
        <w:ind w:left="3690" w:hanging="360"/>
      </w:pPr>
    </w:lvl>
    <w:lvl w:ilvl="5" w:tplc="042F001B" w:tentative="1">
      <w:start w:val="1"/>
      <w:numFmt w:val="lowerRoman"/>
      <w:lvlText w:val="%6."/>
      <w:lvlJc w:val="right"/>
      <w:pPr>
        <w:ind w:left="4410" w:hanging="180"/>
      </w:pPr>
    </w:lvl>
    <w:lvl w:ilvl="6" w:tplc="042F000F" w:tentative="1">
      <w:start w:val="1"/>
      <w:numFmt w:val="decimal"/>
      <w:lvlText w:val="%7."/>
      <w:lvlJc w:val="left"/>
      <w:pPr>
        <w:ind w:left="5130" w:hanging="360"/>
      </w:pPr>
    </w:lvl>
    <w:lvl w:ilvl="7" w:tplc="042F0019" w:tentative="1">
      <w:start w:val="1"/>
      <w:numFmt w:val="lowerLetter"/>
      <w:lvlText w:val="%8."/>
      <w:lvlJc w:val="left"/>
      <w:pPr>
        <w:ind w:left="5850" w:hanging="360"/>
      </w:pPr>
    </w:lvl>
    <w:lvl w:ilvl="8" w:tplc="042F001B" w:tentative="1">
      <w:start w:val="1"/>
      <w:numFmt w:val="lowerRoman"/>
      <w:lvlText w:val="%9."/>
      <w:lvlJc w:val="right"/>
      <w:pPr>
        <w:ind w:left="6570" w:hanging="180"/>
      </w:pPr>
    </w:lvl>
  </w:abstractNum>
  <w:abstractNum w:abstractNumId="4" w15:restartNumberingAfterBreak="0">
    <w:nsid w:val="1B1E7A80"/>
    <w:multiLevelType w:val="hybridMultilevel"/>
    <w:tmpl w:val="C0561CC2"/>
    <w:lvl w:ilvl="0" w:tplc="A74211D0">
      <w:start w:val="1"/>
      <w:numFmt w:val="decimal"/>
      <w:lvlText w:val="(%1)"/>
      <w:lvlJc w:val="left"/>
      <w:pPr>
        <w:ind w:left="360" w:hanging="360"/>
      </w:pPr>
      <w:rPr>
        <w:rFonts w:hint="default"/>
        <w:b w:val="0"/>
        <w:strike w:val="0"/>
        <w:d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73575D"/>
    <w:multiLevelType w:val="hybridMultilevel"/>
    <w:tmpl w:val="06147C20"/>
    <w:lvl w:ilvl="0" w:tplc="042F0011">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15:restartNumberingAfterBreak="0">
    <w:nsid w:val="32A225B5"/>
    <w:multiLevelType w:val="hybridMultilevel"/>
    <w:tmpl w:val="28A6EF9E"/>
    <w:lvl w:ilvl="0" w:tplc="CD048920">
      <w:start w:val="1"/>
      <w:numFmt w:val="decimal"/>
      <w:lvlText w:val="(%1)"/>
      <w:lvlJc w:val="left"/>
      <w:pPr>
        <w:ind w:left="450" w:hanging="360"/>
      </w:pPr>
      <w:rPr>
        <w:rFonts w:hint="default"/>
      </w:rPr>
    </w:lvl>
    <w:lvl w:ilvl="1" w:tplc="042F0019" w:tentative="1">
      <w:start w:val="1"/>
      <w:numFmt w:val="lowerLetter"/>
      <w:lvlText w:val="%2."/>
      <w:lvlJc w:val="left"/>
      <w:pPr>
        <w:ind w:left="1170" w:hanging="360"/>
      </w:pPr>
    </w:lvl>
    <w:lvl w:ilvl="2" w:tplc="042F001B" w:tentative="1">
      <w:start w:val="1"/>
      <w:numFmt w:val="lowerRoman"/>
      <w:lvlText w:val="%3."/>
      <w:lvlJc w:val="right"/>
      <w:pPr>
        <w:ind w:left="1890" w:hanging="180"/>
      </w:pPr>
    </w:lvl>
    <w:lvl w:ilvl="3" w:tplc="042F000F" w:tentative="1">
      <w:start w:val="1"/>
      <w:numFmt w:val="decimal"/>
      <w:lvlText w:val="%4."/>
      <w:lvlJc w:val="left"/>
      <w:pPr>
        <w:ind w:left="2610" w:hanging="360"/>
      </w:pPr>
    </w:lvl>
    <w:lvl w:ilvl="4" w:tplc="042F0019" w:tentative="1">
      <w:start w:val="1"/>
      <w:numFmt w:val="lowerLetter"/>
      <w:lvlText w:val="%5."/>
      <w:lvlJc w:val="left"/>
      <w:pPr>
        <w:ind w:left="3330" w:hanging="360"/>
      </w:pPr>
    </w:lvl>
    <w:lvl w:ilvl="5" w:tplc="042F001B" w:tentative="1">
      <w:start w:val="1"/>
      <w:numFmt w:val="lowerRoman"/>
      <w:lvlText w:val="%6."/>
      <w:lvlJc w:val="right"/>
      <w:pPr>
        <w:ind w:left="4050" w:hanging="180"/>
      </w:pPr>
    </w:lvl>
    <w:lvl w:ilvl="6" w:tplc="042F000F" w:tentative="1">
      <w:start w:val="1"/>
      <w:numFmt w:val="decimal"/>
      <w:lvlText w:val="%7."/>
      <w:lvlJc w:val="left"/>
      <w:pPr>
        <w:ind w:left="4770" w:hanging="360"/>
      </w:pPr>
    </w:lvl>
    <w:lvl w:ilvl="7" w:tplc="042F0019" w:tentative="1">
      <w:start w:val="1"/>
      <w:numFmt w:val="lowerLetter"/>
      <w:lvlText w:val="%8."/>
      <w:lvlJc w:val="left"/>
      <w:pPr>
        <w:ind w:left="5490" w:hanging="360"/>
      </w:pPr>
    </w:lvl>
    <w:lvl w:ilvl="8" w:tplc="042F001B" w:tentative="1">
      <w:start w:val="1"/>
      <w:numFmt w:val="lowerRoman"/>
      <w:lvlText w:val="%9."/>
      <w:lvlJc w:val="right"/>
      <w:pPr>
        <w:ind w:left="6210" w:hanging="180"/>
      </w:pPr>
    </w:lvl>
  </w:abstractNum>
  <w:abstractNum w:abstractNumId="7" w15:restartNumberingAfterBreak="0">
    <w:nsid w:val="684163C0"/>
    <w:multiLevelType w:val="hybridMultilevel"/>
    <w:tmpl w:val="74D0D836"/>
    <w:lvl w:ilvl="0" w:tplc="1D1AE06C">
      <w:start w:val="1"/>
      <w:numFmt w:val="decimal"/>
      <w:lvlText w:val="%1)"/>
      <w:lvlJc w:val="left"/>
      <w:pPr>
        <w:ind w:left="786" w:hanging="360"/>
      </w:pPr>
      <w:rPr>
        <w:rFonts w:hint="default"/>
        <w:b w:val="0"/>
        <w:strike w:val="0"/>
        <w:d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6169B2"/>
    <w:multiLevelType w:val="hybridMultilevel"/>
    <w:tmpl w:val="EE306DD8"/>
    <w:lvl w:ilvl="0" w:tplc="9B686FDC">
      <w:start w:val="1"/>
      <w:numFmt w:val="decimal"/>
      <w:lvlText w:val="(%1)"/>
      <w:lvlJc w:val="left"/>
      <w:pPr>
        <w:ind w:left="720" w:hanging="360"/>
      </w:pPr>
      <w:rPr>
        <w:rFonts w:hint="default"/>
        <w:color w:val="auto"/>
        <w:sz w:val="22"/>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15:restartNumberingAfterBreak="0">
    <w:nsid w:val="77E02950"/>
    <w:multiLevelType w:val="hybridMultilevel"/>
    <w:tmpl w:val="BE5672D2"/>
    <w:lvl w:ilvl="0" w:tplc="735035F8">
      <w:start w:val="1"/>
      <w:numFmt w:val="decimal"/>
      <w:lvlText w:val="(%1)"/>
      <w:lvlJc w:val="left"/>
      <w:pPr>
        <w:ind w:left="810" w:hanging="360"/>
      </w:pPr>
      <w:rPr>
        <w:rFonts w:hint="default"/>
      </w:rPr>
    </w:lvl>
    <w:lvl w:ilvl="1" w:tplc="042F0019" w:tentative="1">
      <w:start w:val="1"/>
      <w:numFmt w:val="lowerLetter"/>
      <w:lvlText w:val="%2."/>
      <w:lvlJc w:val="left"/>
      <w:pPr>
        <w:ind w:left="1530" w:hanging="360"/>
      </w:pPr>
    </w:lvl>
    <w:lvl w:ilvl="2" w:tplc="042F001B" w:tentative="1">
      <w:start w:val="1"/>
      <w:numFmt w:val="lowerRoman"/>
      <w:lvlText w:val="%3."/>
      <w:lvlJc w:val="right"/>
      <w:pPr>
        <w:ind w:left="2250" w:hanging="180"/>
      </w:pPr>
    </w:lvl>
    <w:lvl w:ilvl="3" w:tplc="042F000F" w:tentative="1">
      <w:start w:val="1"/>
      <w:numFmt w:val="decimal"/>
      <w:lvlText w:val="%4."/>
      <w:lvlJc w:val="left"/>
      <w:pPr>
        <w:ind w:left="2970" w:hanging="360"/>
      </w:pPr>
    </w:lvl>
    <w:lvl w:ilvl="4" w:tplc="042F0019" w:tentative="1">
      <w:start w:val="1"/>
      <w:numFmt w:val="lowerLetter"/>
      <w:lvlText w:val="%5."/>
      <w:lvlJc w:val="left"/>
      <w:pPr>
        <w:ind w:left="3690" w:hanging="360"/>
      </w:pPr>
    </w:lvl>
    <w:lvl w:ilvl="5" w:tplc="042F001B" w:tentative="1">
      <w:start w:val="1"/>
      <w:numFmt w:val="lowerRoman"/>
      <w:lvlText w:val="%6."/>
      <w:lvlJc w:val="right"/>
      <w:pPr>
        <w:ind w:left="4410" w:hanging="180"/>
      </w:pPr>
    </w:lvl>
    <w:lvl w:ilvl="6" w:tplc="042F000F" w:tentative="1">
      <w:start w:val="1"/>
      <w:numFmt w:val="decimal"/>
      <w:lvlText w:val="%7."/>
      <w:lvlJc w:val="left"/>
      <w:pPr>
        <w:ind w:left="5130" w:hanging="360"/>
      </w:pPr>
    </w:lvl>
    <w:lvl w:ilvl="7" w:tplc="042F0019" w:tentative="1">
      <w:start w:val="1"/>
      <w:numFmt w:val="lowerLetter"/>
      <w:lvlText w:val="%8."/>
      <w:lvlJc w:val="left"/>
      <w:pPr>
        <w:ind w:left="5850" w:hanging="360"/>
      </w:pPr>
    </w:lvl>
    <w:lvl w:ilvl="8" w:tplc="042F001B" w:tentative="1">
      <w:start w:val="1"/>
      <w:numFmt w:val="lowerRoman"/>
      <w:lvlText w:val="%9."/>
      <w:lvlJc w:val="right"/>
      <w:pPr>
        <w:ind w:left="6570" w:hanging="180"/>
      </w:pPr>
    </w:lvl>
  </w:abstractNum>
  <w:num w:numId="1">
    <w:abstractNumId w:val="0"/>
  </w:num>
  <w:num w:numId="2">
    <w:abstractNumId w:val="5"/>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2"/>
    <w:lvlOverride w:ilvl="0">
      <w:startOverride w:val="1"/>
    </w:lvlOverride>
  </w:num>
  <w:num w:numId="8">
    <w:abstractNumId w:val="3"/>
  </w:num>
  <w:num w:numId="9">
    <w:abstractNumId w:val="4"/>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075"/>
    <w:rsid w:val="0000789F"/>
    <w:rsid w:val="00031AF5"/>
    <w:rsid w:val="000A63A9"/>
    <w:rsid w:val="00261EE3"/>
    <w:rsid w:val="00336CF5"/>
    <w:rsid w:val="004F639D"/>
    <w:rsid w:val="00571AF9"/>
    <w:rsid w:val="00590211"/>
    <w:rsid w:val="00613E33"/>
    <w:rsid w:val="006A7BEA"/>
    <w:rsid w:val="00740A51"/>
    <w:rsid w:val="007E35AF"/>
    <w:rsid w:val="00897E52"/>
    <w:rsid w:val="008D79D1"/>
    <w:rsid w:val="00940E36"/>
    <w:rsid w:val="00A3065C"/>
    <w:rsid w:val="00AE1A15"/>
    <w:rsid w:val="00B83970"/>
    <w:rsid w:val="00BB38ED"/>
    <w:rsid w:val="00BE666C"/>
    <w:rsid w:val="00C94075"/>
    <w:rsid w:val="00D831D8"/>
    <w:rsid w:val="00DC70E4"/>
    <w:rsid w:val="00E122F7"/>
    <w:rsid w:val="00E32117"/>
    <w:rsid w:val="00EC531C"/>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D8203-076A-47FB-88F6-42BF6015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35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9"/>
    <w:qFormat/>
    <w:rsid w:val="007E35AF"/>
    <w:pPr>
      <w:keepLines w:val="0"/>
      <w:spacing w:after="240" w:line="240" w:lineRule="auto"/>
      <w:jc w:val="center"/>
      <w:outlineLvl w:val="1"/>
    </w:pPr>
    <w:rPr>
      <w:rFonts w:ascii="StobiSerif Regular" w:eastAsia="Times New Roman" w:hAnsi="StobiSerif Regular" w:cs="Arial"/>
      <w:b/>
      <w:iCs/>
      <w:color w:val="auto"/>
      <w:kern w:val="32"/>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ИЗМЕНА НА ФОРМАТ"/>
    <w:basedOn w:val="Caption"/>
    <w:link w:val="Style1Char"/>
    <w:autoRedefine/>
    <w:qFormat/>
    <w:rsid w:val="00C94075"/>
    <w:pPr>
      <w:spacing w:before="60" w:line="360" w:lineRule="auto"/>
    </w:pPr>
    <w:rPr>
      <w:rFonts w:ascii="StobiSerif Regular" w:eastAsia="Times New Roman" w:hAnsi="StobiSerif Regular" w:cs="Times New Roman"/>
      <w:b/>
      <w:i w:val="0"/>
      <w:color w:val="000000"/>
      <w:sz w:val="24"/>
      <w:szCs w:val="22"/>
    </w:rPr>
  </w:style>
  <w:style w:type="character" w:customStyle="1" w:styleId="Style1Char">
    <w:name w:val="Style1ИЗМЕНА НА ФОРМАТ Char"/>
    <w:basedOn w:val="DefaultParagraphFont"/>
    <w:link w:val="Style1"/>
    <w:rsid w:val="00C94075"/>
    <w:rPr>
      <w:rFonts w:ascii="StobiSerif Regular" w:eastAsia="Times New Roman" w:hAnsi="StobiSerif Regular" w:cs="Times New Roman"/>
      <w:b/>
      <w:iCs/>
      <w:color w:val="000000"/>
      <w:sz w:val="24"/>
    </w:rPr>
  </w:style>
  <w:style w:type="paragraph" w:styleId="Caption">
    <w:name w:val="caption"/>
    <w:basedOn w:val="Normal"/>
    <w:next w:val="Normal"/>
    <w:uiPriority w:val="35"/>
    <w:unhideWhenUsed/>
    <w:qFormat/>
    <w:rsid w:val="00C94075"/>
    <w:pPr>
      <w:spacing w:after="200" w:line="240" w:lineRule="auto"/>
    </w:pPr>
    <w:rPr>
      <w:i/>
      <w:iCs/>
      <w:color w:val="44546A" w:themeColor="text2"/>
      <w:sz w:val="18"/>
      <w:szCs w:val="18"/>
    </w:rPr>
  </w:style>
  <w:style w:type="paragraph" w:customStyle="1" w:styleId="Stavovi">
    <w:name w:val="Stavovi"/>
    <w:basedOn w:val="Normal"/>
    <w:link w:val="StavoviChar"/>
    <w:autoRedefine/>
    <w:qFormat/>
    <w:rsid w:val="00EC531C"/>
    <w:pPr>
      <w:spacing w:before="60" w:after="60" w:line="240" w:lineRule="auto"/>
      <w:jc w:val="both"/>
    </w:pPr>
    <w:rPr>
      <w:rFonts w:ascii="StobiSerif Regular" w:eastAsia="Times New Roman" w:hAnsi="StobiSerif Regular" w:cs="Arial"/>
      <w:lang w:eastAsia="mk-MK"/>
    </w:rPr>
  </w:style>
  <w:style w:type="character" w:customStyle="1" w:styleId="StavoviChar">
    <w:name w:val="Stavovi Char"/>
    <w:link w:val="Stavovi"/>
    <w:rsid w:val="00EC531C"/>
    <w:rPr>
      <w:rFonts w:ascii="StobiSerif Regular" w:eastAsia="Times New Roman" w:hAnsi="StobiSerif Regular" w:cs="Arial"/>
      <w:lang w:eastAsia="mk-MK"/>
    </w:rPr>
  </w:style>
  <w:style w:type="paragraph" w:styleId="ListParagraph">
    <w:name w:val="List Paragraph"/>
    <w:basedOn w:val="Normal"/>
    <w:uiPriority w:val="34"/>
    <w:qFormat/>
    <w:rsid w:val="00336CF5"/>
    <w:pPr>
      <w:ind w:left="720"/>
      <w:contextualSpacing/>
    </w:pPr>
  </w:style>
  <w:style w:type="character" w:styleId="CommentReference">
    <w:name w:val="annotation reference"/>
    <w:uiPriority w:val="99"/>
    <w:rsid w:val="00740A51"/>
    <w:rPr>
      <w:rFonts w:cs="Times New Roman"/>
      <w:sz w:val="16"/>
    </w:rPr>
  </w:style>
  <w:style w:type="paragraph" w:styleId="CommentText">
    <w:name w:val="annotation text"/>
    <w:basedOn w:val="Normal"/>
    <w:link w:val="CommentTextChar1"/>
    <w:uiPriority w:val="99"/>
    <w:rsid w:val="00740A51"/>
    <w:pPr>
      <w:spacing w:before="60" w:after="60" w:line="240" w:lineRule="auto"/>
      <w:jc w:val="both"/>
    </w:pPr>
    <w:rPr>
      <w:rFonts w:ascii="Arial" w:eastAsia="Calibri" w:hAnsi="Arial" w:cs="Times New Roman"/>
      <w:sz w:val="20"/>
      <w:szCs w:val="20"/>
      <w:lang w:val="x-none" w:eastAsia="x-none"/>
    </w:rPr>
  </w:style>
  <w:style w:type="character" w:customStyle="1" w:styleId="CommentTextChar">
    <w:name w:val="Comment Text Char"/>
    <w:basedOn w:val="DefaultParagraphFont"/>
    <w:uiPriority w:val="99"/>
    <w:semiHidden/>
    <w:rsid w:val="00740A51"/>
    <w:rPr>
      <w:sz w:val="20"/>
      <w:szCs w:val="20"/>
    </w:rPr>
  </w:style>
  <w:style w:type="character" w:customStyle="1" w:styleId="CommentTextChar1">
    <w:name w:val="Comment Text Char1"/>
    <w:link w:val="CommentText"/>
    <w:uiPriority w:val="99"/>
    <w:locked/>
    <w:rsid w:val="00740A51"/>
    <w:rPr>
      <w:rFonts w:ascii="Arial" w:eastAsia="Calibri" w:hAnsi="Arial" w:cs="Times New Roman"/>
      <w:sz w:val="20"/>
      <w:szCs w:val="20"/>
      <w:lang w:val="x-none" w:eastAsia="x-none"/>
    </w:rPr>
  </w:style>
  <w:style w:type="paragraph" w:styleId="BalloonText">
    <w:name w:val="Balloon Text"/>
    <w:basedOn w:val="Normal"/>
    <w:link w:val="BalloonTextChar"/>
    <w:uiPriority w:val="99"/>
    <w:semiHidden/>
    <w:unhideWhenUsed/>
    <w:rsid w:val="00740A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A51"/>
    <w:rPr>
      <w:rFonts w:ascii="Segoe UI" w:hAnsi="Segoe UI" w:cs="Segoe UI"/>
      <w:sz w:val="18"/>
      <w:szCs w:val="18"/>
    </w:rPr>
  </w:style>
  <w:style w:type="character" w:customStyle="1" w:styleId="Heading2Char">
    <w:name w:val="Heading 2 Char"/>
    <w:basedOn w:val="DefaultParagraphFont"/>
    <w:link w:val="Heading2"/>
    <w:uiPriority w:val="99"/>
    <w:rsid w:val="007E35AF"/>
    <w:rPr>
      <w:rFonts w:ascii="StobiSerif Regular" w:eastAsia="Times New Roman" w:hAnsi="StobiSerif Regular" w:cs="Arial"/>
      <w:b/>
      <w:iCs/>
      <w:kern w:val="32"/>
      <w:szCs w:val="28"/>
    </w:rPr>
  </w:style>
  <w:style w:type="character" w:customStyle="1" w:styleId="Heading1Char">
    <w:name w:val="Heading 1 Char"/>
    <w:basedOn w:val="DefaultParagraphFont"/>
    <w:link w:val="Heading1"/>
    <w:uiPriority w:val="9"/>
    <w:rsid w:val="007E35AF"/>
    <w:rPr>
      <w:rFonts w:asciiTheme="majorHAnsi" w:eastAsiaTheme="majorEastAsia" w:hAnsiTheme="majorHAnsi" w:cstheme="majorBidi"/>
      <w:color w:val="2E74B5" w:themeColor="accent1" w:themeShade="BF"/>
      <w:sz w:val="32"/>
      <w:szCs w:val="32"/>
    </w:rPr>
  </w:style>
  <w:style w:type="paragraph" w:customStyle="1" w:styleId="Default">
    <w:name w:val="Default"/>
    <w:rsid w:val="007E35AF"/>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5</Pages>
  <Words>1900</Words>
  <Characters>10835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Dimitrov</dc:creator>
  <cp:keywords/>
  <dc:description/>
  <cp:lastModifiedBy>Konstantin Dimitrov</cp:lastModifiedBy>
  <cp:revision>16</cp:revision>
  <dcterms:created xsi:type="dcterms:W3CDTF">2017-12-17T11:48:00Z</dcterms:created>
  <dcterms:modified xsi:type="dcterms:W3CDTF">2017-12-19T16:07:00Z</dcterms:modified>
</cp:coreProperties>
</file>