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E01" w:rsidRDefault="00205F79" w:rsidP="00BB1E01">
      <w:pPr>
        <w:spacing w:after="0"/>
        <w:jc w:val="center"/>
        <w:rPr>
          <w:rFonts w:ascii="Arial" w:hAnsi="Arial" w:cs="Arial"/>
          <w:b/>
        </w:rPr>
      </w:pPr>
      <w:r>
        <w:rPr>
          <w:rFonts w:ascii="Arial" w:hAnsi="Arial" w:cs="Arial"/>
          <w:b/>
          <w:lang w:val="mk-MK"/>
        </w:rPr>
        <w:t>КОМЕНТАРИ</w:t>
      </w:r>
      <w:r w:rsidR="00BB1E01">
        <w:rPr>
          <w:rFonts w:ascii="Arial" w:hAnsi="Arial" w:cs="Arial"/>
          <w:b/>
        </w:rPr>
        <w:t xml:space="preserve"> ПО ОДНОС НА </w:t>
      </w:r>
      <w:r>
        <w:rPr>
          <w:rFonts w:ascii="Arial" w:hAnsi="Arial" w:cs="Arial"/>
          <w:b/>
          <w:lang w:val="mk-MK"/>
        </w:rPr>
        <w:t>ПРЕДЛОГ</w:t>
      </w:r>
      <w:r w:rsidR="00BB1E01">
        <w:rPr>
          <w:rFonts w:ascii="Arial" w:hAnsi="Arial" w:cs="Arial"/>
          <w:b/>
        </w:rPr>
        <w:t xml:space="preserve"> ЗАКОН</w:t>
      </w:r>
      <w:r>
        <w:rPr>
          <w:rFonts w:ascii="Arial" w:hAnsi="Arial" w:cs="Arial"/>
          <w:b/>
          <w:lang w:val="mk-MK"/>
        </w:rPr>
        <w:t>ОТ</w:t>
      </w:r>
      <w:r w:rsidR="00BB1E01">
        <w:rPr>
          <w:rFonts w:ascii="Arial" w:hAnsi="Arial" w:cs="Arial"/>
          <w:b/>
        </w:rPr>
        <w:t xml:space="preserve"> ЗА ОБРАЗОВАНИЕ НА ВОЗРАСНИТЕ </w:t>
      </w:r>
    </w:p>
    <w:p w:rsidR="00BB1E01" w:rsidRDefault="00BB1E01" w:rsidP="00B16812">
      <w:pPr>
        <w:spacing w:after="0"/>
        <w:rPr>
          <w:rFonts w:ascii="Arial" w:hAnsi="Arial" w:cs="Arial"/>
          <w:lang w:val="mk-MK"/>
        </w:rPr>
      </w:pPr>
    </w:p>
    <w:p w:rsidR="00B16812" w:rsidRPr="00B16812" w:rsidRDefault="00B16812" w:rsidP="00B16812">
      <w:pPr>
        <w:spacing w:after="0"/>
        <w:rPr>
          <w:rFonts w:cs="Arial"/>
          <w:b/>
          <w:sz w:val="24"/>
          <w:szCs w:val="24"/>
          <w:lang w:val="mk-MK"/>
        </w:rPr>
      </w:pPr>
      <w:r w:rsidRPr="00B16812">
        <w:rPr>
          <w:rFonts w:cs="Arial"/>
          <w:sz w:val="24"/>
          <w:szCs w:val="24"/>
          <w:lang w:val="mk-MK"/>
        </w:rPr>
        <w:t xml:space="preserve">Подносител: </w:t>
      </w:r>
      <w:r w:rsidRPr="00B16812">
        <w:rPr>
          <w:b/>
          <w:sz w:val="24"/>
          <w:szCs w:val="24"/>
          <w:lang w:val="mk-MK"/>
        </w:rPr>
        <w:t>Совет за образование на возрасни на Република Северна Македонија</w:t>
      </w:r>
    </w:p>
    <w:p w:rsidR="00BB1E01" w:rsidRPr="00B16812" w:rsidRDefault="00BB1E01" w:rsidP="00BB1E01">
      <w:pPr>
        <w:ind w:firstLine="284"/>
        <w:jc w:val="both"/>
        <w:rPr>
          <w:rFonts w:cs="Arial"/>
          <w:color w:val="000000"/>
          <w:sz w:val="24"/>
          <w:szCs w:val="24"/>
        </w:rPr>
      </w:pPr>
    </w:p>
    <w:p w:rsidR="00BB1E01" w:rsidRPr="00B16812" w:rsidRDefault="00BB1E01" w:rsidP="00BB1E01">
      <w:pPr>
        <w:ind w:firstLine="284"/>
        <w:jc w:val="both"/>
        <w:rPr>
          <w:sz w:val="24"/>
          <w:szCs w:val="24"/>
          <w:highlight w:val="yellow"/>
        </w:rPr>
      </w:pPr>
      <w:r w:rsidRPr="00B16812">
        <w:rPr>
          <w:rFonts w:cs="Arial"/>
          <w:color w:val="000000"/>
          <w:sz w:val="24"/>
          <w:szCs w:val="24"/>
        </w:rPr>
        <w:t>Законот заслужува внимание да се разледа затоа што со него се уредува  организирањето, структурата, финансирањето и управувањето на системот на образование на возрасните во кој е опфатен и делот за неформалното образование. Во таа насока неминовно се наметнуваа прашања кои се од суштинско значење за бизнис заедницата и потткнување на понудувачите на образовните услуги да реализираат пазарно орјентирани програми.</w:t>
      </w:r>
    </w:p>
    <w:p w:rsidR="00BB1E01" w:rsidRPr="00B16812" w:rsidRDefault="00BB1E01" w:rsidP="00BB1E01">
      <w:pPr>
        <w:ind w:firstLine="360"/>
        <w:jc w:val="both"/>
        <w:rPr>
          <w:rFonts w:eastAsia="Times New Roman" w:cs="Arial"/>
          <w:b/>
          <w:sz w:val="24"/>
          <w:szCs w:val="24"/>
          <w:lang w:eastAsia="en-GB"/>
        </w:rPr>
      </w:pPr>
      <w:r w:rsidRPr="00B16812">
        <w:rPr>
          <w:rStyle w:val="footnote"/>
          <w:sz w:val="24"/>
          <w:szCs w:val="24"/>
        </w:rPr>
        <w:t xml:space="preserve">Гледано во поглавјата и членовите на Законот, </w:t>
      </w:r>
      <w:r w:rsidRPr="00B16812">
        <w:rPr>
          <w:rStyle w:val="footnote"/>
          <w:sz w:val="24"/>
          <w:szCs w:val="24"/>
          <w:u w:val="single"/>
        </w:rPr>
        <w:t xml:space="preserve">во првите две поглавја </w:t>
      </w:r>
      <w:r w:rsidRPr="00B16812">
        <w:rPr>
          <w:rStyle w:val="footnote"/>
          <w:sz w:val="24"/>
          <w:szCs w:val="24"/>
        </w:rPr>
        <w:t>нема никакви новини во однос на предходниот Закон за образование на возрасните. Измените се направени</w:t>
      </w:r>
      <w:r w:rsidRPr="00B16812">
        <w:rPr>
          <w:rStyle w:val="footnote"/>
          <w:b/>
          <w:sz w:val="24"/>
          <w:szCs w:val="24"/>
        </w:rPr>
        <w:t xml:space="preserve"> </w:t>
      </w:r>
      <w:r w:rsidRPr="00B16812">
        <w:rPr>
          <w:rStyle w:val="footnote"/>
          <w:sz w:val="24"/>
          <w:szCs w:val="24"/>
          <w:u w:val="single"/>
        </w:rPr>
        <w:t>во третото поглавје</w:t>
      </w:r>
      <w:r w:rsidRPr="00B16812">
        <w:rPr>
          <w:rStyle w:val="footnote"/>
          <w:b/>
          <w:sz w:val="24"/>
          <w:szCs w:val="24"/>
        </w:rPr>
        <w:t xml:space="preserve">, </w:t>
      </w:r>
      <w:r w:rsidRPr="00B16812">
        <w:rPr>
          <w:rStyle w:val="footnote"/>
          <w:sz w:val="24"/>
          <w:szCs w:val="24"/>
        </w:rPr>
        <w:t>насловен како Организирање на понудувачите на услуги за образование за возрасните</w:t>
      </w:r>
      <w:r w:rsidRPr="00B16812">
        <w:rPr>
          <w:rStyle w:val="footnote"/>
          <w:b/>
          <w:sz w:val="24"/>
          <w:szCs w:val="24"/>
        </w:rPr>
        <w:t xml:space="preserve">, во членот 25, во кој е регулирана </w:t>
      </w:r>
      <w:r w:rsidRPr="00B16812">
        <w:rPr>
          <w:rFonts w:cs="Arial"/>
          <w:b/>
          <w:sz w:val="24"/>
          <w:szCs w:val="24"/>
        </w:rPr>
        <w:t>акредитација</w:t>
      </w:r>
      <w:r w:rsidRPr="00B16812">
        <w:rPr>
          <w:rFonts w:cs="Arial"/>
          <w:b/>
          <w:bCs/>
          <w:sz w:val="24"/>
          <w:szCs w:val="24"/>
        </w:rPr>
        <w:t xml:space="preserve"> на установи и институции за образование на возрасните во делот на скратување на </w:t>
      </w:r>
      <w:r w:rsidRPr="00B16812">
        <w:rPr>
          <w:rFonts w:eastAsia="Times New Roman" w:cs="Arial"/>
          <w:b/>
          <w:sz w:val="24"/>
          <w:szCs w:val="24"/>
          <w:lang w:eastAsia="en-GB"/>
        </w:rPr>
        <w:t>рокот од 60 дена на 30 дена кога министерството треба да донесе решение за акредитација на институцијата.</w:t>
      </w:r>
      <w:r w:rsidRPr="00B16812">
        <w:rPr>
          <w:rFonts w:eastAsia="Times New Roman" w:cs="Arial"/>
          <w:sz w:val="24"/>
          <w:szCs w:val="24"/>
          <w:lang w:eastAsia="en-GB"/>
        </w:rPr>
        <w:t xml:space="preserve"> Рокот на донесување на решението се брои од денот кога е поднесено барањето за акредитација на институцијата. Ако ова е навистина така ќе се забрзаа процесот за акредитација на институцијата, но искуството и досегашната пракса покажаа дека овој член не се почитуваше ни досега кога рокот беше 60 дена, па се случуваше решанието за акредитација на институцијата да се добие по шест месеци или по една година</w:t>
      </w:r>
      <w:r w:rsidRPr="00B16812">
        <w:rPr>
          <w:rFonts w:eastAsia="Times New Roman" w:cs="Arial"/>
          <w:b/>
          <w:sz w:val="24"/>
          <w:szCs w:val="24"/>
          <w:lang w:eastAsia="en-GB"/>
        </w:rPr>
        <w:t>.  Тоа поттикнуваше два проблема:</w:t>
      </w:r>
    </w:p>
    <w:p w:rsidR="00BB1E01" w:rsidRPr="00B16812" w:rsidRDefault="00BB1E01" w:rsidP="00BB1E01">
      <w:pPr>
        <w:numPr>
          <w:ilvl w:val="0"/>
          <w:numId w:val="1"/>
        </w:numPr>
        <w:jc w:val="both"/>
        <w:rPr>
          <w:rFonts w:eastAsia="Times New Roman" w:cs="Arial"/>
          <w:b/>
          <w:sz w:val="24"/>
          <w:szCs w:val="24"/>
          <w:lang w:eastAsia="en-GB"/>
        </w:rPr>
      </w:pPr>
      <w:r w:rsidRPr="00B16812">
        <w:rPr>
          <w:rFonts w:eastAsia="Times New Roman" w:cs="Arial"/>
          <w:b/>
          <w:sz w:val="24"/>
          <w:szCs w:val="24"/>
          <w:lang w:eastAsia="en-GB"/>
        </w:rPr>
        <w:t>верификуваната програма да заврши за две години, наместо за три и повторно да се започне со исцрпувачкиот процес и</w:t>
      </w:r>
    </w:p>
    <w:p w:rsidR="00BB1E01" w:rsidRPr="00B16812" w:rsidRDefault="00BB1E01" w:rsidP="00BB1E01">
      <w:pPr>
        <w:numPr>
          <w:ilvl w:val="0"/>
          <w:numId w:val="1"/>
        </w:numPr>
        <w:jc w:val="both"/>
        <w:rPr>
          <w:rFonts w:eastAsia="Times New Roman" w:cs="Arial"/>
          <w:b/>
          <w:sz w:val="24"/>
          <w:szCs w:val="24"/>
          <w:lang w:eastAsia="en-GB"/>
        </w:rPr>
      </w:pPr>
      <w:r w:rsidRPr="00B16812">
        <w:rPr>
          <w:rFonts w:eastAsia="Times New Roman" w:cs="Arial"/>
          <w:b/>
          <w:sz w:val="24"/>
          <w:szCs w:val="24"/>
          <w:lang w:eastAsia="en-GB"/>
        </w:rPr>
        <w:t>неможноста да излезе во пресрет на барањата на бизнис заедницата за обезбедување на кадар со обуки за преквалификација и доквалификација на невработените и вработените.</w:t>
      </w:r>
    </w:p>
    <w:p w:rsidR="00BB1E01" w:rsidRPr="00B16812" w:rsidRDefault="00BB1E01" w:rsidP="00BB1E01">
      <w:pPr>
        <w:spacing w:after="0"/>
        <w:ind w:firstLine="284"/>
        <w:jc w:val="both"/>
        <w:rPr>
          <w:rFonts w:cs="Arial"/>
          <w:noProof/>
          <w:sz w:val="24"/>
          <w:szCs w:val="24"/>
        </w:rPr>
      </w:pPr>
      <w:r w:rsidRPr="00B16812">
        <w:rPr>
          <w:rFonts w:cs="Arial"/>
          <w:noProof/>
          <w:sz w:val="24"/>
          <w:szCs w:val="24"/>
        </w:rPr>
        <w:t xml:space="preserve">Измени се направени и во делот за </w:t>
      </w:r>
      <w:r w:rsidRPr="00B16812">
        <w:rPr>
          <w:rFonts w:cs="Arial"/>
          <w:sz w:val="24"/>
          <w:szCs w:val="24"/>
        </w:rPr>
        <w:t>проценката на знаењата, вештините и компетенциите стекнати преку посебните програми од страна на комисија што ќе биде доказ за компаниите дека со процесот на преквалификација и доквалификација учесниците навистина ги стекнале соодветните вештини и компетенции.</w:t>
      </w:r>
    </w:p>
    <w:p w:rsidR="00BB1E01" w:rsidRPr="00B16812" w:rsidRDefault="00BB1E01" w:rsidP="00BB1E01">
      <w:pPr>
        <w:suppressAutoHyphens/>
        <w:spacing w:after="0"/>
        <w:ind w:firstLine="284"/>
        <w:jc w:val="both"/>
        <w:rPr>
          <w:rFonts w:eastAsia="Times New Roman" w:cs="Arial"/>
          <w:sz w:val="24"/>
          <w:szCs w:val="24"/>
          <w:u w:val="single"/>
          <w:lang w:eastAsia="en-GB"/>
        </w:rPr>
      </w:pPr>
      <w:r w:rsidRPr="00B16812">
        <w:rPr>
          <w:rFonts w:eastAsia="Times New Roman" w:cs="Arial"/>
          <w:sz w:val="24"/>
          <w:szCs w:val="24"/>
          <w:u w:val="single"/>
          <w:lang w:eastAsia="en-GB"/>
        </w:rPr>
        <w:t>Четвртото поглавје</w:t>
      </w:r>
      <w:r w:rsidRPr="00B16812">
        <w:rPr>
          <w:rFonts w:eastAsia="Times New Roman" w:cs="Arial"/>
          <w:sz w:val="24"/>
          <w:szCs w:val="24"/>
          <w:lang w:eastAsia="en-GB"/>
        </w:rPr>
        <w:t xml:space="preserve"> е комплетно ново поглавје во кое се уредува валидацијата на неформално и информално учење која на лицата им овозможува препознавање и признавање на знаењата, вештините и компетенциите со кои се стекнале преку своето </w:t>
      </w:r>
      <w:r w:rsidRPr="00B16812">
        <w:rPr>
          <w:rFonts w:eastAsia="Times New Roman" w:cs="Arial"/>
          <w:sz w:val="24"/>
          <w:szCs w:val="24"/>
          <w:lang w:eastAsia="en-GB"/>
        </w:rPr>
        <w:lastRenderedPageBreak/>
        <w:t>искуство што ќе помогне за нивно полесно вработување од една страна, но ќе им помогне и на компаниите, од друга страна, да дојдат до кадар кој има искуство во работењето.</w:t>
      </w:r>
    </w:p>
    <w:p w:rsidR="00BB1E01" w:rsidRPr="00B16812" w:rsidRDefault="00BB1E01" w:rsidP="00BB1E01">
      <w:pPr>
        <w:suppressAutoHyphens/>
        <w:spacing w:after="0"/>
        <w:ind w:firstLine="284"/>
        <w:jc w:val="both"/>
        <w:rPr>
          <w:rFonts w:cs="Arial"/>
          <w:sz w:val="24"/>
          <w:szCs w:val="24"/>
        </w:rPr>
      </w:pPr>
      <w:r w:rsidRPr="00B16812">
        <w:rPr>
          <w:rFonts w:eastAsia="Times New Roman" w:cs="Arial"/>
          <w:sz w:val="24"/>
          <w:szCs w:val="24"/>
          <w:u w:val="single"/>
          <w:lang w:eastAsia="en-GB"/>
        </w:rPr>
        <w:t>Останатите поглавја</w:t>
      </w:r>
      <w:r w:rsidRPr="00B16812">
        <w:rPr>
          <w:rFonts w:eastAsia="Times New Roman" w:cs="Arial"/>
          <w:sz w:val="24"/>
          <w:szCs w:val="24"/>
          <w:lang w:eastAsia="en-GB"/>
        </w:rPr>
        <w:t xml:space="preserve"> се исти како и во предходниот Закон, но сепак хармонизирани и усогласени со Законот за националната рамка на квалификации. </w:t>
      </w:r>
    </w:p>
    <w:p w:rsidR="00BB1E01" w:rsidRPr="00B16812" w:rsidRDefault="00BB1E01" w:rsidP="00BB1E01">
      <w:pPr>
        <w:spacing w:after="0"/>
        <w:jc w:val="both"/>
        <w:rPr>
          <w:rFonts w:cs="Arial"/>
          <w:sz w:val="24"/>
          <w:szCs w:val="24"/>
        </w:rPr>
      </w:pPr>
    </w:p>
    <w:p w:rsidR="00BB1E01" w:rsidRPr="00B16812" w:rsidRDefault="00BB1E01" w:rsidP="00BB1E01">
      <w:pPr>
        <w:spacing w:after="0"/>
        <w:jc w:val="both"/>
        <w:rPr>
          <w:rFonts w:cs="Arial"/>
          <w:sz w:val="24"/>
          <w:szCs w:val="24"/>
        </w:rPr>
      </w:pPr>
      <w:r w:rsidRPr="00B16812">
        <w:rPr>
          <w:rFonts w:cs="Arial"/>
          <w:b/>
          <w:sz w:val="24"/>
          <w:szCs w:val="24"/>
        </w:rPr>
        <w:t>И генерално гледано</w:t>
      </w:r>
      <w:r w:rsidRPr="00B16812">
        <w:rPr>
          <w:rFonts w:cs="Arial"/>
          <w:sz w:val="24"/>
          <w:szCs w:val="24"/>
        </w:rPr>
        <w:t xml:space="preserve">, образованието за возрасните е системски уредено, но од предлозите на Стопанската комора на Македонија е земено само скратувањето на рокот за добивање решение за акредитација на институцијата. Останатото останува да се регулира во подзаконски акти. </w:t>
      </w:r>
    </w:p>
    <w:p w:rsidR="00BB1E01" w:rsidRPr="00B16812" w:rsidRDefault="00BB1E01" w:rsidP="00BB1E01">
      <w:pPr>
        <w:spacing w:after="0"/>
        <w:jc w:val="both"/>
        <w:rPr>
          <w:rFonts w:cs="Arial"/>
          <w:sz w:val="24"/>
          <w:szCs w:val="24"/>
        </w:rPr>
      </w:pPr>
      <w:r w:rsidRPr="00B16812">
        <w:rPr>
          <w:rFonts w:cs="Arial"/>
          <w:sz w:val="24"/>
          <w:szCs w:val="24"/>
        </w:rPr>
        <w:t>Можеби така е подобро за да може побрзо да се интервенира во измени доколку се соочиме со проблеми на терен. Но сепак, на почетокот, мора да се внимава кој ќе биде вклучен во подготовката на позаконските акти и мора да се земат во предвид предлозите на С</w:t>
      </w:r>
      <w:r w:rsidRPr="00B16812">
        <w:rPr>
          <w:rFonts w:cs="Arial"/>
          <w:sz w:val="24"/>
          <w:szCs w:val="24"/>
          <w:lang w:val="mk-MK"/>
        </w:rPr>
        <w:t>оветот за образование на возрасните</w:t>
      </w:r>
      <w:r w:rsidRPr="00B16812">
        <w:rPr>
          <w:rFonts w:cs="Arial"/>
          <w:sz w:val="24"/>
          <w:szCs w:val="24"/>
        </w:rPr>
        <w:t xml:space="preserve">: </w:t>
      </w:r>
    </w:p>
    <w:p w:rsidR="00BB1E01" w:rsidRDefault="00BB1E01">
      <w:pPr>
        <w:rPr>
          <w:lang w:val="mk-MK"/>
        </w:rPr>
      </w:pPr>
    </w:p>
    <w:tbl>
      <w:tblPr>
        <w:tblStyle w:val="TableGrid"/>
        <w:tblW w:w="0" w:type="auto"/>
        <w:tblLook w:val="04A0" w:firstRow="1" w:lastRow="0" w:firstColumn="1" w:lastColumn="0" w:noHBand="0" w:noVBand="1"/>
      </w:tblPr>
      <w:tblGrid>
        <w:gridCol w:w="4788"/>
        <w:gridCol w:w="4788"/>
      </w:tblGrid>
      <w:tr w:rsidR="00483DC7" w:rsidRPr="00B16812" w:rsidTr="00483DC7">
        <w:tc>
          <w:tcPr>
            <w:tcW w:w="4788" w:type="dxa"/>
          </w:tcPr>
          <w:p w:rsidR="00483DC7" w:rsidRPr="00B16812" w:rsidRDefault="00483DC7" w:rsidP="00483DC7">
            <w:pPr>
              <w:rPr>
                <w:sz w:val="24"/>
                <w:szCs w:val="24"/>
                <w:lang w:val="mk-MK"/>
              </w:rPr>
            </w:pPr>
            <w:r w:rsidRPr="00B16812">
              <w:rPr>
                <w:sz w:val="24"/>
                <w:szCs w:val="24"/>
                <w:lang w:val="mk-MK"/>
              </w:rPr>
              <w:t>Член 10, став 1 -  Да се додаде нова алинеа</w:t>
            </w:r>
          </w:p>
          <w:p w:rsidR="00483DC7" w:rsidRPr="00B16812" w:rsidRDefault="00483DC7" w:rsidP="00872D73">
            <w:pPr>
              <w:rPr>
                <w:sz w:val="24"/>
                <w:szCs w:val="24"/>
                <w:lang w:val="mk-MK"/>
              </w:rPr>
            </w:pPr>
          </w:p>
        </w:tc>
        <w:tc>
          <w:tcPr>
            <w:tcW w:w="4788" w:type="dxa"/>
          </w:tcPr>
          <w:p w:rsidR="00483DC7" w:rsidRPr="00B16812" w:rsidRDefault="00483DC7" w:rsidP="00872D73">
            <w:pPr>
              <w:rPr>
                <w:sz w:val="24"/>
                <w:szCs w:val="24"/>
                <w:lang w:val="mk-MK"/>
              </w:rPr>
            </w:pPr>
            <w:r w:rsidRPr="00B16812">
              <w:rPr>
                <w:rFonts w:eastAsia="Times New Roman" w:cs="Times New Roman"/>
                <w:sz w:val="24"/>
                <w:szCs w:val="24"/>
              </w:rPr>
              <w:t>Стручно-административните работи за Советот ги врши Центарот</w:t>
            </w:r>
          </w:p>
        </w:tc>
      </w:tr>
      <w:tr w:rsidR="00483DC7" w:rsidRPr="00B16812" w:rsidTr="00483DC7">
        <w:tc>
          <w:tcPr>
            <w:tcW w:w="4788" w:type="dxa"/>
          </w:tcPr>
          <w:p w:rsidR="00483DC7" w:rsidRPr="00B16812" w:rsidRDefault="00483DC7" w:rsidP="00872D73">
            <w:pPr>
              <w:rPr>
                <w:sz w:val="24"/>
                <w:szCs w:val="24"/>
                <w:lang w:val="mk-MK"/>
              </w:rPr>
            </w:pPr>
            <w:r w:rsidRPr="001E00DD">
              <w:rPr>
                <w:rFonts w:eastAsia="Times New Roman" w:cs="Times New Roman"/>
                <w:sz w:val="24"/>
                <w:szCs w:val="24"/>
                <w:lang w:val="mk-MK"/>
              </w:rPr>
              <w:t>Член 7, став 1, алинеја 3, 4, 5, 6 да се избришат</w:t>
            </w:r>
          </w:p>
        </w:tc>
        <w:tc>
          <w:tcPr>
            <w:tcW w:w="4788" w:type="dxa"/>
          </w:tcPr>
          <w:p w:rsidR="00483DC7" w:rsidRPr="00B16812" w:rsidRDefault="00483DC7" w:rsidP="00872D73">
            <w:pPr>
              <w:rPr>
                <w:sz w:val="24"/>
                <w:szCs w:val="24"/>
                <w:lang w:val="mk-MK"/>
              </w:rPr>
            </w:pPr>
            <w:r w:rsidRPr="00B16812">
              <w:rPr>
                <w:sz w:val="24"/>
                <w:szCs w:val="24"/>
                <w:lang w:val="mk-MK"/>
              </w:rPr>
              <w:t>Оваа обрска треба да му се препушти на ЦОВ. Со тоа ќе се скрати процедурата и ке се изврши доволно дистанцирање на власта од стручната работа.</w:t>
            </w:r>
          </w:p>
          <w:p w:rsidR="00483DC7" w:rsidRPr="00B16812" w:rsidRDefault="00483DC7" w:rsidP="00872D73">
            <w:pPr>
              <w:rPr>
                <w:sz w:val="24"/>
                <w:szCs w:val="24"/>
                <w:lang w:val="mk-MK"/>
              </w:rPr>
            </w:pPr>
            <w:r w:rsidRPr="00B16812">
              <w:rPr>
                <w:sz w:val="24"/>
                <w:szCs w:val="24"/>
                <w:lang w:val="mk-MK"/>
              </w:rPr>
              <w:t>Во контекст на тоа да се направат натамошни измени во законот</w:t>
            </w:r>
          </w:p>
        </w:tc>
      </w:tr>
      <w:tr w:rsidR="00483DC7" w:rsidRPr="00B16812" w:rsidTr="00483DC7">
        <w:tc>
          <w:tcPr>
            <w:tcW w:w="4788" w:type="dxa"/>
          </w:tcPr>
          <w:p w:rsidR="00483DC7" w:rsidRPr="00B16812" w:rsidRDefault="00483DC7" w:rsidP="00872D73">
            <w:pPr>
              <w:rPr>
                <w:rFonts w:eastAsia="Times New Roman" w:cs="Times New Roman"/>
                <w:sz w:val="24"/>
                <w:szCs w:val="24"/>
                <w:lang w:val="mk-MK"/>
              </w:rPr>
            </w:pPr>
            <w:r w:rsidRPr="001E00DD">
              <w:rPr>
                <w:rFonts w:eastAsia="Times New Roman" w:cs="Times New Roman"/>
                <w:sz w:val="24"/>
                <w:szCs w:val="24"/>
                <w:lang w:val="mk-MK"/>
              </w:rPr>
              <w:t>Член 9, став 2</w:t>
            </w:r>
          </w:p>
        </w:tc>
        <w:tc>
          <w:tcPr>
            <w:tcW w:w="4788" w:type="dxa"/>
          </w:tcPr>
          <w:p w:rsidR="00483DC7" w:rsidRPr="00B16812" w:rsidRDefault="00483DC7" w:rsidP="00872D73">
            <w:pPr>
              <w:rPr>
                <w:sz w:val="24"/>
                <w:szCs w:val="24"/>
                <w:lang w:val="mk-MK"/>
              </w:rPr>
            </w:pPr>
            <w:r w:rsidRPr="001E00DD">
              <w:rPr>
                <w:rFonts w:eastAsia="Times New Roman" w:cs="Times New Roman"/>
                <w:sz w:val="24"/>
                <w:szCs w:val="24"/>
                <w:lang w:val="mk-MK"/>
              </w:rPr>
              <w:t xml:space="preserve">треба да стои </w:t>
            </w:r>
            <w:r w:rsidRPr="001E00DD">
              <w:rPr>
                <w:rFonts w:eastAsia="Times New Roman" w:cs="Times New Roman"/>
                <w:b/>
                <w:sz w:val="24"/>
                <w:szCs w:val="24"/>
                <w:lang w:val="mk-MK"/>
              </w:rPr>
              <w:t>Сојуз на стопански комори</w:t>
            </w:r>
            <w:r w:rsidRPr="001E00DD">
              <w:rPr>
                <w:rFonts w:eastAsia="Times New Roman" w:cs="Times New Roman"/>
                <w:sz w:val="24"/>
                <w:szCs w:val="24"/>
                <w:lang w:val="mk-MK"/>
              </w:rPr>
              <w:t xml:space="preserve"> на Македонија, наместо Сојузот на комори</w:t>
            </w:r>
            <w:r w:rsidRPr="00B16812">
              <w:rPr>
                <w:rFonts w:eastAsia="Times New Roman" w:cs="Times New Roman"/>
                <w:sz w:val="24"/>
                <w:szCs w:val="24"/>
                <w:lang w:val="mk-MK"/>
              </w:rPr>
              <w:t>те</w:t>
            </w:r>
            <w:r w:rsidRPr="001E00DD">
              <w:rPr>
                <w:rFonts w:eastAsia="Times New Roman" w:cs="Times New Roman"/>
                <w:sz w:val="24"/>
                <w:szCs w:val="24"/>
                <w:lang w:val="mk-MK"/>
              </w:rPr>
              <w:t xml:space="preserve"> на Македонија</w:t>
            </w:r>
          </w:p>
        </w:tc>
      </w:tr>
      <w:tr w:rsidR="00483DC7" w:rsidRPr="00B16812" w:rsidTr="00483DC7">
        <w:tc>
          <w:tcPr>
            <w:tcW w:w="4788" w:type="dxa"/>
          </w:tcPr>
          <w:p w:rsidR="00483DC7" w:rsidRPr="00B16812" w:rsidRDefault="00483DC7" w:rsidP="00483DC7">
            <w:pPr>
              <w:rPr>
                <w:sz w:val="24"/>
                <w:szCs w:val="24"/>
                <w:lang w:val="mk-MK"/>
              </w:rPr>
            </w:pPr>
            <w:r w:rsidRPr="001E00DD">
              <w:rPr>
                <w:rFonts w:eastAsia="Times New Roman" w:cs="Times New Roman"/>
                <w:sz w:val="24"/>
                <w:szCs w:val="24"/>
                <w:lang w:val="mk-MK"/>
              </w:rPr>
              <w:t xml:space="preserve">Член 7, став 1, алинеја </w:t>
            </w:r>
            <w:r w:rsidRPr="00B16812">
              <w:rPr>
                <w:rFonts w:eastAsia="Times New Roman" w:cs="Times New Roman"/>
                <w:sz w:val="24"/>
                <w:szCs w:val="24"/>
                <w:lang w:val="mk-MK"/>
              </w:rPr>
              <w:t>7</w:t>
            </w:r>
            <w:r w:rsidRPr="001E00DD">
              <w:rPr>
                <w:rFonts w:eastAsia="Times New Roman" w:cs="Times New Roman"/>
                <w:sz w:val="24"/>
                <w:szCs w:val="24"/>
                <w:lang w:val="mk-MK"/>
              </w:rPr>
              <w:t xml:space="preserve"> да се </w:t>
            </w:r>
            <w:r w:rsidRPr="00B16812">
              <w:rPr>
                <w:rFonts w:eastAsia="Times New Roman" w:cs="Times New Roman"/>
                <w:sz w:val="24"/>
                <w:szCs w:val="24"/>
                <w:lang w:val="mk-MK"/>
              </w:rPr>
              <w:t>преформулира</w:t>
            </w:r>
          </w:p>
        </w:tc>
        <w:tc>
          <w:tcPr>
            <w:tcW w:w="4788" w:type="dxa"/>
          </w:tcPr>
          <w:p w:rsidR="00483DC7" w:rsidRPr="00B16812" w:rsidRDefault="00483DC7" w:rsidP="00483DC7">
            <w:pPr>
              <w:rPr>
                <w:rFonts w:eastAsia="Times New Roman" w:cs="Times New Roman"/>
                <w:sz w:val="24"/>
                <w:szCs w:val="24"/>
              </w:rPr>
            </w:pPr>
            <w:r w:rsidRPr="00B16812">
              <w:rPr>
                <w:rFonts w:cs="Arial"/>
                <w:sz w:val="24"/>
                <w:szCs w:val="24"/>
              </w:rPr>
              <w:t xml:space="preserve">донесува посебни програми за образование на возрасните, кои ги </w:t>
            </w:r>
            <w:r w:rsidRPr="00B16812">
              <w:rPr>
                <w:rFonts w:cs="Arial"/>
                <w:b/>
                <w:sz w:val="24"/>
                <w:szCs w:val="24"/>
                <w:lang w:val="mk-MK"/>
              </w:rPr>
              <w:t>реализира</w:t>
            </w:r>
            <w:r w:rsidRPr="00B16812">
              <w:rPr>
                <w:rFonts w:cs="Arial"/>
                <w:sz w:val="24"/>
                <w:szCs w:val="24"/>
              </w:rPr>
              <w:t xml:space="preserve"> Центарот за образование на возрасните (во натамошниот текст: Центарот)</w:t>
            </w:r>
          </w:p>
        </w:tc>
      </w:tr>
      <w:tr w:rsidR="00483DC7" w:rsidRPr="00B16812" w:rsidTr="00483DC7">
        <w:tc>
          <w:tcPr>
            <w:tcW w:w="4788" w:type="dxa"/>
          </w:tcPr>
          <w:p w:rsidR="00483DC7" w:rsidRPr="00B16812" w:rsidRDefault="00483DC7" w:rsidP="006351F1">
            <w:pPr>
              <w:rPr>
                <w:sz w:val="24"/>
                <w:szCs w:val="24"/>
                <w:lang w:val="mk-MK"/>
              </w:rPr>
            </w:pPr>
            <w:r w:rsidRPr="00B16812">
              <w:rPr>
                <w:sz w:val="24"/>
                <w:szCs w:val="24"/>
                <w:lang w:val="mk-MK"/>
              </w:rPr>
              <w:t>Член 10, став 1 -  Да се додаде нова алинеа</w:t>
            </w:r>
          </w:p>
          <w:p w:rsidR="00483DC7" w:rsidRPr="00B16812" w:rsidRDefault="00483DC7" w:rsidP="006351F1">
            <w:pPr>
              <w:rPr>
                <w:sz w:val="24"/>
                <w:szCs w:val="24"/>
                <w:lang w:val="mk-MK"/>
              </w:rPr>
            </w:pPr>
          </w:p>
        </w:tc>
        <w:tc>
          <w:tcPr>
            <w:tcW w:w="4788" w:type="dxa"/>
          </w:tcPr>
          <w:p w:rsidR="00483DC7" w:rsidRPr="00B16812" w:rsidRDefault="00483DC7" w:rsidP="006351F1">
            <w:pPr>
              <w:rPr>
                <w:sz w:val="24"/>
                <w:szCs w:val="24"/>
                <w:lang w:val="mk-MK"/>
              </w:rPr>
            </w:pPr>
            <w:r w:rsidRPr="00B16812">
              <w:rPr>
                <w:rFonts w:eastAsia="Times New Roman" w:cs="Times New Roman"/>
                <w:sz w:val="24"/>
                <w:szCs w:val="24"/>
              </w:rPr>
              <w:t>Стручно-административните работи за Советот ги врши Центарот</w:t>
            </w:r>
          </w:p>
        </w:tc>
      </w:tr>
      <w:tr w:rsidR="00483DC7" w:rsidRPr="00B16812" w:rsidTr="00483DC7">
        <w:tc>
          <w:tcPr>
            <w:tcW w:w="4788" w:type="dxa"/>
          </w:tcPr>
          <w:p w:rsidR="00483DC7" w:rsidRPr="00B16812" w:rsidRDefault="00483DC7" w:rsidP="00483DC7">
            <w:pPr>
              <w:rPr>
                <w:sz w:val="24"/>
                <w:szCs w:val="24"/>
                <w:lang w:val="mk-MK"/>
              </w:rPr>
            </w:pPr>
            <w:r w:rsidRPr="00B16812">
              <w:rPr>
                <w:sz w:val="24"/>
                <w:szCs w:val="24"/>
                <w:lang w:val="mk-MK"/>
              </w:rPr>
              <w:t>Член 10, став 1 -  Да се додаде нова алинеа</w:t>
            </w:r>
          </w:p>
          <w:p w:rsidR="00483DC7" w:rsidRPr="00B16812" w:rsidRDefault="00483DC7" w:rsidP="00872D73">
            <w:pPr>
              <w:rPr>
                <w:sz w:val="24"/>
                <w:szCs w:val="24"/>
                <w:lang w:val="mk-MK"/>
              </w:rPr>
            </w:pPr>
          </w:p>
        </w:tc>
        <w:tc>
          <w:tcPr>
            <w:tcW w:w="4788" w:type="dxa"/>
          </w:tcPr>
          <w:p w:rsidR="00483DC7" w:rsidRPr="00B16812" w:rsidRDefault="00483DC7" w:rsidP="00483DC7">
            <w:pPr>
              <w:rPr>
                <w:rFonts w:eastAsia="Times New Roman" w:cs="Times New Roman"/>
                <w:sz w:val="24"/>
                <w:szCs w:val="24"/>
              </w:rPr>
            </w:pPr>
            <w:r w:rsidRPr="00B16812">
              <w:rPr>
                <w:rFonts w:cs="Arial"/>
                <w:sz w:val="24"/>
                <w:szCs w:val="24"/>
              </w:rPr>
              <w:t xml:space="preserve">Средставата за остварување на дејноста на </w:t>
            </w:r>
            <w:r w:rsidRPr="00B16812">
              <w:rPr>
                <w:rFonts w:cs="Arial"/>
                <w:sz w:val="24"/>
                <w:szCs w:val="24"/>
                <w:lang w:val="mk-MK"/>
              </w:rPr>
              <w:t xml:space="preserve">Советот </w:t>
            </w:r>
            <w:r w:rsidRPr="00B16812">
              <w:rPr>
                <w:rFonts w:cs="Arial"/>
                <w:sz w:val="24"/>
                <w:szCs w:val="24"/>
              </w:rPr>
              <w:t>се обезбедуваат од Буџетот на Република Северна Македонија</w:t>
            </w:r>
          </w:p>
        </w:tc>
      </w:tr>
      <w:tr w:rsidR="00483DC7" w:rsidRPr="00B16812" w:rsidTr="00483DC7">
        <w:tc>
          <w:tcPr>
            <w:tcW w:w="4788" w:type="dxa"/>
          </w:tcPr>
          <w:p w:rsidR="00483DC7" w:rsidRPr="00B16812" w:rsidRDefault="00483DC7" w:rsidP="00872D73">
            <w:pPr>
              <w:rPr>
                <w:sz w:val="24"/>
                <w:szCs w:val="24"/>
                <w:lang w:val="mk-MK"/>
              </w:rPr>
            </w:pPr>
            <w:r w:rsidRPr="001E00DD">
              <w:rPr>
                <w:rFonts w:eastAsia="Times New Roman" w:cs="Times New Roman"/>
                <w:sz w:val="24"/>
                <w:szCs w:val="24"/>
                <w:lang w:val="mk-MK"/>
              </w:rPr>
              <w:t>Член 12, став 1, алинеја 2 е потребно да се дополни</w:t>
            </w:r>
          </w:p>
        </w:tc>
        <w:tc>
          <w:tcPr>
            <w:tcW w:w="4788" w:type="dxa"/>
          </w:tcPr>
          <w:p w:rsidR="00483DC7" w:rsidRPr="00B16812" w:rsidRDefault="00483DC7" w:rsidP="00483DC7">
            <w:pPr>
              <w:rPr>
                <w:rFonts w:eastAsia="Times New Roman" w:cs="Times New Roman"/>
                <w:sz w:val="24"/>
                <w:szCs w:val="24"/>
              </w:rPr>
            </w:pPr>
            <w:r w:rsidRPr="001E00DD">
              <w:rPr>
                <w:rFonts w:eastAsia="Times New Roman" w:cs="Times New Roman"/>
                <w:sz w:val="24"/>
                <w:szCs w:val="24"/>
                <w:lang w:val="mk-MK"/>
              </w:rPr>
              <w:t>Коморите може да да</w:t>
            </w:r>
            <w:r w:rsidRPr="00B16812">
              <w:rPr>
                <w:rFonts w:eastAsia="Times New Roman" w:cs="Times New Roman"/>
                <w:sz w:val="24"/>
                <w:szCs w:val="24"/>
                <w:lang w:val="mk-MK"/>
              </w:rPr>
              <w:t>ваат предлози и за стандардите за занимања и квалификации</w:t>
            </w:r>
          </w:p>
        </w:tc>
      </w:tr>
      <w:tr w:rsidR="00483DC7" w:rsidRPr="00B16812" w:rsidTr="00483DC7">
        <w:tc>
          <w:tcPr>
            <w:tcW w:w="4788" w:type="dxa"/>
          </w:tcPr>
          <w:p w:rsidR="00483DC7" w:rsidRPr="00B16812" w:rsidRDefault="009223EE" w:rsidP="00872D73">
            <w:pPr>
              <w:rPr>
                <w:sz w:val="24"/>
                <w:szCs w:val="24"/>
                <w:lang w:val="mk-MK"/>
              </w:rPr>
            </w:pPr>
            <w:r w:rsidRPr="001E00DD">
              <w:rPr>
                <w:rFonts w:eastAsia="Times New Roman" w:cs="Times New Roman"/>
                <w:sz w:val="24"/>
                <w:szCs w:val="24"/>
                <w:lang w:val="mk-MK"/>
              </w:rPr>
              <w:t>Член 14, став 2, алинеја 1 утврдува обврска понудувачите на образование на возрасни да ја реализираат програмата за образование на возрасни квалитетно.</w:t>
            </w:r>
          </w:p>
        </w:tc>
        <w:tc>
          <w:tcPr>
            <w:tcW w:w="4788" w:type="dxa"/>
          </w:tcPr>
          <w:p w:rsidR="009223EE" w:rsidRPr="00B16812" w:rsidRDefault="009223EE" w:rsidP="009223EE">
            <w:pPr>
              <w:rPr>
                <w:rFonts w:eastAsia="Times New Roman" w:cs="Times New Roman"/>
                <w:sz w:val="24"/>
                <w:szCs w:val="24"/>
                <w:lang w:val="mk-MK"/>
              </w:rPr>
            </w:pPr>
            <w:r w:rsidRPr="001E00DD">
              <w:rPr>
                <w:rFonts w:eastAsia="Times New Roman" w:cs="Times New Roman"/>
                <w:sz w:val="24"/>
                <w:szCs w:val="24"/>
                <w:lang w:val="mk-MK"/>
              </w:rPr>
              <w:t>Сметам</w:t>
            </w:r>
            <w:r w:rsidRPr="00B16812">
              <w:rPr>
                <w:rFonts w:eastAsia="Times New Roman" w:cs="Times New Roman"/>
                <w:sz w:val="24"/>
                <w:szCs w:val="24"/>
                <w:lang w:val="mk-MK"/>
              </w:rPr>
              <w:t>е</w:t>
            </w:r>
            <w:r w:rsidRPr="001E00DD">
              <w:rPr>
                <w:rFonts w:eastAsia="Times New Roman" w:cs="Times New Roman"/>
                <w:sz w:val="24"/>
                <w:szCs w:val="24"/>
                <w:lang w:val="mk-MK"/>
              </w:rPr>
              <w:t xml:space="preserve"> дека или треба да се прецизира или да се избрише бидејќи </w:t>
            </w:r>
            <w:r w:rsidRPr="00B16812">
              <w:rPr>
                <w:rFonts w:eastAsia="Times New Roman" w:cs="Times New Roman"/>
                <w:sz w:val="24"/>
                <w:szCs w:val="24"/>
                <w:lang w:val="mk-MK"/>
              </w:rPr>
              <w:t xml:space="preserve">останува нејасно што се подразбира под терминот </w:t>
            </w:r>
            <w:r w:rsidRPr="00B16812">
              <w:rPr>
                <w:rFonts w:eastAsia="Times New Roman" w:cs="Times New Roman"/>
                <w:b/>
                <w:sz w:val="24"/>
                <w:szCs w:val="24"/>
                <w:lang w:val="mk-MK"/>
              </w:rPr>
              <w:t>квалитетно</w:t>
            </w:r>
            <w:r w:rsidRPr="00B16812">
              <w:rPr>
                <w:rFonts w:eastAsia="Times New Roman" w:cs="Times New Roman"/>
                <w:sz w:val="24"/>
                <w:szCs w:val="24"/>
                <w:lang w:val="mk-MK"/>
              </w:rPr>
              <w:t>.</w:t>
            </w:r>
          </w:p>
          <w:p w:rsidR="00483DC7" w:rsidRPr="00B16812" w:rsidRDefault="009223EE" w:rsidP="009223EE">
            <w:pPr>
              <w:rPr>
                <w:rFonts w:eastAsia="Times New Roman" w:cs="Times New Roman"/>
                <w:sz w:val="24"/>
                <w:szCs w:val="24"/>
              </w:rPr>
            </w:pPr>
            <w:r w:rsidRPr="001E00DD">
              <w:rPr>
                <w:rFonts w:eastAsia="Times New Roman" w:cs="Times New Roman"/>
                <w:sz w:val="24"/>
                <w:szCs w:val="24"/>
                <w:lang w:val="mk-MK"/>
              </w:rPr>
              <w:t xml:space="preserve">Истиот став, во алинеја 4 на крај стојат </w:t>
            </w:r>
            <w:r w:rsidRPr="001E00DD">
              <w:rPr>
                <w:rFonts w:eastAsia="Times New Roman" w:cs="Times New Roman"/>
                <w:sz w:val="24"/>
                <w:szCs w:val="24"/>
                <w:lang w:val="mk-MK"/>
              </w:rPr>
              <w:lastRenderedPageBreak/>
              <w:t>зборовите и друго и треба да се избришат бидејќи во закон не треба да стои таква формулација</w:t>
            </w:r>
          </w:p>
        </w:tc>
      </w:tr>
      <w:tr w:rsidR="00483DC7" w:rsidRPr="00B16812" w:rsidTr="00483DC7">
        <w:tc>
          <w:tcPr>
            <w:tcW w:w="4788" w:type="dxa"/>
          </w:tcPr>
          <w:p w:rsidR="00483DC7" w:rsidRPr="00B16812" w:rsidRDefault="009223EE" w:rsidP="00872D73">
            <w:pPr>
              <w:rPr>
                <w:sz w:val="24"/>
                <w:szCs w:val="24"/>
                <w:lang w:val="mk-MK"/>
              </w:rPr>
            </w:pPr>
            <w:r w:rsidRPr="00B16812">
              <w:rPr>
                <w:sz w:val="24"/>
                <w:szCs w:val="24"/>
                <w:lang w:val="mk-MK"/>
              </w:rPr>
              <w:lastRenderedPageBreak/>
              <w:t>Член 21, став 1 да се корегира</w:t>
            </w:r>
          </w:p>
        </w:tc>
        <w:tc>
          <w:tcPr>
            <w:tcW w:w="4788" w:type="dxa"/>
          </w:tcPr>
          <w:p w:rsidR="00483DC7" w:rsidRPr="00B16812" w:rsidRDefault="009223EE" w:rsidP="00872D73">
            <w:pPr>
              <w:rPr>
                <w:rFonts w:eastAsia="Times New Roman" w:cs="Times New Roman"/>
                <w:sz w:val="24"/>
                <w:szCs w:val="24"/>
              </w:rPr>
            </w:pPr>
            <w:r w:rsidRPr="00B16812">
              <w:rPr>
                <w:rFonts w:cs="Arial"/>
                <w:sz w:val="24"/>
                <w:szCs w:val="24"/>
              </w:rPr>
              <w:t>Програмите ги реализираат наставници</w:t>
            </w:r>
            <w:r w:rsidRPr="00B16812">
              <w:rPr>
                <w:rFonts w:cs="Arial"/>
                <w:sz w:val="24"/>
                <w:szCs w:val="24"/>
                <w:lang w:val="mk-MK"/>
              </w:rPr>
              <w:t xml:space="preserve"> за образование на возрасни</w:t>
            </w:r>
            <w:r w:rsidRPr="00B16812">
              <w:rPr>
                <w:rFonts w:cs="Arial"/>
                <w:sz w:val="24"/>
                <w:szCs w:val="24"/>
              </w:rPr>
              <w:t>,</w:t>
            </w:r>
            <w:r w:rsidRPr="00B16812">
              <w:rPr>
                <w:rFonts w:cs="Arial"/>
                <w:strike/>
                <w:sz w:val="24"/>
                <w:szCs w:val="24"/>
              </w:rPr>
              <w:t xml:space="preserve"> професори,</w:t>
            </w:r>
            <w:r w:rsidRPr="00B16812">
              <w:rPr>
                <w:rFonts w:cs="Arial"/>
                <w:sz w:val="24"/>
                <w:szCs w:val="24"/>
              </w:rPr>
              <w:t xml:space="preserve"> инструктори за практична настава и стручни соработници.</w:t>
            </w:r>
          </w:p>
        </w:tc>
      </w:tr>
      <w:tr w:rsidR="00483DC7" w:rsidRPr="00B16812" w:rsidTr="00483DC7">
        <w:tc>
          <w:tcPr>
            <w:tcW w:w="4788" w:type="dxa"/>
          </w:tcPr>
          <w:p w:rsidR="00483DC7" w:rsidRPr="00B16812" w:rsidRDefault="009223EE" w:rsidP="009223EE">
            <w:pPr>
              <w:rPr>
                <w:sz w:val="24"/>
                <w:szCs w:val="24"/>
                <w:lang w:val="mk-MK"/>
              </w:rPr>
            </w:pPr>
            <w:r w:rsidRPr="00B16812">
              <w:rPr>
                <w:sz w:val="24"/>
                <w:szCs w:val="24"/>
                <w:lang w:val="mk-MK"/>
              </w:rPr>
              <w:t xml:space="preserve">Член 21, став </w:t>
            </w:r>
            <w:r w:rsidRPr="00B16812">
              <w:rPr>
                <w:sz w:val="24"/>
                <w:szCs w:val="24"/>
                <w:lang w:val="mk-MK"/>
              </w:rPr>
              <w:t>2</w:t>
            </w:r>
            <w:r w:rsidRPr="00B16812">
              <w:rPr>
                <w:sz w:val="24"/>
                <w:szCs w:val="24"/>
                <w:lang w:val="mk-MK"/>
              </w:rPr>
              <w:t xml:space="preserve"> да се корегира</w:t>
            </w:r>
          </w:p>
        </w:tc>
        <w:tc>
          <w:tcPr>
            <w:tcW w:w="4788" w:type="dxa"/>
          </w:tcPr>
          <w:p w:rsidR="00483DC7" w:rsidRPr="00B16812" w:rsidRDefault="009223EE" w:rsidP="009223EE">
            <w:pPr>
              <w:rPr>
                <w:rFonts w:eastAsia="Times New Roman" w:cs="Times New Roman"/>
                <w:sz w:val="24"/>
                <w:szCs w:val="24"/>
              </w:rPr>
            </w:pPr>
            <w:r w:rsidRPr="00B16812">
              <w:rPr>
                <w:rFonts w:cs="Arial"/>
                <w:sz w:val="24"/>
                <w:szCs w:val="24"/>
              </w:rPr>
              <w:t xml:space="preserve">Кадарот од ставот 1 на овој член треба да </w:t>
            </w:r>
            <w:r w:rsidRPr="00B16812">
              <w:rPr>
                <w:rFonts w:cs="Arial"/>
                <w:sz w:val="24"/>
                <w:szCs w:val="24"/>
                <w:lang w:val="mk-MK"/>
              </w:rPr>
              <w:t>поседува сертификат за успешно завршена обука за работа со возрасни, според акредитирана програма за обука</w:t>
            </w:r>
            <w:r w:rsidRPr="00B16812">
              <w:rPr>
                <w:rFonts w:cs="Arial"/>
                <w:sz w:val="24"/>
                <w:szCs w:val="24"/>
              </w:rPr>
              <w:t>.</w:t>
            </w:r>
          </w:p>
        </w:tc>
      </w:tr>
      <w:tr w:rsidR="00483DC7" w:rsidRPr="00B16812" w:rsidTr="00483DC7">
        <w:tc>
          <w:tcPr>
            <w:tcW w:w="4788" w:type="dxa"/>
          </w:tcPr>
          <w:p w:rsidR="00483DC7" w:rsidRPr="00B16812" w:rsidRDefault="00F9162C" w:rsidP="00872D73">
            <w:pPr>
              <w:rPr>
                <w:sz w:val="24"/>
                <w:szCs w:val="24"/>
                <w:lang w:val="mk-MK"/>
              </w:rPr>
            </w:pPr>
            <w:r w:rsidRPr="00B16812">
              <w:rPr>
                <w:sz w:val="24"/>
                <w:szCs w:val="24"/>
                <w:lang w:val="mk-MK"/>
              </w:rPr>
              <w:t>Да се стави посебна глава во Законот</w:t>
            </w:r>
          </w:p>
        </w:tc>
        <w:tc>
          <w:tcPr>
            <w:tcW w:w="4788" w:type="dxa"/>
          </w:tcPr>
          <w:p w:rsidR="00483DC7" w:rsidRPr="00B16812" w:rsidRDefault="00F9162C" w:rsidP="00872D73">
            <w:pPr>
              <w:rPr>
                <w:rFonts w:eastAsia="Times New Roman" w:cs="Times New Roman"/>
                <w:b/>
                <w:sz w:val="24"/>
                <w:szCs w:val="24"/>
                <w:lang w:val="mk-MK"/>
              </w:rPr>
            </w:pPr>
            <w:r w:rsidRPr="00B16812">
              <w:rPr>
                <w:rFonts w:eastAsia="Times New Roman" w:cs="Times New Roman"/>
                <w:b/>
                <w:sz w:val="24"/>
                <w:szCs w:val="24"/>
                <w:lang w:val="mk-MK"/>
              </w:rPr>
              <w:t>Обезбедување на квалитет</w:t>
            </w:r>
          </w:p>
          <w:p w:rsidR="00F9162C" w:rsidRPr="00B16812" w:rsidRDefault="00F9162C" w:rsidP="00F9162C">
            <w:pPr>
              <w:rPr>
                <w:rFonts w:eastAsia="Times New Roman" w:cs="Times New Roman"/>
                <w:sz w:val="24"/>
                <w:szCs w:val="24"/>
                <w:lang w:val="mk-MK"/>
              </w:rPr>
            </w:pPr>
          </w:p>
          <w:p w:rsidR="00F9162C" w:rsidRPr="00B16812" w:rsidRDefault="00F9162C" w:rsidP="00F9162C">
            <w:pPr>
              <w:rPr>
                <w:rFonts w:eastAsia="Times New Roman" w:cs="Times New Roman"/>
                <w:sz w:val="24"/>
                <w:szCs w:val="24"/>
                <w:lang w:val="mk-MK"/>
              </w:rPr>
            </w:pPr>
            <w:r w:rsidRPr="00B16812">
              <w:rPr>
                <w:rFonts w:eastAsia="Times New Roman" w:cs="Times New Roman"/>
                <w:sz w:val="24"/>
                <w:szCs w:val="24"/>
                <w:lang w:val="mk-MK"/>
              </w:rPr>
              <w:t xml:space="preserve">Во оваа глава треба да бидат вклучени интерното и екстерното обезбедување на квалитет. Вака како што е поставено се добива впечаток дека станува збор само за контрола/надзор од страна на државните служби. </w:t>
            </w:r>
          </w:p>
          <w:p w:rsidR="00F9162C" w:rsidRPr="00B16812" w:rsidRDefault="00F9162C" w:rsidP="00F9162C">
            <w:pPr>
              <w:rPr>
                <w:rFonts w:eastAsia="Times New Roman" w:cs="Times New Roman"/>
                <w:sz w:val="24"/>
                <w:szCs w:val="24"/>
                <w:lang w:val="mk-MK"/>
              </w:rPr>
            </w:pPr>
            <w:r w:rsidRPr="00B16812">
              <w:rPr>
                <w:rFonts w:eastAsia="Times New Roman" w:cs="Times New Roman"/>
                <w:sz w:val="24"/>
                <w:szCs w:val="24"/>
                <w:lang w:val="mk-MK"/>
              </w:rPr>
              <w:t>Обвде е местото да се упати на механизмите и страндардите за обезбедување на квалитет во образованието на возрасните кое мора подетално да биде разработено во подзаконски акт.</w:t>
            </w:r>
          </w:p>
        </w:tc>
      </w:tr>
      <w:tr w:rsidR="00483DC7" w:rsidRPr="00B16812" w:rsidTr="00483DC7">
        <w:tc>
          <w:tcPr>
            <w:tcW w:w="4788" w:type="dxa"/>
          </w:tcPr>
          <w:p w:rsidR="00483DC7" w:rsidRPr="00B16812" w:rsidRDefault="00483DC7" w:rsidP="00872D73">
            <w:pPr>
              <w:rPr>
                <w:sz w:val="24"/>
                <w:szCs w:val="24"/>
                <w:lang w:val="mk-MK"/>
              </w:rPr>
            </w:pPr>
          </w:p>
        </w:tc>
        <w:tc>
          <w:tcPr>
            <w:tcW w:w="4788" w:type="dxa"/>
          </w:tcPr>
          <w:p w:rsidR="00483DC7" w:rsidRPr="00B16812" w:rsidRDefault="00483DC7" w:rsidP="00872D73">
            <w:pPr>
              <w:rPr>
                <w:rFonts w:eastAsia="Times New Roman" w:cs="Times New Roman"/>
                <w:sz w:val="24"/>
                <w:szCs w:val="24"/>
              </w:rPr>
            </w:pPr>
          </w:p>
        </w:tc>
      </w:tr>
      <w:tr w:rsidR="00F9162C" w:rsidRPr="00B16812" w:rsidTr="00483DC7">
        <w:tc>
          <w:tcPr>
            <w:tcW w:w="4788" w:type="dxa"/>
          </w:tcPr>
          <w:p w:rsidR="00F9162C" w:rsidRPr="00B16812" w:rsidRDefault="00F9162C" w:rsidP="00872D73">
            <w:pPr>
              <w:rPr>
                <w:b/>
                <w:sz w:val="24"/>
                <w:szCs w:val="24"/>
                <w:lang w:val="mk-MK"/>
              </w:rPr>
            </w:pPr>
            <w:r w:rsidRPr="00B16812">
              <w:rPr>
                <w:b/>
                <w:sz w:val="24"/>
                <w:szCs w:val="24"/>
                <w:lang w:val="mk-MK"/>
              </w:rPr>
              <w:t>Дополнителни предлози</w:t>
            </w:r>
          </w:p>
        </w:tc>
        <w:tc>
          <w:tcPr>
            <w:tcW w:w="4788" w:type="dxa"/>
          </w:tcPr>
          <w:p w:rsidR="00F9162C" w:rsidRPr="00B16812" w:rsidRDefault="00F9162C" w:rsidP="006351F1">
            <w:pPr>
              <w:suppressAutoHyphens/>
              <w:spacing w:line="276" w:lineRule="auto"/>
              <w:jc w:val="both"/>
              <w:rPr>
                <w:rFonts w:cs="Arial"/>
                <w:sz w:val="24"/>
                <w:szCs w:val="24"/>
              </w:rPr>
            </w:pPr>
            <w:r w:rsidRPr="00B16812">
              <w:rPr>
                <w:rFonts w:cs="Arial"/>
                <w:b/>
                <w:sz w:val="24"/>
                <w:szCs w:val="24"/>
              </w:rPr>
              <w:t>Дизајнирање минимум стандарди и инструменти за квалитет</w:t>
            </w:r>
            <w:r w:rsidRPr="00B16812">
              <w:rPr>
                <w:rFonts w:cs="Arial"/>
                <w:sz w:val="24"/>
                <w:szCs w:val="24"/>
              </w:rPr>
              <w:t xml:space="preserve"> </w:t>
            </w:r>
            <w:r w:rsidRPr="00B16812">
              <w:rPr>
                <w:rFonts w:cs="Arial"/>
                <w:i/>
                <w:sz w:val="24"/>
                <w:szCs w:val="24"/>
              </w:rPr>
              <w:t>(екстерна комисија за завршен испит за учесниците од обуката, мерење на задоволството на учесниците од обуката, систем за следење на учесникот по завршување на обуката и одземање на правото за реализација на обука врз основа на утврдени неправилности)</w:t>
            </w:r>
          </w:p>
        </w:tc>
      </w:tr>
      <w:tr w:rsidR="00F9162C" w:rsidRPr="00B16812" w:rsidTr="00483DC7">
        <w:tc>
          <w:tcPr>
            <w:tcW w:w="4788" w:type="dxa"/>
          </w:tcPr>
          <w:p w:rsidR="00F9162C" w:rsidRPr="00B16812" w:rsidRDefault="00F9162C" w:rsidP="00872D73">
            <w:pPr>
              <w:rPr>
                <w:sz w:val="24"/>
                <w:szCs w:val="24"/>
                <w:lang w:val="mk-MK"/>
              </w:rPr>
            </w:pPr>
          </w:p>
        </w:tc>
        <w:tc>
          <w:tcPr>
            <w:tcW w:w="4788" w:type="dxa"/>
          </w:tcPr>
          <w:p w:rsidR="00F9162C" w:rsidRPr="00B16812" w:rsidRDefault="00F9162C" w:rsidP="006351F1">
            <w:pPr>
              <w:suppressAutoHyphens/>
              <w:spacing w:line="276" w:lineRule="auto"/>
              <w:jc w:val="both"/>
              <w:rPr>
                <w:rFonts w:cs="Arial"/>
                <w:sz w:val="24"/>
                <w:szCs w:val="24"/>
              </w:rPr>
            </w:pPr>
            <w:r w:rsidRPr="00B16812">
              <w:rPr>
                <w:rFonts w:cs="Arial"/>
                <w:sz w:val="24"/>
                <w:szCs w:val="24"/>
              </w:rPr>
              <w:t>Зголемување на времетраењето на верификуваните програми  од 3 на 5 години</w:t>
            </w:r>
          </w:p>
        </w:tc>
      </w:tr>
      <w:tr w:rsidR="00F9162C" w:rsidRPr="00B16812" w:rsidTr="00483DC7">
        <w:tc>
          <w:tcPr>
            <w:tcW w:w="4788" w:type="dxa"/>
          </w:tcPr>
          <w:p w:rsidR="00F9162C" w:rsidRPr="00B16812" w:rsidRDefault="00F9162C" w:rsidP="00872D73">
            <w:pPr>
              <w:rPr>
                <w:sz w:val="24"/>
                <w:szCs w:val="24"/>
                <w:lang w:val="mk-MK"/>
              </w:rPr>
            </w:pPr>
          </w:p>
        </w:tc>
        <w:tc>
          <w:tcPr>
            <w:tcW w:w="4788" w:type="dxa"/>
          </w:tcPr>
          <w:p w:rsidR="00F9162C" w:rsidRPr="00B16812" w:rsidRDefault="00F9162C" w:rsidP="006351F1">
            <w:pPr>
              <w:suppressAutoHyphens/>
              <w:spacing w:line="276" w:lineRule="auto"/>
              <w:jc w:val="both"/>
              <w:rPr>
                <w:rFonts w:cs="Arial"/>
                <w:sz w:val="24"/>
                <w:szCs w:val="24"/>
              </w:rPr>
            </w:pPr>
            <w:r w:rsidRPr="00B16812">
              <w:rPr>
                <w:rFonts w:cs="Arial"/>
                <w:sz w:val="24"/>
                <w:szCs w:val="24"/>
              </w:rPr>
              <w:t>Секторска акредитација на установата/институцијата, не според поединечно доставените програми за обука</w:t>
            </w:r>
          </w:p>
        </w:tc>
      </w:tr>
      <w:tr w:rsidR="00F9162C" w:rsidRPr="00B16812" w:rsidTr="00483DC7">
        <w:tc>
          <w:tcPr>
            <w:tcW w:w="4788" w:type="dxa"/>
          </w:tcPr>
          <w:p w:rsidR="00F9162C" w:rsidRPr="00B16812" w:rsidRDefault="00F9162C" w:rsidP="00872D73">
            <w:pPr>
              <w:rPr>
                <w:sz w:val="24"/>
                <w:szCs w:val="24"/>
                <w:lang w:val="mk-MK"/>
              </w:rPr>
            </w:pPr>
          </w:p>
        </w:tc>
        <w:tc>
          <w:tcPr>
            <w:tcW w:w="4788" w:type="dxa"/>
          </w:tcPr>
          <w:p w:rsidR="00F9162C" w:rsidRPr="00B16812" w:rsidRDefault="00F9162C" w:rsidP="006351F1">
            <w:pPr>
              <w:suppressAutoHyphens/>
              <w:spacing w:line="276" w:lineRule="auto"/>
              <w:jc w:val="both"/>
              <w:rPr>
                <w:rFonts w:cs="Arial"/>
                <w:sz w:val="24"/>
                <w:szCs w:val="24"/>
              </w:rPr>
            </w:pPr>
            <w:r w:rsidRPr="00B16812">
              <w:rPr>
                <w:rFonts w:cs="Arial"/>
                <w:sz w:val="24"/>
                <w:szCs w:val="24"/>
              </w:rPr>
              <w:t xml:space="preserve">Флексибилност на Комисијата за </w:t>
            </w:r>
            <w:r w:rsidRPr="00B16812">
              <w:rPr>
                <w:rFonts w:cs="Arial"/>
                <w:sz w:val="24"/>
                <w:szCs w:val="24"/>
              </w:rPr>
              <w:lastRenderedPageBreak/>
              <w:t>акредитација на установа/институција за образование на возрасните по однос на времето за реализација на увидот и начинот на вршење на увидот за проверка на исполнетоста на условите</w:t>
            </w:r>
          </w:p>
        </w:tc>
      </w:tr>
      <w:tr w:rsidR="00F9162C" w:rsidRPr="00B16812" w:rsidTr="00483DC7">
        <w:tc>
          <w:tcPr>
            <w:tcW w:w="4788" w:type="dxa"/>
          </w:tcPr>
          <w:p w:rsidR="00F9162C" w:rsidRPr="00B16812" w:rsidRDefault="00F9162C" w:rsidP="00872D73">
            <w:pPr>
              <w:rPr>
                <w:sz w:val="24"/>
                <w:szCs w:val="24"/>
                <w:lang w:val="mk-MK"/>
              </w:rPr>
            </w:pPr>
          </w:p>
        </w:tc>
        <w:tc>
          <w:tcPr>
            <w:tcW w:w="4788" w:type="dxa"/>
          </w:tcPr>
          <w:p w:rsidR="00F9162C" w:rsidRPr="00B16812" w:rsidRDefault="00F9162C" w:rsidP="006351F1">
            <w:pPr>
              <w:suppressAutoHyphens/>
              <w:spacing w:line="276" w:lineRule="auto"/>
              <w:jc w:val="both"/>
              <w:rPr>
                <w:rFonts w:cs="Arial"/>
                <w:sz w:val="24"/>
                <w:szCs w:val="24"/>
              </w:rPr>
            </w:pPr>
            <w:r w:rsidRPr="00B16812">
              <w:rPr>
                <w:rFonts w:cs="Arial"/>
                <w:sz w:val="24"/>
                <w:szCs w:val="24"/>
              </w:rPr>
              <w:t>Олеснување на постапката за повторна акредитација на установа/институција</w:t>
            </w:r>
          </w:p>
        </w:tc>
      </w:tr>
      <w:tr w:rsidR="00F9162C" w:rsidRPr="00B16812" w:rsidTr="00483DC7">
        <w:tc>
          <w:tcPr>
            <w:tcW w:w="4788" w:type="dxa"/>
          </w:tcPr>
          <w:p w:rsidR="00F9162C" w:rsidRPr="00B16812" w:rsidRDefault="00F9162C" w:rsidP="00872D73">
            <w:pPr>
              <w:rPr>
                <w:sz w:val="24"/>
                <w:szCs w:val="24"/>
                <w:lang w:val="mk-MK"/>
              </w:rPr>
            </w:pPr>
          </w:p>
        </w:tc>
        <w:tc>
          <w:tcPr>
            <w:tcW w:w="4788" w:type="dxa"/>
          </w:tcPr>
          <w:p w:rsidR="00F9162C" w:rsidRPr="00B16812" w:rsidRDefault="00F9162C" w:rsidP="006351F1">
            <w:pPr>
              <w:suppressAutoHyphens/>
              <w:spacing w:line="276" w:lineRule="auto"/>
              <w:jc w:val="both"/>
              <w:rPr>
                <w:rFonts w:cs="Arial"/>
                <w:sz w:val="24"/>
                <w:szCs w:val="24"/>
              </w:rPr>
            </w:pPr>
            <w:r w:rsidRPr="00B16812">
              <w:rPr>
                <w:rFonts w:cs="Arial"/>
                <w:sz w:val="24"/>
                <w:szCs w:val="24"/>
              </w:rPr>
              <w:t>Вклученост на работодавачите преку  Комората во контрола за квалитетот на обуките</w:t>
            </w:r>
          </w:p>
        </w:tc>
      </w:tr>
      <w:tr w:rsidR="00F9162C" w:rsidRPr="00B16812" w:rsidTr="00483DC7">
        <w:tc>
          <w:tcPr>
            <w:tcW w:w="4788" w:type="dxa"/>
          </w:tcPr>
          <w:p w:rsidR="00F9162C" w:rsidRPr="00B16812" w:rsidRDefault="00F9162C" w:rsidP="00872D73">
            <w:pPr>
              <w:rPr>
                <w:sz w:val="24"/>
                <w:szCs w:val="24"/>
                <w:lang w:val="mk-MK"/>
              </w:rPr>
            </w:pPr>
          </w:p>
        </w:tc>
        <w:tc>
          <w:tcPr>
            <w:tcW w:w="4788" w:type="dxa"/>
          </w:tcPr>
          <w:p w:rsidR="00F9162C" w:rsidRPr="00B16812" w:rsidRDefault="00F9162C" w:rsidP="00872D73">
            <w:pPr>
              <w:rPr>
                <w:rFonts w:eastAsia="Times New Roman" w:cs="Times New Roman"/>
                <w:sz w:val="24"/>
                <w:szCs w:val="24"/>
              </w:rPr>
            </w:pPr>
          </w:p>
        </w:tc>
      </w:tr>
      <w:tr w:rsidR="00F9162C" w:rsidRPr="00B16812" w:rsidTr="00483DC7">
        <w:tc>
          <w:tcPr>
            <w:tcW w:w="4788" w:type="dxa"/>
          </w:tcPr>
          <w:p w:rsidR="00F9162C" w:rsidRPr="00B16812" w:rsidRDefault="00F754BF" w:rsidP="00872D73">
            <w:pPr>
              <w:rPr>
                <w:b/>
                <w:sz w:val="24"/>
                <w:szCs w:val="24"/>
                <w:lang w:val="mk-MK"/>
              </w:rPr>
            </w:pPr>
            <w:r w:rsidRPr="00B16812">
              <w:rPr>
                <w:b/>
                <w:sz w:val="24"/>
                <w:szCs w:val="24"/>
                <w:lang w:val="mk-MK"/>
              </w:rPr>
              <w:t>Паралелно со процесот на донесување на Законот за образование на возрасните да се работи и на измени и дополнување на Законот за отворени граѓански универзитети за доживотно учење.</w:t>
            </w:r>
            <w:bookmarkStart w:id="0" w:name="_GoBack"/>
            <w:bookmarkEnd w:id="0"/>
          </w:p>
        </w:tc>
        <w:tc>
          <w:tcPr>
            <w:tcW w:w="4788" w:type="dxa"/>
          </w:tcPr>
          <w:p w:rsidR="00F9162C" w:rsidRPr="00B16812" w:rsidRDefault="00F754BF" w:rsidP="00B16812">
            <w:pPr>
              <w:rPr>
                <w:rFonts w:eastAsia="Times New Roman" w:cs="Times New Roman"/>
                <w:sz w:val="24"/>
                <w:szCs w:val="24"/>
                <w:lang w:val="mk-MK"/>
              </w:rPr>
            </w:pPr>
            <w:r w:rsidRPr="00B16812">
              <w:rPr>
                <w:rFonts w:eastAsia="Times New Roman" w:cs="Times New Roman"/>
                <w:sz w:val="24"/>
                <w:szCs w:val="24"/>
                <w:lang w:val="mk-MK"/>
              </w:rPr>
              <w:t>Прилог: Барање од страна на Здружението на работничките</w:t>
            </w:r>
            <w:r w:rsidR="00B16812" w:rsidRPr="00B16812">
              <w:rPr>
                <w:rFonts w:eastAsia="Times New Roman" w:cs="Times New Roman"/>
                <w:sz w:val="24"/>
                <w:szCs w:val="24"/>
                <w:lang w:val="mk-MK"/>
              </w:rPr>
              <w:t xml:space="preserve"> и народните</w:t>
            </w:r>
            <w:r w:rsidRPr="00B16812">
              <w:rPr>
                <w:rFonts w:eastAsia="Times New Roman" w:cs="Times New Roman"/>
                <w:sz w:val="24"/>
                <w:szCs w:val="24"/>
                <w:lang w:val="mk-MK"/>
              </w:rPr>
              <w:t xml:space="preserve"> универзитети </w:t>
            </w:r>
            <w:r w:rsidR="00B16812" w:rsidRPr="00B16812">
              <w:rPr>
                <w:rFonts w:eastAsia="Times New Roman" w:cs="Times New Roman"/>
                <w:sz w:val="24"/>
                <w:szCs w:val="24"/>
                <w:lang w:val="mk-MK"/>
              </w:rPr>
              <w:t>на</w:t>
            </w:r>
            <w:r w:rsidRPr="00B16812">
              <w:rPr>
                <w:rFonts w:eastAsia="Times New Roman" w:cs="Times New Roman"/>
                <w:sz w:val="24"/>
                <w:szCs w:val="24"/>
                <w:lang w:val="mk-MK"/>
              </w:rPr>
              <w:t xml:space="preserve"> Македонија</w:t>
            </w:r>
          </w:p>
        </w:tc>
      </w:tr>
    </w:tbl>
    <w:p w:rsidR="004520CC" w:rsidRDefault="004520CC" w:rsidP="00483DC7">
      <w:pPr>
        <w:rPr>
          <w:lang w:val="mk-MK"/>
        </w:rPr>
      </w:pPr>
    </w:p>
    <w:p w:rsidR="00B16812" w:rsidRDefault="00B16812" w:rsidP="00483DC7">
      <w:pPr>
        <w:rPr>
          <w:lang w:val="mk-MK"/>
        </w:rPr>
      </w:pPr>
    </w:p>
    <w:sectPr w:rsidR="00B168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B7ACA"/>
    <w:multiLevelType w:val="hybridMultilevel"/>
    <w:tmpl w:val="36829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DC7"/>
    <w:rsid w:val="00205F79"/>
    <w:rsid w:val="004520CC"/>
    <w:rsid w:val="00483DC7"/>
    <w:rsid w:val="00524D49"/>
    <w:rsid w:val="009223EE"/>
    <w:rsid w:val="00B16812"/>
    <w:rsid w:val="00BB1E01"/>
    <w:rsid w:val="00E0592A"/>
    <w:rsid w:val="00F754BF"/>
    <w:rsid w:val="00F91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3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
    <w:name w:val="footnote"/>
    <w:basedOn w:val="DefaultParagraphFont"/>
    <w:rsid w:val="00BB1E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3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
    <w:name w:val="footnote"/>
    <w:basedOn w:val="DefaultParagraphFont"/>
    <w:rsid w:val="00BB1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990</Words>
  <Characters>5647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2019-12-08T15:28:00Z</dcterms:created>
  <dcterms:modified xsi:type="dcterms:W3CDTF">2019-12-08T16:21:00Z</dcterms:modified>
</cp:coreProperties>
</file>