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74" w:rsidRPr="00C3200C" w:rsidRDefault="00E26274" w:rsidP="00E64D8C">
      <w:pPr>
        <w:jc w:val="both"/>
        <w:rPr>
          <w:b/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Во контекст на </w:t>
      </w:r>
      <w:r w:rsidR="000331DC" w:rsidRPr="00C3200C">
        <w:rPr>
          <w:sz w:val="24"/>
          <w:szCs w:val="24"/>
          <w:lang w:val="mk-MK"/>
        </w:rPr>
        <w:t>П</w:t>
      </w:r>
      <w:r w:rsidRPr="00C3200C">
        <w:rPr>
          <w:sz w:val="24"/>
          <w:szCs w:val="24"/>
          <w:lang w:val="mk-MK"/>
        </w:rPr>
        <w:t xml:space="preserve">редлог – Законот за вештачење во прилог ги доставуваме следните коментари и воедно инсистираме истите да бидат разгледани со големо внимание од причина што и по доставено барање </w:t>
      </w:r>
      <w:r w:rsidR="000331DC" w:rsidRPr="00C3200C">
        <w:rPr>
          <w:sz w:val="24"/>
          <w:szCs w:val="24"/>
          <w:lang w:val="mk-MK"/>
        </w:rPr>
        <w:t xml:space="preserve">од 30.10.2019 година </w:t>
      </w:r>
      <w:r w:rsidRPr="00C3200C">
        <w:rPr>
          <w:sz w:val="24"/>
          <w:szCs w:val="24"/>
          <w:lang w:val="mk-MK"/>
        </w:rPr>
        <w:t>за средба со надлежното министерство со цел доставување на наши забелешки кои произлегуваат од пракса како вешти лица кои работат во о</w:t>
      </w:r>
      <w:r w:rsidR="006A16F6" w:rsidRPr="00C3200C">
        <w:rPr>
          <w:sz w:val="24"/>
          <w:szCs w:val="24"/>
          <w:lang w:val="mk-MK"/>
        </w:rPr>
        <w:t>ваа област речиси цела деценија</w:t>
      </w:r>
      <w:r w:rsidR="000331DC" w:rsidRPr="00C3200C">
        <w:rPr>
          <w:sz w:val="24"/>
          <w:szCs w:val="24"/>
          <w:lang w:val="mk-MK"/>
        </w:rPr>
        <w:t>, истото не е земено во предвид , а нешто видн</w:t>
      </w:r>
      <w:r w:rsidR="006A16F6" w:rsidRPr="00C3200C">
        <w:rPr>
          <w:sz w:val="24"/>
          <w:szCs w:val="24"/>
          <w:lang w:val="mk-MK"/>
        </w:rPr>
        <w:t>о од текстот на предлог законот</w:t>
      </w:r>
      <w:r w:rsidR="000331DC" w:rsidRPr="00C3200C">
        <w:rPr>
          <w:sz w:val="24"/>
          <w:szCs w:val="24"/>
          <w:lang w:val="mk-MK"/>
        </w:rPr>
        <w:t xml:space="preserve">, па во оваа прилика го користиме нашето право за доставување на наши коментари кои се надеваме дека ќе влијаат во оваа јавна расправа предлог текстот да биде корегиран врз основа на </w:t>
      </w:r>
      <w:r w:rsidR="000331DC" w:rsidRPr="00C3200C">
        <w:rPr>
          <w:b/>
          <w:sz w:val="24"/>
          <w:szCs w:val="24"/>
          <w:lang w:val="mk-MK"/>
        </w:rPr>
        <w:t>нашите аргументи базирани на докази што е и целта на овој дел од постапката за креирање на закон кој ќе биде од интерес за правосудниот систе</w:t>
      </w:r>
      <w:r w:rsidR="00781B31" w:rsidRPr="00C3200C">
        <w:rPr>
          <w:b/>
          <w:sz w:val="24"/>
          <w:szCs w:val="24"/>
          <w:lang w:val="mk-MK"/>
        </w:rPr>
        <w:t>м</w:t>
      </w:r>
      <w:r w:rsidR="00AE6AD2" w:rsidRPr="00C3200C">
        <w:rPr>
          <w:b/>
          <w:sz w:val="24"/>
          <w:szCs w:val="24"/>
        </w:rPr>
        <w:t xml:space="preserve">, </w:t>
      </w:r>
      <w:r w:rsidR="00AE6AD2" w:rsidRPr="00C3200C">
        <w:rPr>
          <w:b/>
          <w:sz w:val="24"/>
          <w:szCs w:val="24"/>
          <w:lang w:val="mk-MK"/>
        </w:rPr>
        <w:t xml:space="preserve">но и од интерес на </w:t>
      </w:r>
      <w:r w:rsidR="00781B31" w:rsidRPr="00C3200C">
        <w:rPr>
          <w:b/>
          <w:sz w:val="24"/>
          <w:szCs w:val="24"/>
          <w:lang w:val="mk-MK"/>
        </w:rPr>
        <w:t>ЕУ</w:t>
      </w:r>
      <w:r w:rsidR="000331DC" w:rsidRPr="00C3200C">
        <w:rPr>
          <w:b/>
          <w:sz w:val="24"/>
          <w:szCs w:val="24"/>
          <w:lang w:val="mk-MK"/>
        </w:rPr>
        <w:t xml:space="preserve"> кои вложува</w:t>
      </w:r>
      <w:r w:rsidR="00781B31" w:rsidRPr="00C3200C">
        <w:rPr>
          <w:b/>
          <w:sz w:val="24"/>
          <w:szCs w:val="24"/>
          <w:lang w:val="mk-MK"/>
        </w:rPr>
        <w:t>ат</w:t>
      </w:r>
      <w:r w:rsidR="000331DC" w:rsidRPr="00C3200C">
        <w:rPr>
          <w:b/>
          <w:sz w:val="24"/>
          <w:szCs w:val="24"/>
          <w:lang w:val="mk-MK"/>
        </w:rPr>
        <w:t xml:space="preserve"> во </w:t>
      </w:r>
      <w:r w:rsidR="00781B31" w:rsidRPr="00C3200C">
        <w:rPr>
          <w:b/>
          <w:sz w:val="24"/>
          <w:szCs w:val="24"/>
          <w:lang w:val="mk-MK"/>
        </w:rPr>
        <w:t>усовршување и правилна примена на ПВР процесот</w:t>
      </w:r>
      <w:r w:rsidR="000331DC" w:rsidRPr="00C3200C">
        <w:rPr>
          <w:b/>
          <w:sz w:val="24"/>
          <w:szCs w:val="24"/>
          <w:lang w:val="mk-MK"/>
        </w:rPr>
        <w:t xml:space="preserve"> . </w:t>
      </w:r>
    </w:p>
    <w:p w:rsidR="000331DC" w:rsidRPr="00C3200C" w:rsidRDefault="00533F13" w:rsidP="00E64D8C">
      <w:p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На стариот закон нашите забелешки беа : </w:t>
      </w:r>
    </w:p>
    <w:p w:rsidR="00E64D8C" w:rsidRPr="00C3200C" w:rsidRDefault="00E64D8C" w:rsidP="00E64D8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Член 5 </w:t>
      </w:r>
      <w:r w:rsidR="00A05827" w:rsidRPr="00C3200C">
        <w:rPr>
          <w:sz w:val="24"/>
          <w:szCs w:val="24"/>
          <w:lang w:val="mk-MK"/>
        </w:rPr>
        <w:t xml:space="preserve">од Законот за Вештачење </w:t>
      </w:r>
      <w:r w:rsidRPr="00C3200C">
        <w:rPr>
          <w:sz w:val="24"/>
          <w:szCs w:val="24"/>
          <w:lang w:val="mk-MK"/>
        </w:rPr>
        <w:t xml:space="preserve">е одредба која не наоѓа примена во пракса и во сегашните судски постапки , поради што бараме модул </w:t>
      </w:r>
      <w:r w:rsidR="00F96D2D" w:rsidRPr="00C3200C">
        <w:rPr>
          <w:sz w:val="24"/>
          <w:szCs w:val="24"/>
          <w:lang w:val="mk-MK"/>
        </w:rPr>
        <w:t xml:space="preserve">- оваа одредба да остане и да се надополни </w:t>
      </w:r>
      <w:r w:rsidRPr="00C3200C">
        <w:rPr>
          <w:sz w:val="24"/>
          <w:szCs w:val="24"/>
          <w:lang w:val="mk-MK"/>
        </w:rPr>
        <w:t xml:space="preserve">со </w:t>
      </w:r>
      <w:r w:rsidR="00F96D2D" w:rsidRPr="00C3200C">
        <w:rPr>
          <w:sz w:val="24"/>
          <w:szCs w:val="24"/>
          <w:lang w:val="mk-MK"/>
        </w:rPr>
        <w:t xml:space="preserve">законска облигација </w:t>
      </w:r>
      <w:r w:rsidR="0078754B" w:rsidRPr="00C3200C">
        <w:rPr>
          <w:sz w:val="24"/>
          <w:szCs w:val="24"/>
          <w:lang w:val="mk-MK"/>
        </w:rPr>
        <w:t xml:space="preserve">за </w:t>
      </w:r>
      <w:r w:rsidRPr="00C3200C">
        <w:rPr>
          <w:sz w:val="24"/>
          <w:szCs w:val="24"/>
          <w:lang w:val="mk-MK"/>
        </w:rPr>
        <w:t xml:space="preserve">сите вешти лица своите вешти наоди ќе ги работат преку правен субјект со деловоден број и покриени со осигурување од одговорнаст согласно член 24 став 2 од Законот за вештачење, </w:t>
      </w:r>
    </w:p>
    <w:p w:rsidR="00347178" w:rsidRPr="00C3200C" w:rsidRDefault="00A05827" w:rsidP="0034717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Постоечкиот Закон за вештачење не содржи рамка </w:t>
      </w:r>
      <w:r w:rsidR="006349B3" w:rsidRPr="00C3200C">
        <w:rPr>
          <w:sz w:val="24"/>
          <w:szCs w:val="24"/>
          <w:lang w:val="mk-MK"/>
        </w:rPr>
        <w:t xml:space="preserve">на основни елементи што еден вешт наод и мислење треба да </w:t>
      </w:r>
      <w:r w:rsidR="004F10DC" w:rsidRPr="00C3200C">
        <w:rPr>
          <w:sz w:val="24"/>
          <w:szCs w:val="24"/>
          <w:lang w:val="mk-MK"/>
        </w:rPr>
        <w:t xml:space="preserve">ги </w:t>
      </w:r>
      <w:r w:rsidR="006349B3" w:rsidRPr="00C3200C">
        <w:rPr>
          <w:sz w:val="24"/>
          <w:szCs w:val="24"/>
          <w:lang w:val="mk-MK"/>
        </w:rPr>
        <w:t>содржи – неопходни се основни критериуми ( кој би овозможиле вештачењата да содржат основни задолжителни елементи) со кое нешто би се избегнале нарачаните вештачења. Наодите би биле базирани исклучиво на факти и докази обезбедени од вештото лице кои по наше видување би биле задолжителен составен дел на вештиот наод ( и во секој случај би се избегнале сомнежите како</w:t>
      </w:r>
      <w:r w:rsidR="00347178" w:rsidRPr="00C3200C">
        <w:rPr>
          <w:sz w:val="24"/>
          <w:szCs w:val="24"/>
          <w:lang w:val="mk-MK"/>
        </w:rPr>
        <w:t xml:space="preserve"> е утврдена фактичката состојба</w:t>
      </w:r>
      <w:r w:rsidR="006349B3" w:rsidRPr="00C3200C">
        <w:rPr>
          <w:sz w:val="24"/>
          <w:szCs w:val="24"/>
          <w:lang w:val="mk-MK"/>
        </w:rPr>
        <w:t xml:space="preserve">, но овие прилози би претставувале доказ како вештото лице има спроведено одредена методологија за да дојде до одржливи решенија кои се содржат во неговото мислење). </w:t>
      </w:r>
    </w:p>
    <w:p w:rsidR="00347178" w:rsidRPr="00C3200C" w:rsidRDefault="006349B3" w:rsidP="00347178">
      <w:pPr>
        <w:pStyle w:val="ListParagraph"/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Нашиот предлог се базира на дефинирање форма , облик или терк на содржина </w:t>
      </w:r>
      <w:r w:rsidR="00347178" w:rsidRPr="00C3200C">
        <w:rPr>
          <w:sz w:val="24"/>
          <w:szCs w:val="24"/>
          <w:lang w:val="mk-MK"/>
        </w:rPr>
        <w:t xml:space="preserve">како еден вешт наод треба да изгледа, по одредени области и со јасно дефинирани критериуми врз основа на што ( </w:t>
      </w:r>
      <w:r w:rsidR="004F10DC" w:rsidRPr="00C3200C">
        <w:rPr>
          <w:sz w:val="24"/>
          <w:szCs w:val="24"/>
          <w:lang w:val="mk-MK"/>
        </w:rPr>
        <w:t xml:space="preserve">врз основа на </w:t>
      </w:r>
      <w:r w:rsidR="00347178" w:rsidRPr="00C3200C">
        <w:rPr>
          <w:sz w:val="24"/>
          <w:szCs w:val="24"/>
          <w:lang w:val="mk-MK"/>
        </w:rPr>
        <w:t xml:space="preserve">доказен матријал може вештиот наод и мислење да се базира на </w:t>
      </w:r>
      <w:r w:rsidR="009642DB" w:rsidRPr="00C3200C">
        <w:rPr>
          <w:sz w:val="24"/>
          <w:szCs w:val="24"/>
          <w:lang w:val="mk-MK"/>
        </w:rPr>
        <w:t xml:space="preserve">официјални </w:t>
      </w:r>
      <w:r w:rsidR="00347178" w:rsidRPr="00C3200C">
        <w:rPr>
          <w:sz w:val="24"/>
          <w:szCs w:val="24"/>
          <w:lang w:val="mk-MK"/>
        </w:rPr>
        <w:t>анализи, пропратна релевантна документација</w:t>
      </w:r>
      <w:r w:rsidR="009642DB" w:rsidRPr="00C3200C">
        <w:rPr>
          <w:sz w:val="24"/>
          <w:szCs w:val="24"/>
          <w:lang w:val="mk-MK"/>
        </w:rPr>
        <w:t>,</w:t>
      </w:r>
      <w:r w:rsidR="00347178" w:rsidRPr="00C3200C">
        <w:rPr>
          <w:sz w:val="24"/>
          <w:szCs w:val="24"/>
          <w:lang w:val="mk-MK"/>
        </w:rPr>
        <w:t xml:space="preserve"> слики и друг вид на матријали добиени од увид во зависност од областа на вештачење – </w:t>
      </w:r>
      <w:r w:rsidR="004F10DC" w:rsidRPr="00C3200C">
        <w:rPr>
          <w:sz w:val="24"/>
          <w:szCs w:val="24"/>
          <w:lang w:val="mk-MK"/>
        </w:rPr>
        <w:t>податоци од</w:t>
      </w:r>
      <w:r w:rsidR="00347178" w:rsidRPr="00C3200C">
        <w:rPr>
          <w:sz w:val="24"/>
          <w:szCs w:val="24"/>
          <w:lang w:val="mk-MK"/>
        </w:rPr>
        <w:t xml:space="preserve"> центарлните бази на податоци на надлежни управни органи, јавни книги и регистри – од институции, установи и </w:t>
      </w:r>
      <w:r w:rsidR="005F4187" w:rsidRPr="00C3200C">
        <w:rPr>
          <w:sz w:val="24"/>
          <w:szCs w:val="24"/>
          <w:lang w:val="mk-MK"/>
        </w:rPr>
        <w:t>државни јавни претпријатија</w:t>
      </w:r>
      <w:r w:rsidR="00347178" w:rsidRPr="00C3200C">
        <w:rPr>
          <w:sz w:val="24"/>
          <w:szCs w:val="24"/>
          <w:lang w:val="mk-MK"/>
        </w:rPr>
        <w:t xml:space="preserve"> кои вршат евиденции – а добиени со пристап до тие податоци </w:t>
      </w:r>
      <w:r w:rsidR="009642DB" w:rsidRPr="00C3200C">
        <w:rPr>
          <w:sz w:val="24"/>
          <w:szCs w:val="24"/>
          <w:lang w:val="mk-MK"/>
        </w:rPr>
        <w:t>п</w:t>
      </w:r>
      <w:r w:rsidR="00347178" w:rsidRPr="00C3200C">
        <w:rPr>
          <w:sz w:val="24"/>
          <w:szCs w:val="24"/>
          <w:lang w:val="mk-MK"/>
        </w:rPr>
        <w:t xml:space="preserve">о електронски пат </w:t>
      </w:r>
      <w:r w:rsidR="009642DB" w:rsidRPr="00C3200C">
        <w:rPr>
          <w:sz w:val="24"/>
          <w:szCs w:val="24"/>
          <w:lang w:val="mk-MK"/>
        </w:rPr>
        <w:t xml:space="preserve"> или во друга официјално добиена форма</w:t>
      </w:r>
      <w:r w:rsidR="00347178" w:rsidRPr="00C3200C">
        <w:rPr>
          <w:sz w:val="24"/>
          <w:szCs w:val="24"/>
          <w:lang w:val="mk-MK"/>
        </w:rPr>
        <w:t>).</w:t>
      </w:r>
    </w:p>
    <w:p w:rsidR="005F4187" w:rsidRPr="00C3200C" w:rsidRDefault="006349B3" w:rsidP="005F41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Ве известуваме дека </w:t>
      </w:r>
      <w:r w:rsidR="004F10DC" w:rsidRPr="00C3200C">
        <w:rPr>
          <w:sz w:val="24"/>
          <w:szCs w:val="24"/>
          <w:lang w:val="mk-MK"/>
        </w:rPr>
        <w:t>во пракса не се имплементира член 30 став 1 од Законот за вештачење, во кој е предвидено податоците од надлежни дравни институци</w:t>
      </w:r>
      <w:r w:rsidR="006A16F6" w:rsidRPr="00C3200C">
        <w:rPr>
          <w:sz w:val="24"/>
          <w:szCs w:val="24"/>
          <w:lang w:val="mk-MK"/>
        </w:rPr>
        <w:t xml:space="preserve">и да </w:t>
      </w:r>
      <w:r w:rsidR="006A16F6" w:rsidRPr="00C3200C">
        <w:rPr>
          <w:sz w:val="24"/>
          <w:szCs w:val="24"/>
          <w:lang w:val="mk-MK"/>
        </w:rPr>
        <w:lastRenderedPageBreak/>
        <w:t>бидат добиени без надомест</w:t>
      </w:r>
      <w:r w:rsidR="004F10DC" w:rsidRPr="00C3200C">
        <w:rPr>
          <w:sz w:val="24"/>
          <w:szCs w:val="24"/>
          <w:lang w:val="mk-MK"/>
        </w:rPr>
        <w:t xml:space="preserve">. Во конкретниот случај Агенција за катастар на недвижности не дозволува обезбедување на податоци од нивната институција без надомест , а овие трошоци не се признаваат од судот . </w:t>
      </w:r>
      <w:r w:rsidR="00ED176E" w:rsidRPr="00C3200C">
        <w:rPr>
          <w:sz w:val="24"/>
          <w:szCs w:val="24"/>
          <w:lang w:val="mk-MK"/>
        </w:rPr>
        <w:t>Нашата сугестија е да се изнајде форма овие трошоци да бидат наведени и составен дел од Троковникот за вештачење кои судот ќе ги признае</w:t>
      </w:r>
      <w:r w:rsidR="004F10DC" w:rsidRPr="00C3200C">
        <w:rPr>
          <w:sz w:val="24"/>
          <w:szCs w:val="24"/>
          <w:lang w:val="mk-MK"/>
        </w:rPr>
        <w:t xml:space="preserve"> – односно да бидат наведени во</w:t>
      </w:r>
      <w:r w:rsidR="00E64D8C" w:rsidRPr="00C3200C">
        <w:rPr>
          <w:sz w:val="24"/>
          <w:szCs w:val="24"/>
          <w:lang w:val="mk-MK"/>
        </w:rPr>
        <w:t xml:space="preserve"> вештиот наод</w:t>
      </w:r>
      <w:r w:rsidR="005F4187" w:rsidRPr="00C3200C">
        <w:rPr>
          <w:sz w:val="24"/>
          <w:szCs w:val="24"/>
          <w:lang w:val="mk-MK"/>
        </w:rPr>
        <w:t>.</w:t>
      </w:r>
    </w:p>
    <w:p w:rsidR="005F4187" w:rsidRPr="00C3200C" w:rsidRDefault="005F4187" w:rsidP="005F41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 xml:space="preserve">Одредбите за основање и функционирање на Комората на вештаци лица - Предлагаме креирање на одредба во законот каде Министерството за правда ќе врши надзор над законитоста на одредбите за основање и функционирање на Комората. А другите проблеми со кои се соочува Комората да бидат регулирани со подзаконски акти. </w:t>
      </w:r>
    </w:p>
    <w:p w:rsidR="007C53B5" w:rsidRPr="00C3200C" w:rsidRDefault="009A0E42" w:rsidP="007C53B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>Во делот на едукација која ја организира Комората која не е функционална во даден момент да се најде модул истата да биде организирана од М</w:t>
      </w:r>
      <w:r w:rsidR="00632C52" w:rsidRPr="00C3200C">
        <w:rPr>
          <w:sz w:val="24"/>
          <w:szCs w:val="24"/>
          <w:lang w:val="mk-MK"/>
        </w:rPr>
        <w:t>инистерството за</w:t>
      </w:r>
      <w:r w:rsidR="005F4187" w:rsidRPr="00C3200C">
        <w:rPr>
          <w:sz w:val="24"/>
          <w:szCs w:val="24"/>
          <w:lang w:val="mk-MK"/>
        </w:rPr>
        <w:t xml:space="preserve"> </w:t>
      </w:r>
      <w:r w:rsidRPr="00C3200C">
        <w:rPr>
          <w:sz w:val="24"/>
          <w:szCs w:val="24"/>
          <w:lang w:val="mk-MK"/>
        </w:rPr>
        <w:t>П</w:t>
      </w:r>
      <w:r w:rsidR="005F4187" w:rsidRPr="00C3200C">
        <w:rPr>
          <w:sz w:val="24"/>
          <w:szCs w:val="24"/>
          <w:lang w:val="mk-MK"/>
        </w:rPr>
        <w:t>равда</w:t>
      </w:r>
      <w:r w:rsidRPr="00C3200C">
        <w:rPr>
          <w:sz w:val="24"/>
          <w:szCs w:val="24"/>
          <w:lang w:val="mk-MK"/>
        </w:rPr>
        <w:t xml:space="preserve"> или во законот да се предвиди посетување и едукација од таа област во блиско опкружување во регионот  или надвор од државата . </w:t>
      </w:r>
    </w:p>
    <w:p w:rsidR="00B1078B" w:rsidRPr="00C3200C" w:rsidRDefault="005F4187" w:rsidP="007C53B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>Потребна е дополна и на правилникот за начинот на пресметување на наградата за извршеното вештачење или супервештачење и надоместокот на реално потребните трошоци</w:t>
      </w:r>
      <w:r w:rsidR="007C53B5" w:rsidRPr="00C3200C">
        <w:rPr>
          <w:sz w:val="24"/>
          <w:szCs w:val="24"/>
          <w:lang w:val="mk-MK"/>
        </w:rPr>
        <w:t>. Постојат реални проблеми и одредбите со законот за парнична постапка</w:t>
      </w:r>
      <w:r w:rsidRPr="00C3200C">
        <w:rPr>
          <w:sz w:val="24"/>
          <w:szCs w:val="24"/>
          <w:lang w:val="mk-MK"/>
        </w:rPr>
        <w:t xml:space="preserve"> </w:t>
      </w:r>
      <w:r w:rsidR="007C53B5" w:rsidRPr="00C3200C">
        <w:rPr>
          <w:sz w:val="24"/>
          <w:szCs w:val="24"/>
          <w:lang w:val="mk-MK"/>
        </w:rPr>
        <w:t xml:space="preserve">, но поконкретно видување би дале и доколку имаме можност да го видиме Вашиот драфт на закон па </w:t>
      </w:r>
      <w:r w:rsidR="00B1078B" w:rsidRPr="00C3200C">
        <w:rPr>
          <w:sz w:val="24"/>
          <w:szCs w:val="24"/>
          <w:lang w:val="mk-MK"/>
        </w:rPr>
        <w:t xml:space="preserve">Ве молиме доколку постои предлог – текст </w:t>
      </w:r>
      <w:r w:rsidR="00E64D8C" w:rsidRPr="00C3200C">
        <w:rPr>
          <w:sz w:val="24"/>
          <w:szCs w:val="24"/>
          <w:lang w:val="mk-MK"/>
        </w:rPr>
        <w:t xml:space="preserve">на кој веќе работите бараме да </w:t>
      </w:r>
      <w:r w:rsidR="00A67762" w:rsidRPr="00C3200C">
        <w:rPr>
          <w:sz w:val="24"/>
          <w:szCs w:val="24"/>
          <w:lang w:val="mk-MK"/>
        </w:rPr>
        <w:t xml:space="preserve">ни го доставите се со цел , ние како група на </w:t>
      </w:r>
      <w:r w:rsidR="00E64D8C" w:rsidRPr="00C3200C">
        <w:rPr>
          <w:sz w:val="24"/>
          <w:szCs w:val="24"/>
          <w:lang w:val="mk-MK"/>
        </w:rPr>
        <w:t xml:space="preserve">вешти лица во </w:t>
      </w:r>
      <w:r w:rsidR="00A67762" w:rsidRPr="00C3200C">
        <w:rPr>
          <w:sz w:val="24"/>
          <w:szCs w:val="24"/>
          <w:lang w:val="mk-MK"/>
        </w:rPr>
        <w:t>правни субјекти го разгледаме па во писмена форма Ви достави</w:t>
      </w:r>
      <w:r w:rsidR="00ED176E" w:rsidRPr="00C3200C">
        <w:rPr>
          <w:sz w:val="24"/>
          <w:szCs w:val="24"/>
          <w:lang w:val="mk-MK"/>
        </w:rPr>
        <w:t>ме</w:t>
      </w:r>
      <w:r w:rsidR="00A67762" w:rsidRPr="00C3200C">
        <w:rPr>
          <w:sz w:val="24"/>
          <w:szCs w:val="24"/>
          <w:lang w:val="mk-MK"/>
        </w:rPr>
        <w:t xml:space="preserve"> наши коментари сугестии или забелешки. </w:t>
      </w:r>
    </w:p>
    <w:p w:rsidR="00533F13" w:rsidRPr="00C3200C" w:rsidRDefault="00533F13" w:rsidP="005C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mk-MK"/>
        </w:rPr>
      </w:pPr>
      <w:r w:rsidRPr="00C3200C">
        <w:rPr>
          <w:b/>
          <w:sz w:val="24"/>
          <w:szCs w:val="24"/>
          <w:lang w:val="mk-MK"/>
        </w:rPr>
        <w:t xml:space="preserve">Забелешки од новиот Предлог – Закон: </w:t>
      </w:r>
    </w:p>
    <w:p w:rsidR="00533F13" w:rsidRPr="00C3200C" w:rsidRDefault="006A16F6" w:rsidP="00533F13">
      <w:p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</w:rPr>
        <w:tab/>
      </w:r>
      <w:r w:rsidR="00781B31" w:rsidRPr="00C3200C">
        <w:rPr>
          <w:sz w:val="24"/>
          <w:szCs w:val="24"/>
          <w:lang w:val="mk-MK"/>
        </w:rPr>
        <w:t>В</w:t>
      </w:r>
      <w:r w:rsidRPr="00C3200C">
        <w:rPr>
          <w:sz w:val="24"/>
          <w:szCs w:val="24"/>
          <w:lang w:val="mk-MK"/>
        </w:rPr>
        <w:t xml:space="preserve">о контекст на предлог – текстот на новиот закон за вештачење ги даваме следните забелешки : </w:t>
      </w:r>
    </w:p>
    <w:p w:rsidR="00605014" w:rsidRDefault="0074442D" w:rsidP="00C3200C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>Во член 3 став 3 од Предлог – Законот – основни начела на вештачење</w:t>
      </w:r>
      <w:r w:rsidR="006A16F6" w:rsidRPr="00C3200C">
        <w:rPr>
          <w:sz w:val="24"/>
          <w:szCs w:val="24"/>
          <w:lang w:val="mk-MK"/>
        </w:rPr>
        <w:t xml:space="preserve"> цитираме „ (3) </w:t>
      </w:r>
      <w:proofErr w:type="spellStart"/>
      <w:r w:rsidR="006A16F6" w:rsidRPr="00C3200C">
        <w:rPr>
          <w:sz w:val="24"/>
          <w:szCs w:val="24"/>
        </w:rPr>
        <w:t>Вештак</w:t>
      </w:r>
      <w:proofErr w:type="spellEnd"/>
      <w:r w:rsidR="006A16F6" w:rsidRPr="00C3200C">
        <w:rPr>
          <w:sz w:val="24"/>
          <w:szCs w:val="24"/>
          <w:lang w:val="mk-MK"/>
        </w:rPr>
        <w:t>от</w:t>
      </w:r>
      <w:r w:rsidR="006A16F6" w:rsidRPr="00C3200C">
        <w:rPr>
          <w:sz w:val="24"/>
          <w:szCs w:val="24"/>
        </w:rPr>
        <w:t xml:space="preserve"> е д</w:t>
      </w:r>
      <w:r w:rsidR="006A16F6" w:rsidRPr="00C3200C">
        <w:rPr>
          <w:sz w:val="24"/>
          <w:szCs w:val="24"/>
          <w:lang w:val="mk-MK"/>
        </w:rPr>
        <w:t>олжен</w:t>
      </w:r>
      <w:r w:rsidR="006A16F6" w:rsidRPr="00C3200C">
        <w:rPr>
          <w:sz w:val="24"/>
          <w:szCs w:val="24"/>
        </w:rPr>
        <w:t xml:space="preserve"> </w:t>
      </w:r>
      <w:proofErr w:type="spellStart"/>
      <w:r w:rsidR="006A16F6" w:rsidRPr="00C3200C">
        <w:rPr>
          <w:sz w:val="24"/>
          <w:szCs w:val="24"/>
        </w:rPr>
        <w:t>да</w:t>
      </w:r>
      <w:proofErr w:type="spellEnd"/>
      <w:r w:rsidR="006A16F6" w:rsidRPr="00C3200C">
        <w:rPr>
          <w:sz w:val="24"/>
          <w:szCs w:val="24"/>
        </w:rPr>
        <w:t xml:space="preserve"> </w:t>
      </w:r>
      <w:proofErr w:type="spellStart"/>
      <w:r w:rsidR="006A16F6" w:rsidRPr="00C3200C">
        <w:rPr>
          <w:sz w:val="24"/>
          <w:szCs w:val="24"/>
        </w:rPr>
        <w:t>пост</w:t>
      </w:r>
      <w:proofErr w:type="spellEnd"/>
      <w:r w:rsidR="006A16F6" w:rsidRPr="00C3200C">
        <w:rPr>
          <w:sz w:val="24"/>
          <w:szCs w:val="24"/>
          <w:lang w:val="mk-MK"/>
        </w:rPr>
        <w:t>апува</w:t>
      </w:r>
      <w:r w:rsidR="006A16F6" w:rsidRPr="00C3200C">
        <w:rPr>
          <w:sz w:val="24"/>
          <w:szCs w:val="24"/>
        </w:rPr>
        <w:t xml:space="preserve"> </w:t>
      </w:r>
      <w:proofErr w:type="spellStart"/>
      <w:r w:rsidR="006A16F6" w:rsidRPr="00C3200C">
        <w:rPr>
          <w:sz w:val="24"/>
          <w:szCs w:val="24"/>
        </w:rPr>
        <w:t>по</w:t>
      </w:r>
      <w:proofErr w:type="spellEnd"/>
      <w:r w:rsidR="006A16F6" w:rsidRPr="00C3200C">
        <w:rPr>
          <w:sz w:val="24"/>
          <w:szCs w:val="24"/>
        </w:rPr>
        <w:t xml:space="preserve"> </w:t>
      </w:r>
      <w:proofErr w:type="spellStart"/>
      <w:r w:rsidR="006A16F6" w:rsidRPr="00C3200C">
        <w:rPr>
          <w:sz w:val="24"/>
          <w:szCs w:val="24"/>
        </w:rPr>
        <w:t>на</w:t>
      </w:r>
      <w:proofErr w:type="spellEnd"/>
      <w:r w:rsidR="006A16F6" w:rsidRPr="00C3200C">
        <w:rPr>
          <w:sz w:val="24"/>
          <w:szCs w:val="24"/>
          <w:lang w:val="mk-MK"/>
        </w:rPr>
        <w:t>редбата, односно налогот</w:t>
      </w:r>
      <w:r w:rsidR="006A16F6" w:rsidRPr="00C3200C">
        <w:rPr>
          <w:sz w:val="24"/>
          <w:szCs w:val="24"/>
        </w:rPr>
        <w:t xml:space="preserve"> с</w:t>
      </w:r>
      <w:r w:rsidR="006A16F6" w:rsidRPr="00C3200C">
        <w:rPr>
          <w:sz w:val="24"/>
          <w:szCs w:val="24"/>
          <w:lang w:val="mk-MK"/>
        </w:rPr>
        <w:t>о</w:t>
      </w:r>
      <w:proofErr w:type="spellStart"/>
      <w:r w:rsidR="006A16F6" w:rsidRPr="00C3200C">
        <w:rPr>
          <w:sz w:val="24"/>
          <w:szCs w:val="24"/>
        </w:rPr>
        <w:t>весно</w:t>
      </w:r>
      <w:proofErr w:type="spellEnd"/>
      <w:r w:rsidR="006A16F6" w:rsidRPr="00C3200C">
        <w:rPr>
          <w:sz w:val="24"/>
          <w:szCs w:val="24"/>
        </w:rPr>
        <w:t xml:space="preserve"> и </w:t>
      </w:r>
      <w:proofErr w:type="spellStart"/>
      <w:r w:rsidR="006A16F6" w:rsidRPr="00C3200C">
        <w:rPr>
          <w:sz w:val="24"/>
          <w:szCs w:val="24"/>
        </w:rPr>
        <w:t>уредно</w:t>
      </w:r>
      <w:proofErr w:type="spellEnd"/>
      <w:r w:rsidR="006A16F6" w:rsidRPr="00C3200C">
        <w:rPr>
          <w:sz w:val="24"/>
          <w:szCs w:val="24"/>
        </w:rPr>
        <w:t xml:space="preserve"> п</w:t>
      </w:r>
      <w:r w:rsidR="006A16F6" w:rsidRPr="00C3200C">
        <w:rPr>
          <w:sz w:val="24"/>
          <w:szCs w:val="24"/>
          <w:lang w:val="mk-MK"/>
        </w:rPr>
        <w:t xml:space="preserve">очитувајќи ги основните </w:t>
      </w:r>
      <w:proofErr w:type="spellStart"/>
      <w:r w:rsidR="006A16F6" w:rsidRPr="00C3200C">
        <w:rPr>
          <w:sz w:val="24"/>
          <w:szCs w:val="24"/>
        </w:rPr>
        <w:t>начела</w:t>
      </w:r>
      <w:proofErr w:type="spellEnd"/>
      <w:r w:rsidR="006A16F6" w:rsidRPr="00C3200C">
        <w:rPr>
          <w:sz w:val="24"/>
          <w:szCs w:val="24"/>
          <w:lang w:val="mk-MK"/>
        </w:rPr>
        <w:t xml:space="preserve"> на</w:t>
      </w:r>
      <w:r w:rsidR="006A16F6" w:rsidRPr="00C3200C">
        <w:rPr>
          <w:sz w:val="24"/>
          <w:szCs w:val="24"/>
        </w:rPr>
        <w:t xml:space="preserve"> </w:t>
      </w:r>
      <w:proofErr w:type="spellStart"/>
      <w:r w:rsidR="006A16F6" w:rsidRPr="00C3200C">
        <w:rPr>
          <w:sz w:val="24"/>
          <w:szCs w:val="24"/>
        </w:rPr>
        <w:t>вештачењ</w:t>
      </w:r>
      <w:proofErr w:type="spellEnd"/>
      <w:r w:rsidR="006A16F6" w:rsidRPr="00C3200C">
        <w:rPr>
          <w:sz w:val="24"/>
          <w:szCs w:val="24"/>
          <w:lang w:val="mk-MK"/>
        </w:rPr>
        <w:t>е од став (1) на овој член</w:t>
      </w:r>
      <w:r w:rsidR="006A16F6" w:rsidRPr="00C3200C">
        <w:rPr>
          <w:sz w:val="24"/>
          <w:szCs w:val="24"/>
        </w:rPr>
        <w:t>.</w:t>
      </w:r>
      <w:r w:rsidR="00605014" w:rsidRPr="00C3200C">
        <w:rPr>
          <w:sz w:val="24"/>
          <w:szCs w:val="24"/>
          <w:lang w:val="mk-MK"/>
        </w:rPr>
        <w:t>“</w:t>
      </w:r>
      <w:r w:rsidR="00781B31" w:rsidRPr="00C3200C">
        <w:rPr>
          <w:sz w:val="24"/>
          <w:szCs w:val="24"/>
          <w:lang w:val="mk-MK"/>
        </w:rPr>
        <w:t>. Тука</w:t>
      </w:r>
      <w:r w:rsidR="006A16F6" w:rsidRPr="00C3200C">
        <w:rPr>
          <w:sz w:val="24"/>
          <w:szCs w:val="24"/>
          <w:lang w:val="mk-MK"/>
        </w:rPr>
        <w:t xml:space="preserve"> се поставува прашањет</w:t>
      </w:r>
      <w:r w:rsidR="00781B31" w:rsidRPr="00C3200C">
        <w:rPr>
          <w:sz w:val="24"/>
          <w:szCs w:val="24"/>
          <w:lang w:val="mk-MK"/>
        </w:rPr>
        <w:t>о по чија наредба односно налог</w:t>
      </w:r>
      <w:r w:rsidR="00605014" w:rsidRPr="00C3200C">
        <w:rPr>
          <w:sz w:val="24"/>
          <w:szCs w:val="24"/>
          <w:lang w:val="mk-MK"/>
        </w:rPr>
        <w:t xml:space="preserve">. Сметаме дека мора да се дефинирано кој се може да даде налог или наредба – дали тоа се само судски органи , органи на прогонот или веќе се остава простор и на управните органи и органите на министерствата и владата на РСМ. </w:t>
      </w:r>
    </w:p>
    <w:p w:rsidR="00604637" w:rsidRPr="00C3200C" w:rsidRDefault="00604637" w:rsidP="00C3200C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член 5 став 2 се наведуваат услови кој може да се стекне со лиценца за вешто лице, но се поставува прашањето што со вештите лица кој имаат важечки лиценци врз основа на завршен </w:t>
      </w:r>
      <w:r>
        <w:rPr>
          <w:sz w:val="24"/>
          <w:szCs w:val="24"/>
        </w:rPr>
        <w:t xml:space="preserve">VII </w:t>
      </w:r>
      <w:r>
        <w:rPr>
          <w:sz w:val="24"/>
          <w:szCs w:val="24"/>
          <w:lang w:val="mk-MK"/>
        </w:rPr>
        <w:t xml:space="preserve">1 степен и завршени постдипломски студии по студиски </w:t>
      </w:r>
      <w:r>
        <w:rPr>
          <w:sz w:val="24"/>
          <w:szCs w:val="24"/>
          <w:lang w:val="mk-MK"/>
        </w:rPr>
        <w:lastRenderedPageBreak/>
        <w:t xml:space="preserve">програми пред воведување на ЕКТС – па се поставува прашањето дали ќе им се издава нова лиценца без полагање или истите ќе треба да полагаат  ? </w:t>
      </w:r>
    </w:p>
    <w:p w:rsidR="0074442D" w:rsidRPr="00C3200C" w:rsidRDefault="0074442D" w:rsidP="00C3200C">
      <w:pPr>
        <w:pStyle w:val="ListParagraph"/>
        <w:numPr>
          <w:ilvl w:val="0"/>
          <w:numId w:val="8"/>
        </w:numPr>
        <w:ind w:right="-3"/>
        <w:jc w:val="both"/>
        <w:rPr>
          <w:rFonts w:eastAsia="Times New Roman" w:cs="Tahoma"/>
          <w:sz w:val="24"/>
          <w:szCs w:val="24"/>
          <w:lang w:val="mk-MK"/>
        </w:rPr>
      </w:pPr>
      <w:r w:rsidRPr="00C3200C">
        <w:rPr>
          <w:sz w:val="24"/>
          <w:szCs w:val="24"/>
          <w:lang w:val="mk-MK"/>
        </w:rPr>
        <w:t>Во член 5 став 3 – предлагаме да се вметне после точка 1 и точка 2 „ односно да се превземе</w:t>
      </w:r>
      <w:r w:rsidR="00781B31" w:rsidRPr="00C3200C">
        <w:rPr>
          <w:sz w:val="24"/>
          <w:szCs w:val="24"/>
          <w:lang w:val="mk-MK"/>
        </w:rPr>
        <w:t xml:space="preserve"> ( не целосно ) </w:t>
      </w:r>
      <w:r w:rsidRPr="00C3200C">
        <w:rPr>
          <w:sz w:val="24"/>
          <w:szCs w:val="24"/>
          <w:lang w:val="mk-MK"/>
        </w:rPr>
        <w:t xml:space="preserve"> точка 2 </w:t>
      </w:r>
      <w:r w:rsidR="00605014" w:rsidRPr="00C3200C">
        <w:rPr>
          <w:sz w:val="24"/>
          <w:szCs w:val="24"/>
          <w:lang w:val="mk-MK"/>
        </w:rPr>
        <w:t xml:space="preserve">од член 20 </w:t>
      </w:r>
      <w:r w:rsidR="00781B31" w:rsidRPr="00C3200C">
        <w:rPr>
          <w:sz w:val="24"/>
          <w:szCs w:val="24"/>
          <w:lang w:val="mk-MK"/>
        </w:rPr>
        <w:t>од сегашниот</w:t>
      </w:r>
      <w:r w:rsidRPr="00C3200C">
        <w:rPr>
          <w:sz w:val="24"/>
          <w:szCs w:val="24"/>
          <w:lang w:val="mk-MK"/>
        </w:rPr>
        <w:t xml:space="preserve"> закон за вештачење </w:t>
      </w:r>
      <w:r w:rsidR="00605014" w:rsidRPr="00C3200C">
        <w:rPr>
          <w:sz w:val="24"/>
          <w:szCs w:val="24"/>
          <w:lang w:val="mk-MK"/>
        </w:rPr>
        <w:t>цитираме</w:t>
      </w:r>
      <w:r w:rsidRPr="00C3200C">
        <w:rPr>
          <w:sz w:val="24"/>
          <w:szCs w:val="24"/>
          <w:lang w:val="mk-MK"/>
        </w:rPr>
        <w:t xml:space="preserve"> „ </w:t>
      </w:r>
      <w:r w:rsidRPr="00C3200C">
        <w:rPr>
          <w:rFonts w:eastAsia="Times New Roman" w:cs="Tahoma"/>
          <w:sz w:val="24"/>
          <w:szCs w:val="24"/>
        </w:rPr>
        <w:t>2)</w:t>
      </w:r>
      <w:r w:rsidRPr="00C3200C">
        <w:rPr>
          <w:rFonts w:eastAsia="Times New Roman" w:cs="Times New Roman"/>
          <w:sz w:val="24"/>
          <w:szCs w:val="24"/>
        </w:rPr>
        <w:t>    </w:t>
      </w:r>
      <w:proofErr w:type="spellStart"/>
      <w:r w:rsidRPr="00C3200C">
        <w:rPr>
          <w:rFonts w:eastAsia="Times New Roman" w:cs="Tahoma"/>
          <w:sz w:val="24"/>
          <w:szCs w:val="24"/>
        </w:rPr>
        <w:t>магистер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науки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од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соодветната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научна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област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и </w:t>
      </w:r>
      <w:proofErr w:type="spellStart"/>
      <w:r w:rsidRPr="00C3200C">
        <w:rPr>
          <w:rFonts w:eastAsia="Times New Roman" w:cs="Tahoma"/>
          <w:sz w:val="24"/>
          <w:szCs w:val="24"/>
        </w:rPr>
        <w:t>лице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положен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специјалистички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испит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медицина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или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втор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циклус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универзитетски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студии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- </w:t>
      </w:r>
      <w:proofErr w:type="spellStart"/>
      <w:r w:rsidRPr="00C3200C">
        <w:rPr>
          <w:rFonts w:eastAsia="Times New Roman" w:cs="Tahoma"/>
          <w:sz w:val="24"/>
          <w:szCs w:val="24"/>
        </w:rPr>
        <w:t>магистерски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студии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од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соодветна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научна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област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пет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години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работно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искуство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магистрирањето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, </w:t>
      </w:r>
      <w:proofErr w:type="spellStart"/>
      <w:r w:rsidRPr="00C3200C">
        <w:rPr>
          <w:rFonts w:eastAsia="Times New Roman" w:cs="Tahoma"/>
          <w:sz w:val="24"/>
          <w:szCs w:val="24"/>
        </w:rPr>
        <w:t>односно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положениот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специјалистички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испит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, </w:t>
      </w:r>
      <w:proofErr w:type="spellStart"/>
      <w:r w:rsidRPr="00C3200C">
        <w:rPr>
          <w:rFonts w:eastAsia="Times New Roman" w:cs="Tahoma"/>
          <w:sz w:val="24"/>
          <w:szCs w:val="24"/>
        </w:rPr>
        <w:t>по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поднесено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барање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за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лиценца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и </w:t>
      </w:r>
      <w:proofErr w:type="spellStart"/>
      <w:r w:rsidRPr="00C3200C">
        <w:rPr>
          <w:rFonts w:eastAsia="Times New Roman" w:cs="Tahoma"/>
          <w:sz w:val="24"/>
          <w:szCs w:val="24"/>
        </w:rPr>
        <w:t>доставување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на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потребната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C3200C">
        <w:rPr>
          <w:rFonts w:eastAsia="Times New Roman" w:cs="Tahoma"/>
          <w:sz w:val="24"/>
          <w:szCs w:val="24"/>
        </w:rPr>
        <w:t>документација</w:t>
      </w:r>
      <w:proofErr w:type="spellEnd"/>
      <w:r w:rsidRPr="00C3200C">
        <w:rPr>
          <w:rFonts w:eastAsia="Times New Roman" w:cs="Tahoma"/>
          <w:sz w:val="24"/>
          <w:szCs w:val="24"/>
        </w:rPr>
        <w:t xml:space="preserve"> </w:t>
      </w:r>
      <w:r w:rsidR="00781B31" w:rsidRPr="00C3200C">
        <w:rPr>
          <w:rFonts w:eastAsia="Times New Roman" w:cs="Tahoma"/>
          <w:sz w:val="24"/>
          <w:szCs w:val="24"/>
          <w:lang w:val="mk-MK"/>
        </w:rPr>
        <w:t>“</w:t>
      </w:r>
      <w:r w:rsidRPr="00C3200C">
        <w:rPr>
          <w:rFonts w:eastAsia="Times New Roman" w:cs="Tahoma"/>
          <w:sz w:val="24"/>
          <w:szCs w:val="24"/>
          <w:lang w:val="mk-MK"/>
        </w:rPr>
        <w:t xml:space="preserve">. </w:t>
      </w:r>
      <w:r w:rsidR="008515CF" w:rsidRPr="00C3200C">
        <w:rPr>
          <w:rFonts w:eastAsia="Times New Roman" w:cs="Tahoma"/>
          <w:sz w:val="24"/>
          <w:szCs w:val="24"/>
          <w:lang w:val="mk-MK"/>
        </w:rPr>
        <w:t xml:space="preserve"> </w:t>
      </w:r>
      <w:r w:rsidR="00781B31" w:rsidRPr="00C3200C">
        <w:rPr>
          <w:rFonts w:eastAsia="Times New Roman" w:cs="Tahoma"/>
          <w:sz w:val="24"/>
          <w:szCs w:val="24"/>
          <w:lang w:val="mk-MK"/>
        </w:rPr>
        <w:t xml:space="preserve">Ова е од особено значање за вештите лица кои се имаат стекнато со образование </w:t>
      </w:r>
      <w:r w:rsidR="00781B31" w:rsidRPr="00C3200C">
        <w:rPr>
          <w:rFonts w:eastAsia="Times New Roman" w:cs="Tahoma"/>
          <w:sz w:val="24"/>
          <w:szCs w:val="24"/>
        </w:rPr>
        <w:t xml:space="preserve">VII </w:t>
      </w:r>
      <w:r w:rsidR="00781B31" w:rsidRPr="00C3200C">
        <w:rPr>
          <w:rFonts w:eastAsia="Times New Roman" w:cs="Tahoma"/>
          <w:sz w:val="24"/>
          <w:szCs w:val="24"/>
          <w:lang w:val="mk-MK"/>
        </w:rPr>
        <w:t xml:space="preserve">1 степен и имаат продолжено со постдипломски студии </w:t>
      </w:r>
      <w:r w:rsidR="008515CF" w:rsidRPr="00C3200C">
        <w:rPr>
          <w:rFonts w:eastAsia="Times New Roman" w:cs="Tahoma"/>
          <w:sz w:val="24"/>
          <w:szCs w:val="24"/>
          <w:lang w:val="mk-MK"/>
        </w:rPr>
        <w:t xml:space="preserve">и се стекнале со назив магистар на науки од соодветна научна област. </w:t>
      </w:r>
    </w:p>
    <w:p w:rsidR="003C52C1" w:rsidRPr="00C3200C" w:rsidRDefault="003C52C1" w:rsidP="00C3200C">
      <w:pPr>
        <w:pStyle w:val="ListParagraph"/>
        <w:numPr>
          <w:ilvl w:val="0"/>
          <w:numId w:val="8"/>
        </w:numPr>
        <w:ind w:right="-3"/>
        <w:jc w:val="both"/>
        <w:rPr>
          <w:rFonts w:eastAsia="Times New Roman" w:cs="Tahoma"/>
          <w:sz w:val="24"/>
          <w:szCs w:val="24"/>
          <w:lang w:val="mk-MK"/>
        </w:rPr>
      </w:pPr>
      <w:r w:rsidRPr="00C3200C">
        <w:rPr>
          <w:rFonts w:eastAsia="Times New Roman" w:cs="Tahoma"/>
          <w:sz w:val="24"/>
          <w:szCs w:val="24"/>
          <w:lang w:val="mk-MK"/>
        </w:rPr>
        <w:t>Постои техничка греша во член 5 има двапати став 7 , последниот треба да биде став 8.</w:t>
      </w:r>
    </w:p>
    <w:p w:rsidR="00B14813" w:rsidRPr="00C3200C" w:rsidRDefault="00B14813" w:rsidP="00C3200C">
      <w:pPr>
        <w:pStyle w:val="ListParagraph"/>
        <w:numPr>
          <w:ilvl w:val="0"/>
          <w:numId w:val="8"/>
        </w:num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Во член 26 </w:t>
      </w:r>
      <w:r w:rsidR="00F20A50" w:rsidRPr="00C3200C">
        <w:rPr>
          <w:rFonts w:eastAsia="Times New Roman" w:cs="Times New Roman"/>
          <w:sz w:val="24"/>
          <w:szCs w:val="24"/>
          <w:lang w:val="mk-MK"/>
        </w:rPr>
        <w:t xml:space="preserve">став 1 точка 5 </w:t>
      </w:r>
      <w:r w:rsidRPr="00C3200C">
        <w:rPr>
          <w:rFonts w:eastAsia="Times New Roman" w:cs="Times New Roman"/>
          <w:sz w:val="24"/>
          <w:szCs w:val="24"/>
          <w:lang w:val="mk-MK"/>
        </w:rPr>
        <w:t xml:space="preserve">предлагаме </w:t>
      </w:r>
      <w:r w:rsidR="00F20A50" w:rsidRPr="00C3200C">
        <w:rPr>
          <w:rFonts w:eastAsia="Times New Roman" w:cs="Times New Roman"/>
          <w:sz w:val="24"/>
          <w:szCs w:val="24"/>
          <w:lang w:val="mk-MK"/>
        </w:rPr>
        <w:t>„ ДА СЕ ИЗБРИШЕ “ – од причина што на тој начин поединци вештаци се популаризираат ( пре</w:t>
      </w:r>
      <w:r w:rsidRPr="00C3200C">
        <w:rPr>
          <w:rFonts w:eastAsia="Times New Roman" w:cs="Times New Roman"/>
          <w:sz w:val="24"/>
          <w:szCs w:val="24"/>
          <w:lang w:val="mk-MK"/>
        </w:rPr>
        <w:t>д се се поконкурентни на пазарот</w:t>
      </w:r>
      <w:r w:rsidR="00F20A50" w:rsidRPr="00C3200C">
        <w:rPr>
          <w:rFonts w:eastAsia="Times New Roman" w:cs="Times New Roman"/>
          <w:sz w:val="24"/>
          <w:szCs w:val="24"/>
          <w:lang w:val="mk-MK"/>
        </w:rPr>
        <w:t>,</w:t>
      </w:r>
      <w:r w:rsidRPr="00C3200C">
        <w:rPr>
          <w:rFonts w:eastAsia="Times New Roman" w:cs="Times New Roman"/>
          <w:sz w:val="24"/>
          <w:szCs w:val="24"/>
          <w:lang w:val="mk-MK"/>
        </w:rPr>
        <w:t xml:space="preserve"> вештак сам како физичко лице неможе да дава гаранција , ниту може да биде вклучен во системот со постојано вработување) , нема да постои или ќе биде отежната контролата над работењето на физичките лица , па се доведува во прашање квалитетот на вештите наоди и мислења. Односно , во пракса ваквите лица се лица кои имаат постојан работен однос во некоја институција , а се занимаваат хонорарно со вештачења, па со исклучоци ваквите вешти наоди наштетуваат на професионализмот кој треба да го гарантира овој закон.  </w:t>
      </w:r>
    </w:p>
    <w:p w:rsidR="00C3200C" w:rsidRPr="00C3200C" w:rsidRDefault="00C3200C" w:rsidP="00C3200C">
      <w:pPr>
        <w:pStyle w:val="ListParagraph"/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544546" w:rsidRPr="00C3200C" w:rsidRDefault="00544546" w:rsidP="00C3200C">
      <w:pPr>
        <w:pStyle w:val="ListParagraph"/>
        <w:numPr>
          <w:ilvl w:val="0"/>
          <w:numId w:val="8"/>
        </w:numPr>
        <w:jc w:val="both"/>
        <w:rPr>
          <w:rFonts w:eastAsia="Tahoma" w:cs="Arial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Во </w:t>
      </w:r>
      <w:r w:rsidR="00B14813" w:rsidRPr="00C3200C">
        <w:rPr>
          <w:rFonts w:eastAsia="Times New Roman" w:cs="Times New Roman"/>
          <w:sz w:val="24"/>
          <w:szCs w:val="24"/>
          <w:lang w:val="mk-MK"/>
        </w:rPr>
        <w:t xml:space="preserve">истиот </w:t>
      </w:r>
      <w:r w:rsidRPr="00C3200C">
        <w:rPr>
          <w:rFonts w:eastAsia="Times New Roman" w:cs="Times New Roman"/>
          <w:sz w:val="24"/>
          <w:szCs w:val="24"/>
          <w:lang w:val="mk-MK"/>
        </w:rPr>
        <w:t>член 2</w:t>
      </w:r>
      <w:r w:rsidR="001E4003" w:rsidRPr="00C3200C">
        <w:rPr>
          <w:rFonts w:eastAsia="Times New Roman" w:cs="Times New Roman"/>
          <w:sz w:val="24"/>
          <w:szCs w:val="24"/>
          <w:lang w:val="mk-MK"/>
        </w:rPr>
        <w:t>6</w:t>
      </w:r>
      <w:r w:rsidRPr="00C3200C">
        <w:rPr>
          <w:rFonts w:eastAsia="Times New Roman" w:cs="Times New Roman"/>
          <w:sz w:val="24"/>
          <w:szCs w:val="24"/>
          <w:lang w:val="mk-MK"/>
        </w:rPr>
        <w:t xml:space="preserve"> став 4 „ </w:t>
      </w:r>
      <w:r w:rsidRPr="00C3200C">
        <w:rPr>
          <w:rFonts w:eastAsia="Tahoma" w:cs="Arial"/>
          <w:sz w:val="24"/>
          <w:szCs w:val="24"/>
          <w:lang w:val="mk-MK"/>
        </w:rPr>
        <w:t>Супер вештачењето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го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определува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претседателот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советот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или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судија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поединец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електронски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пат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примена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правилото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случаен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избор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од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Регистарот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 xml:space="preserve">на вештаци </w:t>
      </w:r>
      <w:proofErr w:type="spellStart"/>
      <w:r w:rsidRPr="00C3200C">
        <w:rPr>
          <w:rFonts w:eastAsia="Tahoma" w:cs="Arial"/>
          <w:sz w:val="24"/>
          <w:szCs w:val="24"/>
        </w:rPr>
        <w:t>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присуство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двете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странки</w:t>
      </w:r>
      <w:proofErr w:type="spellEnd"/>
      <w:r w:rsidRPr="00C3200C">
        <w:rPr>
          <w:rFonts w:eastAsia="Tahoma" w:cs="Arial"/>
          <w:sz w:val="24"/>
          <w:szCs w:val="24"/>
        </w:rPr>
        <w:t xml:space="preserve">, </w:t>
      </w:r>
      <w:proofErr w:type="spellStart"/>
      <w:r w:rsidRPr="00C3200C">
        <w:rPr>
          <w:rFonts w:eastAsia="Tahoma" w:cs="Arial"/>
          <w:sz w:val="24"/>
          <w:szCs w:val="24"/>
        </w:rPr>
        <w:t>односно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нивните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полномошници</w:t>
      </w:r>
      <w:proofErr w:type="spellEnd"/>
      <w:r w:rsidRPr="00C3200C">
        <w:rPr>
          <w:rFonts w:eastAsia="Tahoma" w:cs="Arial"/>
          <w:sz w:val="24"/>
          <w:szCs w:val="24"/>
        </w:rPr>
        <w:t>.</w:t>
      </w:r>
    </w:p>
    <w:p w:rsidR="003C52C1" w:rsidRPr="00C3200C" w:rsidRDefault="003C52C1" w:rsidP="00C3200C">
      <w:pPr>
        <w:ind w:left="720"/>
        <w:jc w:val="both"/>
        <w:rPr>
          <w:sz w:val="24"/>
          <w:szCs w:val="24"/>
          <w:lang w:val="mk-MK"/>
        </w:rPr>
      </w:pPr>
      <w:r w:rsidRPr="00C3200C">
        <w:rPr>
          <w:rFonts w:eastAsia="Tahoma" w:cs="Arial"/>
          <w:sz w:val="24"/>
          <w:szCs w:val="24"/>
          <w:lang w:val="mk-MK"/>
        </w:rPr>
        <w:t>Во овој дел од одредбата ( може да биде нејасен и тешко применлив во пракса : (хипотетички но веројатно се случува и ќе се случува во пракса:  што ако стои регистерот на вештаци , а не конкретно од правни субјекти – тогаш кои три лица и од каде</w:t>
      </w:r>
      <w:r w:rsidR="00C3200C" w:rsidRPr="00C3200C">
        <w:rPr>
          <w:rFonts w:eastAsia="Tahoma" w:cs="Arial"/>
          <w:sz w:val="24"/>
          <w:szCs w:val="24"/>
          <w:lang w:val="mk-MK"/>
        </w:rPr>
        <w:t xml:space="preserve"> можат да бидат случаен избор (</w:t>
      </w:r>
      <w:r w:rsidRPr="00C3200C">
        <w:rPr>
          <w:rFonts w:eastAsia="Tahoma" w:cs="Arial"/>
          <w:sz w:val="24"/>
          <w:szCs w:val="24"/>
          <w:lang w:val="mk-MK"/>
        </w:rPr>
        <w:t xml:space="preserve">дали тоа </w:t>
      </w:r>
      <w:r w:rsidR="00C3200C" w:rsidRPr="00C3200C">
        <w:rPr>
          <w:rFonts w:eastAsia="Tahoma" w:cs="Arial"/>
          <w:sz w:val="24"/>
          <w:szCs w:val="24"/>
          <w:lang w:val="mk-MK"/>
        </w:rPr>
        <w:t>по електронски пат е применливо</w:t>
      </w:r>
      <w:r w:rsidRPr="00C3200C">
        <w:rPr>
          <w:rFonts w:eastAsia="Tahoma" w:cs="Arial"/>
          <w:sz w:val="24"/>
          <w:szCs w:val="24"/>
          <w:lang w:val="mk-MK"/>
        </w:rPr>
        <w:t xml:space="preserve">) па ако е еден да се падне од еден град , друг од друг град и слично или еден вработен од едно ТД друг од друго и трет од трето ТД ....со ова сметаме дека можни се проблеми доколку не се дефинира со правилна терминологија (наш предлог е да стои подрегистерот за ТД од причина што условот за три вешт лица ќе бидат обезбедени од ТД кој професионално има вработени и систем за работа со вешти лица од сите области. </w:t>
      </w:r>
    </w:p>
    <w:p w:rsidR="00595B13" w:rsidRPr="00C3200C" w:rsidRDefault="00595B13" w:rsidP="00C3200C">
      <w:pPr>
        <w:pStyle w:val="ListParagraph"/>
        <w:numPr>
          <w:ilvl w:val="0"/>
          <w:numId w:val="8"/>
        </w:num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lastRenderedPageBreak/>
        <w:t xml:space="preserve">Во член 33 осигурување од штета во став 2 алинеа 2 цитираме „ </w:t>
      </w:r>
      <w:r w:rsidRPr="00C3200C">
        <w:rPr>
          <w:rFonts w:eastAsia="Tahoma" w:cs="Arial"/>
          <w:sz w:val="24"/>
          <w:szCs w:val="24"/>
          <w:lang w:val="mk-MK"/>
        </w:rPr>
        <w:t>6</w:t>
      </w:r>
      <w:r w:rsidRPr="00C3200C">
        <w:rPr>
          <w:rFonts w:eastAsia="Tahoma" w:cs="Arial"/>
          <w:sz w:val="24"/>
          <w:szCs w:val="24"/>
        </w:rPr>
        <w:t xml:space="preserve">.000 </w:t>
      </w:r>
      <w:proofErr w:type="spellStart"/>
      <w:r w:rsidRPr="00C3200C">
        <w:rPr>
          <w:rFonts w:eastAsia="Tahoma" w:cs="Arial"/>
          <w:sz w:val="24"/>
          <w:szCs w:val="24"/>
        </w:rPr>
        <w:t>евра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денарска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противвредност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според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средниот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курс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Народната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банка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Република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Македонија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денот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склучувањето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договорот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осигурувањ</w:t>
      </w:r>
      <w:proofErr w:type="spellEnd"/>
      <w:r w:rsidRPr="00C3200C">
        <w:rPr>
          <w:rFonts w:eastAsia="Tahoma" w:cs="Arial"/>
          <w:sz w:val="24"/>
          <w:szCs w:val="24"/>
          <w:lang w:val="mk-MK"/>
        </w:rPr>
        <w:t>е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 xml:space="preserve">вештакот и </w:t>
      </w:r>
      <w:proofErr w:type="spellStart"/>
      <w:r w:rsidRPr="00C3200C">
        <w:rPr>
          <w:rFonts w:eastAsia="Tahoma" w:cs="Arial"/>
          <w:sz w:val="24"/>
          <w:szCs w:val="24"/>
        </w:rPr>
        <w:t>трговец</w:t>
      </w:r>
      <w:proofErr w:type="spellEnd"/>
      <w:r w:rsidRPr="00C3200C">
        <w:rPr>
          <w:rFonts w:eastAsia="Tahoma" w:cs="Arial"/>
          <w:sz w:val="24"/>
          <w:szCs w:val="24"/>
          <w:lang w:val="mk-MK"/>
        </w:rPr>
        <w:t>от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поединец</w:t>
      </w:r>
      <w:proofErr w:type="spellEnd"/>
      <w:r w:rsidRPr="00C3200C">
        <w:rPr>
          <w:rFonts w:eastAsia="Tahoma" w:cs="Arial"/>
          <w:sz w:val="24"/>
          <w:szCs w:val="24"/>
        </w:rPr>
        <w:t xml:space="preserve"> – </w:t>
      </w:r>
      <w:proofErr w:type="spellStart"/>
      <w:r w:rsidRPr="00C3200C">
        <w:rPr>
          <w:rFonts w:eastAsia="Tahoma" w:cs="Arial"/>
          <w:sz w:val="24"/>
          <w:szCs w:val="24"/>
        </w:rPr>
        <w:t>вештак</w:t>
      </w:r>
      <w:proofErr w:type="spellEnd"/>
      <w:r w:rsidRPr="00C3200C">
        <w:rPr>
          <w:rFonts w:eastAsia="Tahoma" w:cs="Arial"/>
          <w:sz w:val="24"/>
          <w:szCs w:val="24"/>
          <w:lang w:val="mk-MK"/>
        </w:rPr>
        <w:t xml:space="preserve"> – зборовите „ вештакот и “ да се избришат </w:t>
      </w:r>
    </w:p>
    <w:p w:rsidR="00C3200C" w:rsidRPr="00C3200C" w:rsidRDefault="00C3200C" w:rsidP="00C3200C">
      <w:pPr>
        <w:pStyle w:val="ListParagraph"/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403BF4" w:rsidRPr="00C3200C" w:rsidRDefault="00595B13" w:rsidP="00C3200C">
      <w:pPr>
        <w:pStyle w:val="ListParagraph"/>
        <w:numPr>
          <w:ilvl w:val="0"/>
          <w:numId w:val="8"/>
        </w:num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Во член </w:t>
      </w:r>
      <w:r w:rsidR="005044CB" w:rsidRPr="00C3200C">
        <w:rPr>
          <w:rFonts w:eastAsia="Times New Roman" w:cs="Times New Roman"/>
          <w:sz w:val="24"/>
          <w:szCs w:val="24"/>
          <w:lang w:val="mk-MK"/>
        </w:rPr>
        <w:t>34</w:t>
      </w:r>
      <w:r w:rsidRPr="00C3200C">
        <w:rPr>
          <w:rFonts w:eastAsia="Times New Roman" w:cs="Times New Roman"/>
          <w:sz w:val="24"/>
          <w:szCs w:val="24"/>
          <w:lang w:val="mk-MK"/>
        </w:rPr>
        <w:t xml:space="preserve"> предлагаме став 3 да се дополни со запирка и да се допише „ за кои податоци согласно член 34 став 1 од овој член не треба да плаќаат надоместок “ – како што е регулирано со сегашниот закон во член 30. </w:t>
      </w:r>
    </w:p>
    <w:p w:rsidR="00C3200C" w:rsidRPr="00C3200C" w:rsidRDefault="00C3200C" w:rsidP="00C3200C">
      <w:pPr>
        <w:pStyle w:val="ListParagraph"/>
        <w:rPr>
          <w:rFonts w:eastAsia="Times New Roman" w:cs="Times New Roman"/>
          <w:sz w:val="24"/>
          <w:szCs w:val="24"/>
          <w:lang w:val="mk-MK"/>
        </w:rPr>
      </w:pPr>
    </w:p>
    <w:p w:rsidR="00595B13" w:rsidRPr="00C3200C" w:rsidRDefault="00595B13" w:rsidP="00C3200C">
      <w:pPr>
        <w:pStyle w:val="ListParagraph"/>
        <w:numPr>
          <w:ilvl w:val="0"/>
          <w:numId w:val="8"/>
        </w:num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Предлагаме во насловот пред член 35 да стои и зборот супервештачење односно „ Содржина на Извештајот со вешт наод и мислење и супервештачење “ , а во член 35 точка 2 покрај вештачење да се опфати и супервештачење  </w:t>
      </w:r>
    </w:p>
    <w:p w:rsidR="00C3200C" w:rsidRPr="00C3200C" w:rsidRDefault="00C3200C" w:rsidP="00C3200C">
      <w:pPr>
        <w:pStyle w:val="ListParagraph"/>
        <w:rPr>
          <w:rFonts w:eastAsia="Times New Roman" w:cs="Times New Roman"/>
          <w:sz w:val="24"/>
          <w:szCs w:val="24"/>
          <w:lang w:val="mk-MK"/>
        </w:rPr>
      </w:pPr>
    </w:p>
    <w:p w:rsidR="00595B13" w:rsidRPr="00C3200C" w:rsidRDefault="00595B13" w:rsidP="00C3200C">
      <w:pPr>
        <w:pStyle w:val="ListParagraph"/>
        <w:numPr>
          <w:ilvl w:val="0"/>
          <w:numId w:val="8"/>
        </w:numPr>
        <w:tabs>
          <w:tab w:val="left" w:pos="739"/>
        </w:tabs>
        <w:spacing w:after="0" w:line="228" w:lineRule="auto"/>
        <w:jc w:val="both"/>
        <w:rPr>
          <w:rFonts w:eastAsia="Tahoma" w:cs="Arial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Во член 36 (во делот на награда и надоместо ) во став 4 цитираме „ </w:t>
      </w:r>
      <w:proofErr w:type="spellStart"/>
      <w:r w:rsidRPr="00C3200C">
        <w:rPr>
          <w:rFonts w:eastAsia="Tahoma" w:cs="Arial"/>
          <w:sz w:val="24"/>
          <w:szCs w:val="24"/>
        </w:rPr>
        <w:t>Начинот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пресметување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наградата</w:t>
      </w:r>
      <w:proofErr w:type="spellEnd"/>
      <w:r w:rsidRPr="00C3200C">
        <w:rPr>
          <w:rFonts w:eastAsia="Tahoma" w:cs="Arial"/>
          <w:sz w:val="24"/>
          <w:szCs w:val="24"/>
        </w:rPr>
        <w:t xml:space="preserve"> и </w:t>
      </w:r>
      <w:proofErr w:type="spellStart"/>
      <w:r w:rsidRPr="00C3200C">
        <w:rPr>
          <w:rFonts w:eastAsia="Tahoma" w:cs="Arial"/>
          <w:sz w:val="24"/>
          <w:szCs w:val="24"/>
        </w:rPr>
        <w:t>надоместокот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од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овој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член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ги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пропишува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министерот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правда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претходно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мислење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од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Комората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вештаци</w:t>
      </w:r>
      <w:proofErr w:type="spellEnd"/>
      <w:r w:rsidRPr="00C3200C">
        <w:rPr>
          <w:rFonts w:eastAsia="Tahoma" w:cs="Arial"/>
          <w:sz w:val="24"/>
          <w:szCs w:val="24"/>
        </w:rPr>
        <w:t>.</w:t>
      </w:r>
      <w:r w:rsidRPr="00C3200C">
        <w:rPr>
          <w:rFonts w:eastAsia="Tahoma" w:cs="Arial"/>
          <w:sz w:val="24"/>
          <w:szCs w:val="24"/>
          <w:lang w:val="mk-MK"/>
        </w:rPr>
        <w:t xml:space="preserve"> “ – за кое нешто предлагаме да не биде мислење туку да биде предлог од Комората на вештаци. </w:t>
      </w:r>
    </w:p>
    <w:p w:rsidR="006409E0" w:rsidRPr="00C3200C" w:rsidRDefault="006409E0" w:rsidP="00595B13">
      <w:pPr>
        <w:tabs>
          <w:tab w:val="left" w:pos="739"/>
        </w:tabs>
        <w:spacing w:after="0" w:line="228" w:lineRule="auto"/>
        <w:jc w:val="both"/>
        <w:rPr>
          <w:rFonts w:eastAsia="Tahoma" w:cs="Arial"/>
          <w:sz w:val="24"/>
          <w:szCs w:val="24"/>
          <w:lang w:val="mk-MK"/>
        </w:rPr>
      </w:pPr>
    </w:p>
    <w:p w:rsidR="00595B13" w:rsidRPr="00C3200C" w:rsidRDefault="00C3200C" w:rsidP="004C3566">
      <w:p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            </w:t>
      </w:r>
      <w:r w:rsidR="006409E0" w:rsidRPr="00C3200C">
        <w:rPr>
          <w:rFonts w:eastAsia="Times New Roman" w:cs="Times New Roman"/>
          <w:sz w:val="24"/>
          <w:szCs w:val="24"/>
          <w:lang w:val="mk-MK"/>
        </w:rPr>
        <w:t xml:space="preserve">Во делот </w:t>
      </w:r>
      <w:r w:rsidR="006409E0" w:rsidRPr="00C3200C">
        <w:rPr>
          <w:rFonts w:eastAsia="Times New Roman" w:cs="Times New Roman"/>
          <w:sz w:val="24"/>
          <w:szCs w:val="24"/>
        </w:rPr>
        <w:t>IV</w:t>
      </w:r>
      <w:r w:rsidR="006409E0" w:rsidRPr="00C3200C">
        <w:rPr>
          <w:rFonts w:eastAsia="Times New Roman" w:cs="Times New Roman"/>
          <w:sz w:val="24"/>
          <w:szCs w:val="24"/>
          <w:lang w:val="mk-MK"/>
        </w:rPr>
        <w:t xml:space="preserve">. ПРАВНИ ЛИЦА ЗА ВЕШТАЧЕЊЕ </w:t>
      </w:r>
    </w:p>
    <w:p w:rsidR="006409E0" w:rsidRPr="00C3200C" w:rsidRDefault="006409E0" w:rsidP="00C3200C">
      <w:pPr>
        <w:pStyle w:val="ListParagraph"/>
        <w:numPr>
          <w:ilvl w:val="0"/>
          <w:numId w:val="9"/>
        </w:num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Сметаме дека предлагачот Министерство за правда треба да најде механизам за еднаква распределба на одговорноста помеѓу физичките лица и правните лица со кое нешто би се делувало во начелата на професионализам , конкурентност , еднаквост и непристапност ( неможе да се стават овие два субјекти физички и правни лица различни одговорности – односно да се применува нееднаков пристап) </w:t>
      </w:r>
    </w:p>
    <w:p w:rsidR="00C3200C" w:rsidRPr="00C3200C" w:rsidRDefault="00C3200C" w:rsidP="00C3200C">
      <w:pPr>
        <w:pStyle w:val="ListParagraph"/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6409E0" w:rsidRPr="00FC6CC0" w:rsidRDefault="006409E0" w:rsidP="00C3200C">
      <w:pPr>
        <w:pStyle w:val="ListParagraph"/>
        <w:numPr>
          <w:ilvl w:val="0"/>
          <w:numId w:val="9"/>
        </w:numPr>
        <w:tabs>
          <w:tab w:val="left" w:pos="2140"/>
        </w:tabs>
        <w:jc w:val="both"/>
        <w:rPr>
          <w:rFonts w:eastAsia="Tahoma" w:cs="Arial"/>
          <w:sz w:val="24"/>
          <w:szCs w:val="24"/>
          <w:lang w:val="mk-MK"/>
        </w:rPr>
      </w:pPr>
      <w:r w:rsidRPr="00C3200C">
        <w:rPr>
          <w:rFonts w:eastAsia="Times New Roman" w:cs="Times New Roman"/>
          <w:sz w:val="24"/>
          <w:szCs w:val="24"/>
          <w:lang w:val="mk-MK"/>
        </w:rPr>
        <w:t xml:space="preserve">Во член 38 став 7 е дел од одредба во која врабоените се ограничуваат односно „ </w:t>
      </w:r>
      <w:r w:rsidRPr="00C3200C">
        <w:rPr>
          <w:rFonts w:eastAsia="Tahoma" w:cs="Arial"/>
          <w:sz w:val="24"/>
          <w:szCs w:val="24"/>
          <w:lang w:val="mk-MK"/>
        </w:rPr>
        <w:t>Вештакот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вработен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друштво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>вештачење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може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јави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како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основач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друго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друштво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>вештачење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ниту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вработи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кај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друго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друштво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>вештачење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или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кај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трговец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поединец</w:t>
      </w:r>
      <w:proofErr w:type="spellEnd"/>
      <w:r w:rsidRPr="00C3200C">
        <w:rPr>
          <w:rFonts w:eastAsia="Tahoma" w:cs="Arial"/>
          <w:sz w:val="24"/>
          <w:szCs w:val="24"/>
          <w:lang w:val="mk-MK"/>
        </w:rPr>
        <w:t>-вештак</w:t>
      </w:r>
      <w:r w:rsidRPr="00C3200C">
        <w:rPr>
          <w:rFonts w:eastAsia="Tahoma" w:cs="Arial"/>
          <w:sz w:val="24"/>
          <w:szCs w:val="24"/>
        </w:rPr>
        <w:t xml:space="preserve">. </w:t>
      </w:r>
      <w:r w:rsidRPr="00C3200C">
        <w:rPr>
          <w:rFonts w:eastAsia="Tahoma" w:cs="Arial"/>
          <w:sz w:val="24"/>
          <w:szCs w:val="24"/>
          <w:lang w:val="mk-MK"/>
        </w:rPr>
        <w:t xml:space="preserve">, за кое нешто предлагаме зборовите „ </w:t>
      </w:r>
      <w:proofErr w:type="spellStart"/>
      <w:r w:rsidRPr="00C3200C">
        <w:rPr>
          <w:rFonts w:eastAsia="Tahoma" w:cs="Arial"/>
          <w:sz w:val="24"/>
          <w:szCs w:val="24"/>
        </w:rPr>
        <w:t>ниту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се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вработи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кај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друго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друштво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за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r w:rsidRPr="00C3200C">
        <w:rPr>
          <w:rFonts w:eastAsia="Tahoma" w:cs="Arial"/>
          <w:sz w:val="24"/>
          <w:szCs w:val="24"/>
          <w:lang w:val="mk-MK"/>
        </w:rPr>
        <w:t>вештачење</w:t>
      </w:r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или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кај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трговец</w:t>
      </w:r>
      <w:proofErr w:type="spellEnd"/>
      <w:r w:rsidRPr="00C3200C">
        <w:rPr>
          <w:rFonts w:eastAsia="Tahoma" w:cs="Arial"/>
          <w:sz w:val="24"/>
          <w:szCs w:val="24"/>
        </w:rPr>
        <w:t xml:space="preserve"> </w:t>
      </w:r>
      <w:proofErr w:type="spellStart"/>
      <w:r w:rsidRPr="00C3200C">
        <w:rPr>
          <w:rFonts w:eastAsia="Tahoma" w:cs="Arial"/>
          <w:sz w:val="24"/>
          <w:szCs w:val="24"/>
        </w:rPr>
        <w:t>поединец</w:t>
      </w:r>
      <w:proofErr w:type="spellEnd"/>
      <w:r w:rsidRPr="00C3200C">
        <w:rPr>
          <w:rFonts w:eastAsia="Tahoma" w:cs="Arial"/>
          <w:sz w:val="24"/>
          <w:szCs w:val="24"/>
          <w:lang w:val="mk-MK"/>
        </w:rPr>
        <w:t>-вештак</w:t>
      </w:r>
      <w:r w:rsidRPr="00C3200C">
        <w:rPr>
          <w:rFonts w:eastAsia="Tahoma" w:cs="Arial"/>
          <w:sz w:val="24"/>
          <w:szCs w:val="24"/>
        </w:rPr>
        <w:t>.</w:t>
      </w:r>
      <w:r w:rsidRPr="00C3200C">
        <w:rPr>
          <w:rFonts w:eastAsia="Tahoma" w:cs="Arial"/>
          <w:sz w:val="24"/>
          <w:szCs w:val="24"/>
          <w:lang w:val="mk-MK"/>
        </w:rPr>
        <w:t xml:space="preserve">“ да се избришат , а од причина и што ова прашање се регулира и во Законот за трговски друштва. </w:t>
      </w:r>
    </w:p>
    <w:p w:rsidR="00FC6CC0" w:rsidRPr="00FC6CC0" w:rsidRDefault="00FC6CC0" w:rsidP="00FC6CC0">
      <w:pPr>
        <w:pStyle w:val="ListParagraph"/>
        <w:rPr>
          <w:rFonts w:eastAsia="Tahoma" w:cs="Arial"/>
          <w:sz w:val="24"/>
          <w:szCs w:val="24"/>
          <w:lang w:val="mk-MK"/>
        </w:rPr>
      </w:pPr>
    </w:p>
    <w:p w:rsidR="00FC6CC0" w:rsidRDefault="00FC6CC0" w:rsidP="00FC6CC0">
      <w:pPr>
        <w:tabs>
          <w:tab w:val="left" w:pos="2140"/>
        </w:tabs>
        <w:jc w:val="both"/>
        <w:rPr>
          <w:rFonts w:eastAsia="Tahoma" w:cs="Arial"/>
          <w:sz w:val="24"/>
          <w:szCs w:val="24"/>
          <w:lang w:val="mk-MK"/>
        </w:rPr>
      </w:pPr>
      <w:r>
        <w:rPr>
          <w:rFonts w:eastAsia="Tahoma" w:cs="Arial"/>
          <w:sz w:val="24"/>
          <w:szCs w:val="24"/>
          <w:lang w:val="mk-MK"/>
        </w:rPr>
        <w:t xml:space="preserve">Вешто Лице </w:t>
      </w:r>
    </w:p>
    <w:p w:rsidR="00FC6CC0" w:rsidRDefault="00FC6CC0" w:rsidP="00FC6CC0">
      <w:pPr>
        <w:tabs>
          <w:tab w:val="left" w:pos="2140"/>
        </w:tabs>
        <w:jc w:val="both"/>
        <w:rPr>
          <w:rFonts w:eastAsia="Tahoma" w:cs="Arial"/>
          <w:sz w:val="24"/>
          <w:szCs w:val="24"/>
          <w:lang w:val="mk-MK"/>
        </w:rPr>
      </w:pPr>
      <w:r>
        <w:rPr>
          <w:rFonts w:eastAsia="Tahoma" w:cs="Arial"/>
          <w:sz w:val="24"/>
          <w:szCs w:val="24"/>
          <w:lang w:val="mk-MK"/>
        </w:rPr>
        <w:t xml:space="preserve">Ненад Антевски </w:t>
      </w:r>
      <w:bookmarkStart w:id="0" w:name="_GoBack"/>
      <w:bookmarkEnd w:id="0"/>
      <w:r>
        <w:rPr>
          <w:rFonts w:eastAsia="Tahoma" w:cs="Arial"/>
          <w:sz w:val="24"/>
          <w:szCs w:val="24"/>
          <w:lang w:val="mk-MK"/>
        </w:rPr>
        <w:t xml:space="preserve"> </w:t>
      </w:r>
    </w:p>
    <w:p w:rsidR="00FC6CC0" w:rsidRPr="00FC6CC0" w:rsidRDefault="00FC6CC0" w:rsidP="00FC6CC0">
      <w:pPr>
        <w:tabs>
          <w:tab w:val="left" w:pos="2140"/>
        </w:tabs>
        <w:jc w:val="both"/>
        <w:rPr>
          <w:rFonts w:eastAsia="Tahoma" w:cs="Arial"/>
          <w:sz w:val="24"/>
          <w:szCs w:val="24"/>
          <w:lang w:val="mk-MK"/>
        </w:rPr>
      </w:pPr>
    </w:p>
    <w:p w:rsidR="006409E0" w:rsidRPr="00C3200C" w:rsidRDefault="006409E0" w:rsidP="006409E0">
      <w:pPr>
        <w:pStyle w:val="ListParagraph"/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595B13" w:rsidRPr="00C3200C" w:rsidRDefault="00595B13" w:rsidP="004C3566">
      <w:p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A16524" w:rsidRPr="00C3200C" w:rsidRDefault="00A16524" w:rsidP="004C3566">
      <w:p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350658" w:rsidRPr="00C3200C" w:rsidRDefault="00350658" w:rsidP="004C3566">
      <w:pPr>
        <w:shd w:val="clear" w:color="auto" w:fill="FFFFFF"/>
        <w:tabs>
          <w:tab w:val="left" w:pos="2745"/>
        </w:tabs>
        <w:spacing w:after="150" w:line="218" w:lineRule="atLeast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74442D" w:rsidRPr="00C3200C" w:rsidRDefault="0074442D" w:rsidP="00533F13">
      <w:pPr>
        <w:jc w:val="both"/>
        <w:rPr>
          <w:sz w:val="24"/>
          <w:szCs w:val="24"/>
          <w:lang w:val="mk-MK"/>
        </w:rPr>
      </w:pPr>
    </w:p>
    <w:sectPr w:rsidR="0074442D" w:rsidRPr="00C3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1F98"/>
    <w:multiLevelType w:val="hybridMultilevel"/>
    <w:tmpl w:val="A3A80FB0"/>
    <w:lvl w:ilvl="0" w:tplc="61CE8F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6459"/>
    <w:multiLevelType w:val="hybridMultilevel"/>
    <w:tmpl w:val="87F4191C"/>
    <w:lvl w:ilvl="0" w:tplc="67FE1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67F"/>
    <w:multiLevelType w:val="hybridMultilevel"/>
    <w:tmpl w:val="E5F0EF9E"/>
    <w:lvl w:ilvl="0" w:tplc="C8B08F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268"/>
    <w:multiLevelType w:val="multilevel"/>
    <w:tmpl w:val="D54437C0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B236972"/>
    <w:multiLevelType w:val="hybridMultilevel"/>
    <w:tmpl w:val="30DCE4D8"/>
    <w:lvl w:ilvl="0" w:tplc="BA2238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F4AFE"/>
    <w:multiLevelType w:val="hybridMultilevel"/>
    <w:tmpl w:val="2AE4C3A6"/>
    <w:lvl w:ilvl="0" w:tplc="BA2238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E09B6"/>
    <w:multiLevelType w:val="hybridMultilevel"/>
    <w:tmpl w:val="2FB45C50"/>
    <w:lvl w:ilvl="0" w:tplc="C48CE1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52CC6"/>
    <w:multiLevelType w:val="hybridMultilevel"/>
    <w:tmpl w:val="2C0E7A70"/>
    <w:lvl w:ilvl="0" w:tplc="6BF2B52E"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FD3558"/>
    <w:multiLevelType w:val="hybridMultilevel"/>
    <w:tmpl w:val="30E2CE24"/>
    <w:lvl w:ilvl="0" w:tplc="BA2238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1"/>
    <w:rsid w:val="00000FAF"/>
    <w:rsid w:val="00001D2A"/>
    <w:rsid w:val="000331DC"/>
    <w:rsid w:val="00126F30"/>
    <w:rsid w:val="001E4003"/>
    <w:rsid w:val="00250598"/>
    <w:rsid w:val="002C3080"/>
    <w:rsid w:val="00347178"/>
    <w:rsid w:val="00350658"/>
    <w:rsid w:val="003C52C1"/>
    <w:rsid w:val="00403BF4"/>
    <w:rsid w:val="004C3566"/>
    <w:rsid w:val="004F10DC"/>
    <w:rsid w:val="005044CB"/>
    <w:rsid w:val="00507FE4"/>
    <w:rsid w:val="00533F13"/>
    <w:rsid w:val="00544546"/>
    <w:rsid w:val="00595B13"/>
    <w:rsid w:val="005C66B4"/>
    <w:rsid w:val="005F4187"/>
    <w:rsid w:val="00604637"/>
    <w:rsid w:val="00605014"/>
    <w:rsid w:val="00632C52"/>
    <w:rsid w:val="006349B3"/>
    <w:rsid w:val="006409E0"/>
    <w:rsid w:val="006A16F6"/>
    <w:rsid w:val="006C7DA2"/>
    <w:rsid w:val="006E6B35"/>
    <w:rsid w:val="0074442D"/>
    <w:rsid w:val="007626B0"/>
    <w:rsid w:val="00781B31"/>
    <w:rsid w:val="0078754B"/>
    <w:rsid w:val="007C53B5"/>
    <w:rsid w:val="00831335"/>
    <w:rsid w:val="008515CF"/>
    <w:rsid w:val="00934E5F"/>
    <w:rsid w:val="009642DB"/>
    <w:rsid w:val="009A0E42"/>
    <w:rsid w:val="00A05827"/>
    <w:rsid w:val="00A16524"/>
    <w:rsid w:val="00A67762"/>
    <w:rsid w:val="00AA2649"/>
    <w:rsid w:val="00AB3DDD"/>
    <w:rsid w:val="00AE6AD2"/>
    <w:rsid w:val="00B1078B"/>
    <w:rsid w:val="00B14813"/>
    <w:rsid w:val="00B74E8A"/>
    <w:rsid w:val="00BE4A24"/>
    <w:rsid w:val="00C3200C"/>
    <w:rsid w:val="00CC0AEB"/>
    <w:rsid w:val="00D37A9F"/>
    <w:rsid w:val="00E256C3"/>
    <w:rsid w:val="00E26274"/>
    <w:rsid w:val="00E55707"/>
    <w:rsid w:val="00E64D8C"/>
    <w:rsid w:val="00ED176E"/>
    <w:rsid w:val="00F20A50"/>
    <w:rsid w:val="00F63561"/>
    <w:rsid w:val="00F94129"/>
    <w:rsid w:val="00F96D2D"/>
    <w:rsid w:val="00FC6CC0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6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6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Beti</cp:lastModifiedBy>
  <cp:revision>35</cp:revision>
  <cp:lastPrinted>2019-12-03T18:53:00Z</cp:lastPrinted>
  <dcterms:created xsi:type="dcterms:W3CDTF">2019-10-24T09:26:00Z</dcterms:created>
  <dcterms:modified xsi:type="dcterms:W3CDTF">2019-12-03T19:25:00Z</dcterms:modified>
</cp:coreProperties>
</file>