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684" w:rsidRPr="000F703A" w:rsidRDefault="00942684" w:rsidP="00942684">
      <w:pPr>
        <w:spacing w:after="0" w:line="276" w:lineRule="auto"/>
        <w:jc w:val="center"/>
        <w:rPr>
          <w:rFonts w:ascii="Arial" w:hAnsi="Arial" w:cs="Arial"/>
          <w:b/>
          <w:sz w:val="24"/>
          <w:szCs w:val="24"/>
          <w:lang w:val="mk-MK"/>
        </w:rPr>
      </w:pPr>
      <w:r>
        <w:rPr>
          <w:rFonts w:ascii="Arial" w:hAnsi="Arial" w:cs="Arial"/>
          <w:b/>
          <w:sz w:val="24"/>
          <w:szCs w:val="24"/>
          <w:lang w:val="mk-MK"/>
        </w:rPr>
        <w:t xml:space="preserve">Генерални суштински забелешки кон Нацрт Законот за безбедност на мрежи и </w:t>
      </w:r>
      <w:proofErr w:type="spellStart"/>
      <w:r>
        <w:rPr>
          <w:rFonts w:ascii="Arial" w:hAnsi="Arial" w:cs="Arial"/>
          <w:b/>
          <w:sz w:val="24"/>
          <w:szCs w:val="24"/>
          <w:lang w:val="mk-MK"/>
        </w:rPr>
        <w:t>информациски</w:t>
      </w:r>
      <w:proofErr w:type="spellEnd"/>
      <w:r>
        <w:rPr>
          <w:rFonts w:ascii="Arial" w:hAnsi="Arial" w:cs="Arial"/>
          <w:b/>
          <w:sz w:val="24"/>
          <w:szCs w:val="24"/>
          <w:lang w:val="mk-MK"/>
        </w:rPr>
        <w:t xml:space="preserve"> системи</w:t>
      </w:r>
    </w:p>
    <w:p w:rsidR="00CB466A" w:rsidRDefault="00CB466A">
      <w:pPr>
        <w:rPr>
          <w:lang w:val="mk-MK"/>
        </w:rPr>
      </w:pPr>
    </w:p>
    <w:p w:rsidR="00942684" w:rsidRDefault="00942684" w:rsidP="00942684">
      <w:pPr>
        <w:spacing w:after="0" w:line="276" w:lineRule="auto"/>
        <w:jc w:val="both"/>
        <w:rPr>
          <w:rFonts w:ascii="Tahoma" w:hAnsi="Tahoma" w:cs="Tahoma"/>
          <w:lang w:val="mk-MK"/>
        </w:rPr>
      </w:pPr>
      <w:r>
        <w:rPr>
          <w:rFonts w:ascii="Tahoma" w:hAnsi="Tahoma" w:cs="Tahoma"/>
          <w:lang w:val="mk-MK"/>
        </w:rPr>
        <w:t xml:space="preserve">Покрај конкретните и детални забелешки, предлози за подобрување и технички исправки на текстот од Нацрт законот за безбедност на мрежи и </w:t>
      </w:r>
      <w:proofErr w:type="spellStart"/>
      <w:r>
        <w:rPr>
          <w:rFonts w:ascii="Tahoma" w:hAnsi="Tahoma" w:cs="Tahoma"/>
          <w:lang w:val="mk-MK"/>
        </w:rPr>
        <w:t>информациски</w:t>
      </w:r>
      <w:proofErr w:type="spellEnd"/>
      <w:r>
        <w:rPr>
          <w:rFonts w:ascii="Tahoma" w:hAnsi="Tahoma" w:cs="Tahoma"/>
          <w:lang w:val="mk-MK"/>
        </w:rPr>
        <w:t xml:space="preserve"> системи кои се дадени со трага на промени и коментари во приложениот документ</w:t>
      </w:r>
      <w:r w:rsidR="0015232A">
        <w:rPr>
          <w:rFonts w:ascii="Tahoma" w:hAnsi="Tahoma" w:cs="Tahoma"/>
          <w:lang w:val="mk-MK"/>
        </w:rPr>
        <w:t xml:space="preserve"> со назив </w:t>
      </w:r>
      <w:r>
        <w:rPr>
          <w:rFonts w:ascii="Tahoma" w:hAnsi="Tahoma" w:cs="Tahoma"/>
          <w:lang w:val="mk-MK"/>
        </w:rPr>
        <w:t>„</w:t>
      </w:r>
      <w:r w:rsidRPr="00942684">
        <w:rPr>
          <w:rFonts w:ascii="Tahoma" w:hAnsi="Tahoma" w:cs="Tahoma"/>
          <w:lang w:val="mk-MK"/>
        </w:rPr>
        <w:t xml:space="preserve">2_2015596024 Нацрт - закон_ за безбедност на мрежи забелешки од Народна </w:t>
      </w:r>
      <w:proofErr w:type="spellStart"/>
      <w:r w:rsidRPr="00942684">
        <w:rPr>
          <w:rFonts w:ascii="Tahoma" w:hAnsi="Tahoma" w:cs="Tahoma"/>
          <w:lang w:val="mk-MK"/>
        </w:rPr>
        <w:t>банка.docx</w:t>
      </w:r>
      <w:proofErr w:type="spellEnd"/>
      <w:r w:rsidRPr="00942684">
        <w:rPr>
          <w:rFonts w:ascii="Tahoma" w:hAnsi="Tahoma" w:cs="Tahoma"/>
          <w:lang w:val="mk-MK"/>
        </w:rPr>
        <w:t xml:space="preserve"> </w:t>
      </w:r>
      <w:r>
        <w:rPr>
          <w:rFonts w:ascii="Tahoma" w:hAnsi="Tahoma" w:cs="Tahoma"/>
          <w:lang w:val="mk-MK"/>
        </w:rPr>
        <w:t>“, во продолжение ги резимираме суштинските забелешки кон нацрт Законот:</w:t>
      </w:r>
    </w:p>
    <w:p w:rsidR="00942684" w:rsidRDefault="00942684" w:rsidP="00942684">
      <w:pPr>
        <w:spacing w:after="0" w:line="276" w:lineRule="auto"/>
        <w:jc w:val="both"/>
        <w:rPr>
          <w:rFonts w:ascii="Tahoma" w:hAnsi="Tahoma" w:cs="Tahoma"/>
          <w:lang w:val="mk-MK"/>
        </w:rPr>
      </w:pPr>
    </w:p>
    <w:p w:rsidR="00942684" w:rsidRDefault="00942684" w:rsidP="00942684">
      <w:pPr>
        <w:spacing w:after="0" w:line="276" w:lineRule="auto"/>
        <w:jc w:val="both"/>
        <w:rPr>
          <w:rFonts w:ascii="Tahoma" w:hAnsi="Tahoma" w:cs="Tahoma"/>
          <w:lang w:val="mk-MK"/>
        </w:rPr>
      </w:pPr>
      <w:r>
        <w:rPr>
          <w:rFonts w:ascii="Tahoma" w:hAnsi="Tahoma" w:cs="Tahoma"/>
          <w:lang w:val="mk-MK"/>
        </w:rPr>
        <w:t xml:space="preserve">1. Согласно Законот за Народната банка на Република Македонија, Народната банка е надлежна за надзор на платните системи. </w:t>
      </w:r>
      <w:proofErr w:type="spellStart"/>
      <w:r>
        <w:rPr>
          <w:rFonts w:ascii="Tahoma" w:hAnsi="Tahoma" w:cs="Tahoma"/>
          <w:lang w:val="mk-MK"/>
        </w:rPr>
        <w:t>Подзаконската</w:t>
      </w:r>
      <w:proofErr w:type="spellEnd"/>
      <w:r>
        <w:rPr>
          <w:rFonts w:ascii="Tahoma" w:hAnsi="Tahoma" w:cs="Tahoma"/>
          <w:lang w:val="mk-MK"/>
        </w:rPr>
        <w:t xml:space="preserve"> регулатива која ја има донесено Советот и гувернерот на Народната банка за остварување на оваа задача е следната: Политика за надзор на платните системи, Одлука за критериуми и стандарди за работењето на платни системи, Одлука за начин и методологија на надзор на платните системи и Упатство за известување од операторите на платните системи за спроведување на посреден надзор. Притоа, оваа регулатива е во согласност со меѓународните стандарди за надзор на платните системи: Принципите за инфраструктура на финансиските пазари и Рамка за обелоденување и методологија за проценка на Комитетот за системите за плаќање и порамнување при Банката за меѓународно порамнување и Одборот на Меѓународната организација на комисиите за хартии од вредност.</w:t>
      </w:r>
    </w:p>
    <w:p w:rsidR="00942684" w:rsidRDefault="00942684" w:rsidP="00942684">
      <w:pPr>
        <w:spacing w:after="0" w:line="276" w:lineRule="auto"/>
        <w:jc w:val="both"/>
        <w:rPr>
          <w:rFonts w:ascii="Tahoma" w:hAnsi="Tahoma" w:cs="Tahoma"/>
          <w:lang w:val="mk-MK"/>
        </w:rPr>
      </w:pPr>
      <w:r>
        <w:rPr>
          <w:rFonts w:ascii="Tahoma" w:hAnsi="Tahoma" w:cs="Tahoma"/>
          <w:lang w:val="mk-MK"/>
        </w:rPr>
        <w:t xml:space="preserve">Во рамки на </w:t>
      </w:r>
      <w:proofErr w:type="spellStart"/>
      <w:r>
        <w:rPr>
          <w:rFonts w:ascii="Tahoma" w:hAnsi="Tahoma" w:cs="Tahoma"/>
          <w:lang w:val="mk-MK"/>
        </w:rPr>
        <w:t>подзаконската</w:t>
      </w:r>
      <w:proofErr w:type="spellEnd"/>
      <w:r>
        <w:rPr>
          <w:rFonts w:ascii="Tahoma" w:hAnsi="Tahoma" w:cs="Tahoma"/>
          <w:lang w:val="mk-MK"/>
        </w:rPr>
        <w:t xml:space="preserve"> регулатива, како и во наведените меѓународните стандарди, е опфатен оперативниот ризик кај платните системи кој, меѓу другото, го покрива и делот за безбедност, интегритет и </w:t>
      </w:r>
      <w:proofErr w:type="spellStart"/>
      <w:r>
        <w:rPr>
          <w:rFonts w:ascii="Tahoma" w:hAnsi="Tahoma" w:cs="Tahoma"/>
          <w:lang w:val="mk-MK"/>
        </w:rPr>
        <w:t>опоравување</w:t>
      </w:r>
      <w:proofErr w:type="spellEnd"/>
      <w:r>
        <w:rPr>
          <w:rFonts w:ascii="Tahoma" w:hAnsi="Tahoma" w:cs="Tahoma"/>
          <w:lang w:val="mk-MK"/>
        </w:rPr>
        <w:t xml:space="preserve"> на мрежи и </w:t>
      </w:r>
      <w:proofErr w:type="spellStart"/>
      <w:r>
        <w:rPr>
          <w:rFonts w:ascii="Tahoma" w:hAnsi="Tahoma" w:cs="Tahoma"/>
          <w:lang w:val="mk-MK"/>
        </w:rPr>
        <w:t>информациски</w:t>
      </w:r>
      <w:proofErr w:type="spellEnd"/>
      <w:r>
        <w:rPr>
          <w:rFonts w:ascii="Tahoma" w:hAnsi="Tahoma" w:cs="Tahoma"/>
          <w:lang w:val="mk-MK"/>
        </w:rPr>
        <w:t xml:space="preserve"> системи. Дополнително, со меѓународните стандарди, покрај платните системи е опфатена и останатата инфраструктура на финансиски пазари (депозитари на хартии од вредност, системи за порамнување на хартии од вредност, централни договорни страни и друштвата за регистрација на финансиски трансакции), за чијшто надзор од аспект на усогласеноста со овие стандарди во иднина се планира да биде назначена Народната банка. Во таа насока, во подготовка се соодветни измени на Законот за Народната банка.</w:t>
      </w:r>
    </w:p>
    <w:p w:rsidR="00942684" w:rsidRDefault="00942684" w:rsidP="00942684">
      <w:pPr>
        <w:spacing w:after="0" w:line="276" w:lineRule="auto"/>
        <w:jc w:val="both"/>
        <w:rPr>
          <w:rFonts w:ascii="Tahoma" w:hAnsi="Tahoma" w:cs="Tahoma"/>
          <w:lang w:val="mk-MK"/>
        </w:rPr>
      </w:pPr>
      <w:r>
        <w:rPr>
          <w:rFonts w:ascii="Tahoma" w:hAnsi="Tahoma" w:cs="Tahoma"/>
          <w:lang w:val="mk-MK"/>
        </w:rPr>
        <w:t xml:space="preserve">Исто така, Народната банка е надлежна за супервизија на банките, штедилниците, друштвата за издавање на електронски пари и други финансиски институции, а Советот и гувернерот на Народната банка за спроведување на оваа задача има издадено бројна </w:t>
      </w:r>
      <w:proofErr w:type="spellStart"/>
      <w:r>
        <w:rPr>
          <w:rFonts w:ascii="Tahoma" w:hAnsi="Tahoma" w:cs="Tahoma"/>
          <w:lang w:val="mk-MK"/>
        </w:rPr>
        <w:t>подзаконска</w:t>
      </w:r>
      <w:proofErr w:type="spellEnd"/>
      <w:r>
        <w:rPr>
          <w:rFonts w:ascii="Tahoma" w:hAnsi="Tahoma" w:cs="Tahoma"/>
          <w:lang w:val="mk-MK"/>
        </w:rPr>
        <w:t xml:space="preserve"> регулатива како на пример: Одлука за методологијата за управување со ризиците, Одлука за методологијата за сигурност на информативниот систем на банката, Одлука за сигурноста на информативниот систем на штедилница, Одлука за начинот на вршење супервизија и надзор, Одлука за консолидирана супервизија и сл.</w:t>
      </w:r>
    </w:p>
    <w:p w:rsidR="00942684" w:rsidRDefault="00942684" w:rsidP="00942684">
      <w:pPr>
        <w:spacing w:after="0" w:line="276" w:lineRule="auto"/>
        <w:jc w:val="both"/>
        <w:rPr>
          <w:rFonts w:ascii="Tahoma" w:hAnsi="Tahoma" w:cs="Tahoma"/>
          <w:lang w:val="mk-MK"/>
        </w:rPr>
      </w:pPr>
      <w:r>
        <w:rPr>
          <w:rFonts w:ascii="Tahoma" w:hAnsi="Tahoma" w:cs="Tahoma"/>
          <w:lang w:val="mk-MK"/>
        </w:rPr>
        <w:t xml:space="preserve">Според погоре наведеното, предлагаме во членот 3 од Нацрт законот за безбедност на мрежи и </w:t>
      </w:r>
      <w:proofErr w:type="spellStart"/>
      <w:r>
        <w:rPr>
          <w:rFonts w:ascii="Tahoma" w:hAnsi="Tahoma" w:cs="Tahoma"/>
          <w:lang w:val="mk-MK"/>
        </w:rPr>
        <w:t>информациски</w:t>
      </w:r>
      <w:proofErr w:type="spellEnd"/>
      <w:r>
        <w:rPr>
          <w:rFonts w:ascii="Tahoma" w:hAnsi="Tahoma" w:cs="Tahoma"/>
          <w:lang w:val="mk-MK"/>
        </w:rPr>
        <w:t xml:space="preserve"> системи да се додаде нов став (4), во кој ќе се пропише дека одредбата од ставот (2) алинеја 1 од членот 16 нема да се применува на банките, штедилниците, друштвата за издавање на електронски пари, другите финансиски институции, операторите на платните системи и операторите на останата инфраструктура на финансиските пазари за кои надзорен орган е (или ќе биде во иднина) Народната </w:t>
      </w:r>
      <w:r>
        <w:rPr>
          <w:rFonts w:ascii="Tahoma" w:hAnsi="Tahoma" w:cs="Tahoma"/>
          <w:lang w:val="mk-MK"/>
        </w:rPr>
        <w:lastRenderedPageBreak/>
        <w:t xml:space="preserve">банка, а одредбата од постојниот став (4) би станала став (5). Притоа, согласно рециталот од релевантната директива на ЕУ и мислењето од ЕЦБ, Народната банка како надзорен орган за платните системи (во иднина, и за останатата инфраструктура на финансиски пазари) и супервизорски орган за банкарскиот сектор, е подготвена да разменува искуства за прашања поврзани со безбедноста на </w:t>
      </w:r>
      <w:proofErr w:type="spellStart"/>
      <w:r>
        <w:rPr>
          <w:rFonts w:ascii="Tahoma" w:hAnsi="Tahoma" w:cs="Tahoma"/>
          <w:lang w:val="mk-MK"/>
        </w:rPr>
        <w:t>мрежните</w:t>
      </w:r>
      <w:proofErr w:type="spellEnd"/>
      <w:r>
        <w:rPr>
          <w:rFonts w:ascii="Tahoma" w:hAnsi="Tahoma" w:cs="Tahoma"/>
          <w:lang w:val="mk-MK"/>
        </w:rPr>
        <w:t xml:space="preserve"> и </w:t>
      </w:r>
      <w:proofErr w:type="spellStart"/>
      <w:r>
        <w:rPr>
          <w:rFonts w:ascii="Tahoma" w:hAnsi="Tahoma" w:cs="Tahoma"/>
          <w:lang w:val="mk-MK"/>
        </w:rPr>
        <w:t>информациските</w:t>
      </w:r>
      <w:proofErr w:type="spellEnd"/>
      <w:r>
        <w:rPr>
          <w:rFonts w:ascii="Tahoma" w:hAnsi="Tahoma" w:cs="Tahoma"/>
          <w:lang w:val="mk-MK"/>
        </w:rPr>
        <w:t xml:space="preserve"> системи со надлежните органи согласно со овој Нацрт закон.</w:t>
      </w:r>
    </w:p>
    <w:p w:rsidR="00942684" w:rsidRDefault="00942684" w:rsidP="00942684">
      <w:pPr>
        <w:spacing w:after="0" w:line="276" w:lineRule="auto"/>
        <w:jc w:val="both"/>
        <w:rPr>
          <w:rFonts w:ascii="Tahoma" w:hAnsi="Tahoma" w:cs="Tahoma"/>
          <w:lang w:val="mk-MK"/>
        </w:rPr>
      </w:pPr>
    </w:p>
    <w:p w:rsidR="00942684" w:rsidRDefault="00942684" w:rsidP="00942684">
      <w:pPr>
        <w:spacing w:after="0" w:line="276" w:lineRule="auto"/>
        <w:jc w:val="both"/>
        <w:rPr>
          <w:rFonts w:ascii="Tahoma" w:hAnsi="Tahoma" w:cs="Tahoma"/>
          <w:lang w:val="mk-MK"/>
        </w:rPr>
      </w:pPr>
      <w:r>
        <w:rPr>
          <w:rFonts w:ascii="Tahoma" w:hAnsi="Tahoma" w:cs="Tahoma"/>
          <w:lang w:val="mk-MK"/>
        </w:rPr>
        <w:t xml:space="preserve">2. Заради правилно разбирање на Законот во однос на субјектите што треба да го применуваат овој закон, како и заради утврдување на надлежните </w:t>
      </w:r>
      <w:proofErr w:type="spellStart"/>
      <w:r>
        <w:rPr>
          <w:rFonts w:ascii="Tahoma" w:hAnsi="Tahoma" w:cs="Tahoma"/>
          <w:lang w:val="mk-MK"/>
        </w:rPr>
        <w:t>CSIRT-ови</w:t>
      </w:r>
      <w:proofErr w:type="spellEnd"/>
      <w:r>
        <w:rPr>
          <w:rFonts w:ascii="Tahoma" w:hAnsi="Tahoma" w:cs="Tahoma"/>
          <w:lang w:val="mk-MK"/>
        </w:rPr>
        <w:t xml:space="preserve"> за секој сектор поодделно, предлагаме во законот точно да се определи кои потсектори и правни лица припаѓаат во секторите дефинирани во Членот 3, слично како што тоа е напишано во Анекс 2 од ЕУ Директивата ((EU) 2016/1148), или да се напише одредба во која ќе се определи дека министерот за МИОА ќе ги пропише во </w:t>
      </w:r>
      <w:proofErr w:type="spellStart"/>
      <w:r>
        <w:rPr>
          <w:rFonts w:ascii="Tahoma" w:hAnsi="Tahoma" w:cs="Tahoma"/>
          <w:lang w:val="mk-MK"/>
        </w:rPr>
        <w:t>подзаконски</w:t>
      </w:r>
      <w:proofErr w:type="spellEnd"/>
      <w:r>
        <w:rPr>
          <w:rFonts w:ascii="Tahoma" w:hAnsi="Tahoma" w:cs="Tahoma"/>
          <w:lang w:val="mk-MK"/>
        </w:rPr>
        <w:t xml:space="preserve"> акт.</w:t>
      </w:r>
    </w:p>
    <w:p w:rsidR="00942684" w:rsidRDefault="00942684" w:rsidP="00942684">
      <w:pPr>
        <w:spacing w:after="0" w:line="276" w:lineRule="auto"/>
        <w:jc w:val="both"/>
        <w:rPr>
          <w:rFonts w:ascii="Tahoma" w:hAnsi="Tahoma" w:cs="Tahoma"/>
          <w:lang w:val="mk-MK"/>
        </w:rPr>
      </w:pPr>
      <w:r>
        <w:rPr>
          <w:rFonts w:ascii="Tahoma" w:hAnsi="Tahoma" w:cs="Tahoma"/>
          <w:lang w:val="mk-MK"/>
        </w:rPr>
        <w:t>Исто така, сметаме дека од примената на овој закон не треба целосно да се исклучуваат операторите на јавна електронска комуникациска мрежа определени со Законот за електронските комуникации и давателите на доверливи услуги определени со Законот за електронски документи, од причина што тие се даватели на суштински услуги на давателите на суштински услуги од другите сектори. Размената на информации во врска со инцидентите кај операторите на јавната електронска комуникациска мрежа и давателите на доверливи услуги ќе биде од полза за останатите сектори доколку постои ризик инцидентот да зафати други сектори или пошироко географско подрачје. Оттука, нашиот предлог е во насока на вклучување и на овие оператори и даватели на доверливи услуги во примена на законот во делот кој се однесува на обврските за рано предупредување, известувања, соопштенија и пренос на информации до засегнатите страни од ризиците и инцидентите.</w:t>
      </w:r>
    </w:p>
    <w:p w:rsidR="00942684" w:rsidRDefault="00942684" w:rsidP="00942684">
      <w:pPr>
        <w:spacing w:after="0" w:line="276" w:lineRule="auto"/>
        <w:jc w:val="both"/>
        <w:rPr>
          <w:rFonts w:ascii="Tahoma" w:hAnsi="Tahoma" w:cs="Tahoma"/>
          <w:lang w:val="mk-MK"/>
        </w:rPr>
      </w:pPr>
    </w:p>
    <w:p w:rsidR="00942684" w:rsidRDefault="00942684" w:rsidP="00942684">
      <w:pPr>
        <w:spacing w:after="0" w:line="276" w:lineRule="auto"/>
        <w:jc w:val="both"/>
        <w:rPr>
          <w:rFonts w:ascii="Tahoma" w:hAnsi="Tahoma" w:cs="Tahoma"/>
          <w:lang w:val="mk-MK"/>
        </w:rPr>
      </w:pPr>
      <w:r>
        <w:rPr>
          <w:rFonts w:ascii="Tahoma" w:hAnsi="Tahoma" w:cs="Tahoma"/>
          <w:lang w:val="mk-MK"/>
        </w:rPr>
        <w:t xml:space="preserve">3. Во однос на тимовите за одговор на компјутерски безбедносни инциденти (CSIRT) предлагаме тие, како посебни организациски единици да се формираат во рамките на Дигиталната агенција, а не како посебни организациски единици во различни надлежни органи како што е пропишано во членот 2 и членот 3 од нацрт Законот. </w:t>
      </w:r>
    </w:p>
    <w:p w:rsidR="00942684" w:rsidRDefault="00942684" w:rsidP="00942684">
      <w:pPr>
        <w:spacing w:after="0" w:line="276" w:lineRule="auto"/>
        <w:jc w:val="both"/>
        <w:rPr>
          <w:rFonts w:ascii="Tahoma" w:hAnsi="Tahoma" w:cs="Tahoma"/>
          <w:lang w:val="mk-MK"/>
        </w:rPr>
      </w:pPr>
      <w:r>
        <w:rPr>
          <w:rFonts w:ascii="Tahoma" w:hAnsi="Tahoma" w:cs="Tahoma"/>
          <w:lang w:val="mk-MK"/>
        </w:rPr>
        <w:t xml:space="preserve">Имено воспоставувањето на националните </w:t>
      </w:r>
      <w:proofErr w:type="spellStart"/>
      <w:r>
        <w:rPr>
          <w:rFonts w:ascii="Tahoma" w:hAnsi="Tahoma" w:cs="Tahoma"/>
          <w:lang w:val="mk-MK"/>
        </w:rPr>
        <w:t>CSIRT-ови</w:t>
      </w:r>
      <w:proofErr w:type="spellEnd"/>
      <w:r>
        <w:rPr>
          <w:rFonts w:ascii="Tahoma" w:hAnsi="Tahoma" w:cs="Tahoma"/>
          <w:lang w:val="mk-MK"/>
        </w:rPr>
        <w:t xml:space="preserve"> од страна на државата е потребно заради воспоставување ефикасен систем на координирана одбрана од </w:t>
      </w:r>
      <w:proofErr w:type="spellStart"/>
      <w:r>
        <w:rPr>
          <w:rFonts w:ascii="Tahoma" w:hAnsi="Tahoma" w:cs="Tahoma"/>
          <w:lang w:val="mk-MK"/>
        </w:rPr>
        <w:t>сајбер</w:t>
      </w:r>
      <w:proofErr w:type="spellEnd"/>
      <w:r>
        <w:rPr>
          <w:rFonts w:ascii="Tahoma" w:hAnsi="Tahoma" w:cs="Tahoma"/>
          <w:lang w:val="mk-MK"/>
        </w:rPr>
        <w:t xml:space="preserve"> и хибридни закани кои подразбираат мултидимензионални активности во кои се користат конвенционални и неконвенционални методи на напад, кои можат да бидат од дипломатска, воена, економска или технолошка природа и во кои, како учесници можат да се јават државни или приватни актери кои користат различни методи на координиран напад за да постигнат специфични цели.</w:t>
      </w:r>
    </w:p>
    <w:p w:rsidR="00942684" w:rsidRDefault="00942684" w:rsidP="00942684">
      <w:pPr>
        <w:spacing w:after="0" w:line="276" w:lineRule="auto"/>
        <w:jc w:val="both"/>
        <w:rPr>
          <w:rFonts w:ascii="Tahoma" w:hAnsi="Tahoma" w:cs="Tahoma"/>
          <w:lang w:val="mk-MK"/>
        </w:rPr>
      </w:pPr>
      <w:r>
        <w:rPr>
          <w:rFonts w:ascii="Tahoma" w:hAnsi="Tahoma" w:cs="Tahoma"/>
          <w:lang w:val="mk-MK"/>
        </w:rPr>
        <w:t>Исто така, видно од Анексот 1 (ANNEX I REQUIREMENTS AND TASKS OF COMPUTER SECURITY INCIDENT RESPONSE TEAMS (</w:t>
      </w:r>
      <w:proofErr w:type="spellStart"/>
      <w:r>
        <w:rPr>
          <w:rFonts w:ascii="Tahoma" w:hAnsi="Tahoma" w:cs="Tahoma"/>
          <w:lang w:val="mk-MK"/>
        </w:rPr>
        <w:t>CSIRTs</w:t>
      </w:r>
      <w:proofErr w:type="spellEnd"/>
      <w:r>
        <w:rPr>
          <w:rFonts w:ascii="Tahoma" w:hAnsi="Tahoma" w:cs="Tahoma"/>
          <w:lang w:val="mk-MK"/>
        </w:rPr>
        <w:t xml:space="preserve">)) од ЕУ Директивата, барањата кои треба да ги исполнат </w:t>
      </w:r>
      <w:proofErr w:type="spellStart"/>
      <w:r>
        <w:rPr>
          <w:rFonts w:ascii="Tahoma" w:hAnsi="Tahoma" w:cs="Tahoma"/>
          <w:lang w:val="mk-MK"/>
        </w:rPr>
        <w:t>CSIRT-овите</w:t>
      </w:r>
      <w:proofErr w:type="spellEnd"/>
      <w:r>
        <w:rPr>
          <w:rFonts w:ascii="Tahoma" w:hAnsi="Tahoma" w:cs="Tahoma"/>
          <w:lang w:val="mk-MK"/>
        </w:rPr>
        <w:t xml:space="preserve"> подразбираат ангажирање на значителен обем на финансиски средства и човечки ресурси, што во случајот со МК сметаме дека ќе биде економски неоправдано наместо еден централно поставен, да се воспостават десетина посебни </w:t>
      </w:r>
      <w:proofErr w:type="spellStart"/>
      <w:r>
        <w:rPr>
          <w:rFonts w:ascii="Tahoma" w:hAnsi="Tahoma" w:cs="Tahoma"/>
          <w:lang w:val="mk-MK"/>
        </w:rPr>
        <w:lastRenderedPageBreak/>
        <w:t>CSIRT-ови</w:t>
      </w:r>
      <w:proofErr w:type="spellEnd"/>
      <w:r>
        <w:rPr>
          <w:rFonts w:ascii="Tahoma" w:hAnsi="Tahoma" w:cs="Tahoma"/>
          <w:lang w:val="mk-MK"/>
        </w:rPr>
        <w:t xml:space="preserve"> во рамки на повеќе “надлежни органи за секторите“. Од одредбите наведени во нацрт Законот, исто така, не е јасно кој треба да ги формира и финансира секторските </w:t>
      </w:r>
      <w:proofErr w:type="spellStart"/>
      <w:r>
        <w:rPr>
          <w:rFonts w:ascii="Tahoma" w:hAnsi="Tahoma" w:cs="Tahoma"/>
          <w:lang w:val="mk-MK"/>
        </w:rPr>
        <w:t>CSIRT-ови</w:t>
      </w:r>
      <w:proofErr w:type="spellEnd"/>
      <w:r>
        <w:rPr>
          <w:rFonts w:ascii="Tahoma" w:hAnsi="Tahoma" w:cs="Tahoma"/>
          <w:lang w:val="mk-MK"/>
        </w:rPr>
        <w:t xml:space="preserve">. Понатаму, покрај обврската на земјите членки да </w:t>
      </w:r>
      <w:proofErr w:type="spellStart"/>
      <w:r>
        <w:rPr>
          <w:rFonts w:ascii="Tahoma" w:hAnsi="Tahoma" w:cs="Tahoma"/>
          <w:lang w:val="mk-MK"/>
        </w:rPr>
        <w:t>осигураат</w:t>
      </w:r>
      <w:proofErr w:type="spellEnd"/>
      <w:r>
        <w:rPr>
          <w:rFonts w:ascii="Tahoma" w:hAnsi="Tahoma" w:cs="Tahoma"/>
          <w:lang w:val="mk-MK"/>
        </w:rPr>
        <w:t xml:space="preserve"> дека </w:t>
      </w:r>
      <w:proofErr w:type="spellStart"/>
      <w:r>
        <w:rPr>
          <w:rFonts w:ascii="Tahoma" w:hAnsi="Tahoma" w:cs="Tahoma"/>
          <w:lang w:val="mk-MK"/>
        </w:rPr>
        <w:t>CSIRT-овите</w:t>
      </w:r>
      <w:proofErr w:type="spellEnd"/>
      <w:r>
        <w:rPr>
          <w:rFonts w:ascii="Tahoma" w:hAnsi="Tahoma" w:cs="Tahoma"/>
          <w:lang w:val="mk-MK"/>
        </w:rPr>
        <w:t xml:space="preserve"> имаат ангажирано адекватни ресурси за ефикасно справување со задачите, во членот 9 од ЕУ директивата е пропишана и обврска, дека земјите членки треба да </w:t>
      </w:r>
      <w:proofErr w:type="spellStart"/>
      <w:r>
        <w:rPr>
          <w:rFonts w:ascii="Tahoma" w:hAnsi="Tahoma" w:cs="Tahoma"/>
          <w:lang w:val="mk-MK"/>
        </w:rPr>
        <w:t>осигураат</w:t>
      </w:r>
      <w:proofErr w:type="spellEnd"/>
      <w:r>
        <w:rPr>
          <w:rFonts w:ascii="Tahoma" w:hAnsi="Tahoma" w:cs="Tahoma"/>
          <w:lang w:val="mk-MK"/>
        </w:rPr>
        <w:t xml:space="preserve"> дека </w:t>
      </w:r>
      <w:proofErr w:type="spellStart"/>
      <w:r>
        <w:rPr>
          <w:rFonts w:ascii="Tahoma" w:hAnsi="Tahoma" w:cs="Tahoma"/>
          <w:lang w:val="mk-MK"/>
        </w:rPr>
        <w:t>CSIRT-овите</w:t>
      </w:r>
      <w:proofErr w:type="spellEnd"/>
      <w:r>
        <w:rPr>
          <w:rFonts w:ascii="Tahoma" w:hAnsi="Tahoma" w:cs="Tahoma"/>
          <w:lang w:val="mk-MK"/>
        </w:rPr>
        <w:t xml:space="preserve"> имаат пристап до соодветна, безбедна и флексибилна комуникациска и информациска инфраструктура на национално ниво и дека државите можат да побараат помош на ENISA во развојот на националните </w:t>
      </w:r>
      <w:proofErr w:type="spellStart"/>
      <w:r>
        <w:rPr>
          <w:rFonts w:ascii="Tahoma" w:hAnsi="Tahoma" w:cs="Tahoma"/>
          <w:lang w:val="mk-MK"/>
        </w:rPr>
        <w:t>CSIRT-ови</w:t>
      </w:r>
      <w:proofErr w:type="spellEnd"/>
      <w:r>
        <w:rPr>
          <w:rFonts w:ascii="Tahoma" w:hAnsi="Tahoma" w:cs="Tahoma"/>
          <w:lang w:val="mk-MK"/>
        </w:rPr>
        <w:t xml:space="preserve">. Оттука, сметаме дека е порационално со помош на </w:t>
      </w:r>
      <w:r>
        <w:rPr>
          <w:rFonts w:ascii="Tahoma" w:hAnsi="Tahoma" w:cs="Tahoma"/>
        </w:rPr>
        <w:t xml:space="preserve">ENISA </w:t>
      </w:r>
      <w:r>
        <w:rPr>
          <w:rFonts w:ascii="Tahoma" w:hAnsi="Tahoma" w:cs="Tahoma"/>
          <w:lang w:val="mk-MK"/>
        </w:rPr>
        <w:t xml:space="preserve">да се развие еден соодветно опремен и екипиран </w:t>
      </w:r>
      <w:r>
        <w:rPr>
          <w:rFonts w:ascii="Tahoma" w:hAnsi="Tahoma" w:cs="Tahoma"/>
        </w:rPr>
        <w:t>CSIRT</w:t>
      </w:r>
      <w:r>
        <w:rPr>
          <w:rFonts w:ascii="Tahoma" w:hAnsi="Tahoma" w:cs="Tahoma"/>
          <w:lang w:val="mk-MK"/>
        </w:rPr>
        <w:t xml:space="preserve">, во рамките на кој ќе се воспостават стручни тимови за поддршка на различните сектори кои нудат суштински услуги. </w:t>
      </w:r>
    </w:p>
    <w:p w:rsidR="00942684" w:rsidRDefault="00942684" w:rsidP="00942684">
      <w:pPr>
        <w:spacing w:after="0" w:line="276" w:lineRule="auto"/>
        <w:jc w:val="both"/>
        <w:rPr>
          <w:rFonts w:ascii="Tahoma" w:hAnsi="Tahoma" w:cs="Tahoma"/>
          <w:lang w:val="mk-MK"/>
        </w:rPr>
      </w:pPr>
      <w:r>
        <w:rPr>
          <w:rFonts w:ascii="Tahoma" w:hAnsi="Tahoma" w:cs="Tahoma"/>
          <w:lang w:val="mk-MK"/>
        </w:rPr>
        <w:t xml:space="preserve">Во прилог кон овој предлог се и воспоставените </w:t>
      </w:r>
      <w:r>
        <w:rPr>
          <w:rFonts w:ascii="Tahoma" w:hAnsi="Tahoma" w:cs="Tahoma"/>
        </w:rPr>
        <w:t>CSIRT-</w:t>
      </w:r>
      <w:proofErr w:type="spellStart"/>
      <w:r>
        <w:rPr>
          <w:rFonts w:ascii="Tahoma" w:hAnsi="Tahoma" w:cs="Tahoma"/>
          <w:lang w:val="mk-MK"/>
        </w:rPr>
        <w:t>ови</w:t>
      </w:r>
      <w:proofErr w:type="spellEnd"/>
      <w:r>
        <w:rPr>
          <w:rFonts w:ascii="Tahoma" w:hAnsi="Tahoma" w:cs="Tahoma"/>
          <w:lang w:val="mk-MK"/>
        </w:rPr>
        <w:t xml:space="preserve"> од нашето опкружување, каде како пример ги земавме Албанија, Бугарија, Црна Гора, Хрватска и Словенија. Имено, во овие држави има воспоставено еден до два </w:t>
      </w:r>
      <w:r>
        <w:rPr>
          <w:rFonts w:ascii="Tahoma" w:hAnsi="Tahoma" w:cs="Tahoma"/>
        </w:rPr>
        <w:t>CSIRT</w:t>
      </w:r>
      <w:r>
        <w:rPr>
          <w:rFonts w:ascii="Tahoma" w:hAnsi="Tahoma" w:cs="Tahoma"/>
          <w:lang w:val="mk-MK"/>
        </w:rPr>
        <w:t>-</w:t>
      </w:r>
      <w:proofErr w:type="spellStart"/>
      <w:r>
        <w:rPr>
          <w:rFonts w:ascii="Tahoma" w:hAnsi="Tahoma" w:cs="Tahoma"/>
          <w:lang w:val="mk-MK"/>
        </w:rPr>
        <w:t>ови</w:t>
      </w:r>
      <w:proofErr w:type="spellEnd"/>
      <w:r>
        <w:rPr>
          <w:rFonts w:ascii="Tahoma" w:hAnsi="Tahoma" w:cs="Tahoma"/>
          <w:lang w:val="mk-MK"/>
        </w:rPr>
        <w:t>, сите на ниво на влада и/или на национално ниво:</w:t>
      </w:r>
    </w:p>
    <w:p w:rsidR="00942684" w:rsidRDefault="00942684" w:rsidP="00942684">
      <w:pPr>
        <w:spacing w:after="0" w:line="276" w:lineRule="auto"/>
        <w:jc w:val="both"/>
        <w:rPr>
          <w:rFonts w:ascii="Arial" w:hAnsi="Arial" w:cs="Arial"/>
          <w:sz w:val="24"/>
          <w:szCs w:val="24"/>
          <w:lang w:val="mk-MK"/>
        </w:rPr>
      </w:pPr>
    </w:p>
    <w:tbl>
      <w:tblPr>
        <w:tblW w:w="9373" w:type="dxa"/>
        <w:tblInd w:w="91" w:type="dxa"/>
        <w:tblCellMar>
          <w:left w:w="0" w:type="dxa"/>
          <w:right w:w="0" w:type="dxa"/>
        </w:tblCellMar>
        <w:tblLook w:val="04A0"/>
      </w:tblPr>
      <w:tblGrid>
        <w:gridCol w:w="6821"/>
        <w:gridCol w:w="2552"/>
      </w:tblGrid>
      <w:tr w:rsidR="00942684" w:rsidTr="00942684">
        <w:trPr>
          <w:trHeight w:val="300"/>
        </w:trPr>
        <w:tc>
          <w:tcPr>
            <w:tcW w:w="6821" w:type="dxa"/>
            <w:tcBorders>
              <w:top w:val="dashed" w:sz="8" w:space="0" w:color="365F91"/>
              <w:left w:val="dashed" w:sz="8" w:space="0" w:color="365F91"/>
              <w:bottom w:val="dashed" w:sz="8" w:space="0" w:color="365F91"/>
              <w:right w:val="dashed" w:sz="8" w:space="0" w:color="365F91"/>
            </w:tcBorders>
            <w:shd w:val="clear" w:color="auto" w:fill="DBE5F1"/>
            <w:noWrap/>
            <w:tcMar>
              <w:top w:w="0" w:type="dxa"/>
              <w:left w:w="108" w:type="dxa"/>
              <w:bottom w:w="0" w:type="dxa"/>
              <w:right w:w="108" w:type="dxa"/>
            </w:tcMar>
            <w:hideMark/>
          </w:tcPr>
          <w:p w:rsidR="00942684" w:rsidRDefault="00942684">
            <w:pPr>
              <w:spacing w:after="0" w:line="240" w:lineRule="auto"/>
              <w:rPr>
                <w:b/>
                <w:bCs/>
                <w:color w:val="000000"/>
                <w:lang w:val="mk-MK"/>
              </w:rPr>
            </w:pPr>
            <w:r>
              <w:rPr>
                <w:b/>
                <w:bCs/>
                <w:color w:val="000000"/>
                <w:lang w:val="mk-MK"/>
              </w:rPr>
              <w:t>Држава/Конституент</w:t>
            </w:r>
          </w:p>
        </w:tc>
        <w:tc>
          <w:tcPr>
            <w:tcW w:w="2552" w:type="dxa"/>
            <w:tcBorders>
              <w:top w:val="dashed" w:sz="8" w:space="0" w:color="365F91"/>
              <w:left w:val="nil"/>
              <w:bottom w:val="dashed" w:sz="8" w:space="0" w:color="365F91"/>
              <w:right w:val="dashed" w:sz="8" w:space="0" w:color="365F91"/>
            </w:tcBorders>
            <w:shd w:val="clear" w:color="auto" w:fill="DBE5F1"/>
            <w:noWrap/>
            <w:tcMar>
              <w:top w:w="0" w:type="dxa"/>
              <w:left w:w="108" w:type="dxa"/>
              <w:bottom w:w="0" w:type="dxa"/>
              <w:right w:w="108" w:type="dxa"/>
            </w:tcMar>
            <w:vAlign w:val="bottom"/>
            <w:hideMark/>
          </w:tcPr>
          <w:p w:rsidR="00942684" w:rsidRDefault="00942684">
            <w:pPr>
              <w:spacing w:after="0" w:line="240" w:lineRule="auto"/>
              <w:jc w:val="right"/>
              <w:rPr>
                <w:b/>
                <w:bCs/>
                <w:color w:val="000000"/>
                <w:lang w:val="mk-MK"/>
              </w:rPr>
            </w:pPr>
            <w:r>
              <w:rPr>
                <w:b/>
                <w:bCs/>
                <w:color w:val="000000"/>
                <w:lang w:val="mk-MK"/>
              </w:rPr>
              <w:t>Број на конституенти</w:t>
            </w:r>
          </w:p>
        </w:tc>
      </w:tr>
      <w:tr w:rsidR="00942684" w:rsidTr="00942684">
        <w:trPr>
          <w:trHeight w:val="300"/>
        </w:trPr>
        <w:tc>
          <w:tcPr>
            <w:tcW w:w="6821" w:type="dxa"/>
            <w:tcBorders>
              <w:top w:val="nil"/>
              <w:left w:val="dashed" w:sz="8" w:space="0" w:color="365F91"/>
              <w:bottom w:val="dashed" w:sz="8" w:space="0" w:color="365F91"/>
              <w:right w:val="dashed" w:sz="8" w:space="0" w:color="365F91"/>
            </w:tcBorders>
            <w:shd w:val="clear" w:color="auto" w:fill="DBE5F1"/>
            <w:noWrap/>
            <w:tcMar>
              <w:top w:w="0" w:type="dxa"/>
              <w:left w:w="108" w:type="dxa"/>
              <w:bottom w:w="0" w:type="dxa"/>
              <w:right w:w="108" w:type="dxa"/>
            </w:tcMar>
            <w:vAlign w:val="bottom"/>
            <w:hideMark/>
          </w:tcPr>
          <w:p w:rsidR="00942684" w:rsidRDefault="00942684">
            <w:pPr>
              <w:spacing w:after="0" w:line="240" w:lineRule="auto"/>
              <w:rPr>
                <w:b/>
                <w:bCs/>
                <w:color w:val="000000"/>
              </w:rPr>
            </w:pPr>
            <w:r>
              <w:rPr>
                <w:b/>
                <w:bCs/>
                <w:color w:val="000000"/>
              </w:rPr>
              <w:t>Albania</w:t>
            </w:r>
          </w:p>
        </w:tc>
        <w:tc>
          <w:tcPr>
            <w:tcW w:w="2552" w:type="dxa"/>
            <w:tcBorders>
              <w:top w:val="nil"/>
              <w:left w:val="nil"/>
              <w:bottom w:val="dashed" w:sz="8" w:space="0" w:color="365F91"/>
              <w:right w:val="dashed" w:sz="8" w:space="0" w:color="365F91"/>
            </w:tcBorders>
            <w:shd w:val="clear" w:color="auto" w:fill="DBE5F1"/>
            <w:noWrap/>
            <w:tcMar>
              <w:top w:w="0" w:type="dxa"/>
              <w:left w:w="108" w:type="dxa"/>
              <w:bottom w:w="0" w:type="dxa"/>
              <w:right w:w="108" w:type="dxa"/>
            </w:tcMar>
            <w:vAlign w:val="bottom"/>
            <w:hideMark/>
          </w:tcPr>
          <w:p w:rsidR="00942684" w:rsidRDefault="00942684">
            <w:pPr>
              <w:spacing w:after="0" w:line="240" w:lineRule="auto"/>
              <w:jc w:val="right"/>
              <w:rPr>
                <w:b/>
                <w:bCs/>
                <w:color w:val="000000"/>
              </w:rPr>
            </w:pPr>
            <w:r>
              <w:rPr>
                <w:b/>
                <w:bCs/>
                <w:color w:val="000000"/>
              </w:rPr>
              <w:t>1</w:t>
            </w:r>
          </w:p>
        </w:tc>
      </w:tr>
      <w:tr w:rsidR="00942684" w:rsidTr="00942684">
        <w:trPr>
          <w:trHeight w:val="300"/>
        </w:trPr>
        <w:tc>
          <w:tcPr>
            <w:tcW w:w="6821" w:type="dxa"/>
            <w:tcBorders>
              <w:top w:val="nil"/>
              <w:left w:val="dashed" w:sz="8" w:space="0" w:color="365F91"/>
              <w:bottom w:val="dashed" w:sz="8" w:space="0" w:color="365F91"/>
              <w:right w:val="dashed" w:sz="8" w:space="0" w:color="365F91"/>
            </w:tcBorders>
            <w:noWrap/>
            <w:tcMar>
              <w:top w:w="0" w:type="dxa"/>
              <w:left w:w="108" w:type="dxa"/>
              <w:bottom w:w="0" w:type="dxa"/>
              <w:right w:w="108" w:type="dxa"/>
            </w:tcMar>
            <w:vAlign w:val="bottom"/>
            <w:hideMark/>
          </w:tcPr>
          <w:p w:rsidR="00942684" w:rsidRDefault="00942684">
            <w:pPr>
              <w:spacing w:after="0" w:line="240" w:lineRule="auto"/>
              <w:ind w:firstLine="220"/>
              <w:rPr>
                <w:color w:val="000000"/>
              </w:rPr>
            </w:pPr>
            <w:r>
              <w:rPr>
                <w:color w:val="000000"/>
              </w:rPr>
              <w:t>Government</w:t>
            </w:r>
          </w:p>
        </w:tc>
        <w:tc>
          <w:tcPr>
            <w:tcW w:w="2552" w:type="dxa"/>
            <w:tcBorders>
              <w:top w:val="nil"/>
              <w:left w:val="nil"/>
              <w:bottom w:val="dashed" w:sz="8" w:space="0" w:color="365F91"/>
              <w:right w:val="dashed" w:sz="8" w:space="0" w:color="365F91"/>
            </w:tcBorders>
            <w:noWrap/>
            <w:tcMar>
              <w:top w:w="0" w:type="dxa"/>
              <w:left w:w="108" w:type="dxa"/>
              <w:bottom w:w="0" w:type="dxa"/>
              <w:right w:w="108" w:type="dxa"/>
            </w:tcMar>
            <w:vAlign w:val="bottom"/>
            <w:hideMark/>
          </w:tcPr>
          <w:p w:rsidR="00942684" w:rsidRDefault="00942684">
            <w:pPr>
              <w:spacing w:after="0" w:line="240" w:lineRule="auto"/>
              <w:rPr>
                <w:rFonts w:asciiTheme="minorHAnsi" w:eastAsiaTheme="minorEastAsia" w:hAnsiTheme="minorHAnsi" w:cstheme="minorBidi"/>
              </w:rPr>
            </w:pPr>
          </w:p>
        </w:tc>
      </w:tr>
      <w:tr w:rsidR="00942684" w:rsidTr="00942684">
        <w:trPr>
          <w:trHeight w:val="300"/>
        </w:trPr>
        <w:tc>
          <w:tcPr>
            <w:tcW w:w="6821" w:type="dxa"/>
            <w:tcBorders>
              <w:top w:val="nil"/>
              <w:left w:val="dashed" w:sz="8" w:space="0" w:color="365F91"/>
              <w:bottom w:val="dashed" w:sz="8" w:space="0" w:color="365F91"/>
              <w:right w:val="dashed" w:sz="8" w:space="0" w:color="365F91"/>
            </w:tcBorders>
            <w:shd w:val="clear" w:color="auto" w:fill="DBE5F1"/>
            <w:noWrap/>
            <w:tcMar>
              <w:top w:w="0" w:type="dxa"/>
              <w:left w:w="108" w:type="dxa"/>
              <w:bottom w:w="0" w:type="dxa"/>
              <w:right w:w="108" w:type="dxa"/>
            </w:tcMar>
            <w:vAlign w:val="bottom"/>
            <w:hideMark/>
          </w:tcPr>
          <w:p w:rsidR="00942684" w:rsidRDefault="00942684">
            <w:pPr>
              <w:spacing w:after="0" w:line="240" w:lineRule="auto"/>
              <w:rPr>
                <w:b/>
                <w:bCs/>
                <w:color w:val="000000"/>
              </w:rPr>
            </w:pPr>
            <w:r>
              <w:rPr>
                <w:b/>
                <w:bCs/>
                <w:color w:val="000000"/>
              </w:rPr>
              <w:t>Bulgaria</w:t>
            </w:r>
          </w:p>
        </w:tc>
        <w:tc>
          <w:tcPr>
            <w:tcW w:w="2552" w:type="dxa"/>
            <w:tcBorders>
              <w:top w:val="nil"/>
              <w:left w:val="nil"/>
              <w:bottom w:val="dashed" w:sz="8" w:space="0" w:color="365F91"/>
              <w:right w:val="dashed" w:sz="8" w:space="0" w:color="365F91"/>
            </w:tcBorders>
            <w:shd w:val="clear" w:color="auto" w:fill="DBE5F1"/>
            <w:noWrap/>
            <w:tcMar>
              <w:top w:w="0" w:type="dxa"/>
              <w:left w:w="108" w:type="dxa"/>
              <w:bottom w:w="0" w:type="dxa"/>
              <w:right w:w="108" w:type="dxa"/>
            </w:tcMar>
            <w:vAlign w:val="bottom"/>
            <w:hideMark/>
          </w:tcPr>
          <w:p w:rsidR="00942684" w:rsidRDefault="00942684">
            <w:pPr>
              <w:spacing w:after="0" w:line="240" w:lineRule="auto"/>
              <w:jc w:val="right"/>
              <w:rPr>
                <w:b/>
                <w:bCs/>
                <w:color w:val="000000"/>
              </w:rPr>
            </w:pPr>
            <w:r>
              <w:rPr>
                <w:b/>
                <w:bCs/>
                <w:color w:val="000000"/>
              </w:rPr>
              <w:t>1</w:t>
            </w:r>
          </w:p>
        </w:tc>
      </w:tr>
      <w:tr w:rsidR="00942684" w:rsidTr="00942684">
        <w:trPr>
          <w:trHeight w:val="300"/>
        </w:trPr>
        <w:tc>
          <w:tcPr>
            <w:tcW w:w="6821" w:type="dxa"/>
            <w:tcBorders>
              <w:top w:val="nil"/>
              <w:left w:val="dashed" w:sz="8" w:space="0" w:color="365F91"/>
              <w:bottom w:val="dashed" w:sz="8" w:space="0" w:color="365F91"/>
              <w:right w:val="dashed" w:sz="8" w:space="0" w:color="365F91"/>
            </w:tcBorders>
            <w:noWrap/>
            <w:tcMar>
              <w:top w:w="0" w:type="dxa"/>
              <w:left w:w="108" w:type="dxa"/>
              <w:bottom w:w="0" w:type="dxa"/>
              <w:right w:w="108" w:type="dxa"/>
            </w:tcMar>
            <w:vAlign w:val="bottom"/>
            <w:hideMark/>
          </w:tcPr>
          <w:p w:rsidR="00942684" w:rsidRDefault="00942684">
            <w:pPr>
              <w:spacing w:after="0" w:line="240" w:lineRule="auto"/>
              <w:ind w:firstLine="220"/>
              <w:rPr>
                <w:color w:val="000000"/>
              </w:rPr>
            </w:pPr>
            <w:r>
              <w:rPr>
                <w:color w:val="000000"/>
              </w:rPr>
              <w:t>Government</w:t>
            </w:r>
          </w:p>
        </w:tc>
        <w:tc>
          <w:tcPr>
            <w:tcW w:w="2552" w:type="dxa"/>
            <w:tcBorders>
              <w:top w:val="nil"/>
              <w:left w:val="nil"/>
              <w:bottom w:val="dashed" w:sz="8" w:space="0" w:color="365F91"/>
              <w:right w:val="dashed" w:sz="8" w:space="0" w:color="365F91"/>
            </w:tcBorders>
            <w:noWrap/>
            <w:tcMar>
              <w:top w:w="0" w:type="dxa"/>
              <w:left w:w="108" w:type="dxa"/>
              <w:bottom w:w="0" w:type="dxa"/>
              <w:right w:w="108" w:type="dxa"/>
            </w:tcMar>
            <w:vAlign w:val="bottom"/>
            <w:hideMark/>
          </w:tcPr>
          <w:p w:rsidR="00942684" w:rsidRDefault="00942684">
            <w:pPr>
              <w:spacing w:after="0" w:line="240" w:lineRule="auto"/>
              <w:rPr>
                <w:rFonts w:asciiTheme="minorHAnsi" w:eastAsiaTheme="minorEastAsia" w:hAnsiTheme="minorHAnsi" w:cstheme="minorBidi"/>
              </w:rPr>
            </w:pPr>
          </w:p>
        </w:tc>
      </w:tr>
      <w:tr w:rsidR="00942684" w:rsidTr="00942684">
        <w:trPr>
          <w:trHeight w:val="300"/>
        </w:trPr>
        <w:tc>
          <w:tcPr>
            <w:tcW w:w="6821" w:type="dxa"/>
            <w:tcBorders>
              <w:top w:val="nil"/>
              <w:left w:val="dashed" w:sz="8" w:space="0" w:color="365F91"/>
              <w:bottom w:val="dashed" w:sz="8" w:space="0" w:color="365F91"/>
              <w:right w:val="dashed" w:sz="8" w:space="0" w:color="365F91"/>
            </w:tcBorders>
            <w:shd w:val="clear" w:color="auto" w:fill="DBE5F1"/>
            <w:noWrap/>
            <w:tcMar>
              <w:top w:w="0" w:type="dxa"/>
              <w:left w:w="108" w:type="dxa"/>
              <w:bottom w:w="0" w:type="dxa"/>
              <w:right w:w="108" w:type="dxa"/>
            </w:tcMar>
            <w:vAlign w:val="bottom"/>
            <w:hideMark/>
          </w:tcPr>
          <w:p w:rsidR="00942684" w:rsidRDefault="00942684">
            <w:pPr>
              <w:spacing w:after="0" w:line="240" w:lineRule="auto"/>
              <w:rPr>
                <w:b/>
                <w:bCs/>
                <w:color w:val="000000"/>
              </w:rPr>
            </w:pPr>
            <w:r>
              <w:rPr>
                <w:b/>
                <w:bCs/>
                <w:color w:val="000000"/>
              </w:rPr>
              <w:t>Montenegro</w:t>
            </w:r>
          </w:p>
        </w:tc>
        <w:tc>
          <w:tcPr>
            <w:tcW w:w="2552" w:type="dxa"/>
            <w:tcBorders>
              <w:top w:val="nil"/>
              <w:left w:val="nil"/>
              <w:bottom w:val="dashed" w:sz="8" w:space="0" w:color="365F91"/>
              <w:right w:val="dashed" w:sz="8" w:space="0" w:color="365F91"/>
            </w:tcBorders>
            <w:shd w:val="clear" w:color="auto" w:fill="DBE5F1"/>
            <w:noWrap/>
            <w:tcMar>
              <w:top w:w="0" w:type="dxa"/>
              <w:left w:w="108" w:type="dxa"/>
              <w:bottom w:w="0" w:type="dxa"/>
              <w:right w:w="108" w:type="dxa"/>
            </w:tcMar>
            <w:vAlign w:val="bottom"/>
            <w:hideMark/>
          </w:tcPr>
          <w:p w:rsidR="00942684" w:rsidRDefault="00942684">
            <w:pPr>
              <w:spacing w:after="0" w:line="240" w:lineRule="auto"/>
              <w:jc w:val="right"/>
              <w:rPr>
                <w:b/>
                <w:bCs/>
                <w:color w:val="000000"/>
              </w:rPr>
            </w:pPr>
            <w:r>
              <w:rPr>
                <w:b/>
                <w:bCs/>
                <w:color w:val="000000"/>
              </w:rPr>
              <w:t>1</w:t>
            </w:r>
          </w:p>
        </w:tc>
      </w:tr>
      <w:tr w:rsidR="00942684" w:rsidTr="00942684">
        <w:trPr>
          <w:trHeight w:val="300"/>
        </w:trPr>
        <w:tc>
          <w:tcPr>
            <w:tcW w:w="6821" w:type="dxa"/>
            <w:tcBorders>
              <w:top w:val="nil"/>
              <w:left w:val="dashed" w:sz="8" w:space="0" w:color="365F91"/>
              <w:bottom w:val="dashed" w:sz="8" w:space="0" w:color="365F91"/>
              <w:right w:val="dashed" w:sz="8" w:space="0" w:color="365F91"/>
            </w:tcBorders>
            <w:noWrap/>
            <w:tcMar>
              <w:top w:w="0" w:type="dxa"/>
              <w:left w:w="108" w:type="dxa"/>
              <w:bottom w:w="0" w:type="dxa"/>
              <w:right w:w="108" w:type="dxa"/>
            </w:tcMar>
            <w:vAlign w:val="bottom"/>
            <w:hideMark/>
          </w:tcPr>
          <w:p w:rsidR="00942684" w:rsidRDefault="00942684">
            <w:pPr>
              <w:spacing w:after="0" w:line="240" w:lineRule="auto"/>
              <w:ind w:firstLine="220"/>
              <w:rPr>
                <w:color w:val="000000"/>
              </w:rPr>
            </w:pPr>
            <w:r>
              <w:rPr>
                <w:color w:val="000000"/>
              </w:rPr>
              <w:t>National</w:t>
            </w:r>
          </w:p>
        </w:tc>
        <w:tc>
          <w:tcPr>
            <w:tcW w:w="2552" w:type="dxa"/>
            <w:tcBorders>
              <w:top w:val="nil"/>
              <w:left w:val="nil"/>
              <w:bottom w:val="dashed" w:sz="8" w:space="0" w:color="365F91"/>
              <w:right w:val="dashed" w:sz="8" w:space="0" w:color="365F91"/>
            </w:tcBorders>
            <w:noWrap/>
            <w:tcMar>
              <w:top w:w="0" w:type="dxa"/>
              <w:left w:w="108" w:type="dxa"/>
              <w:bottom w:w="0" w:type="dxa"/>
              <w:right w:w="108" w:type="dxa"/>
            </w:tcMar>
            <w:vAlign w:val="bottom"/>
            <w:hideMark/>
          </w:tcPr>
          <w:p w:rsidR="00942684" w:rsidRDefault="00942684">
            <w:pPr>
              <w:spacing w:after="0" w:line="240" w:lineRule="auto"/>
              <w:rPr>
                <w:rFonts w:asciiTheme="minorHAnsi" w:eastAsiaTheme="minorEastAsia" w:hAnsiTheme="minorHAnsi" w:cstheme="minorBidi"/>
              </w:rPr>
            </w:pPr>
          </w:p>
        </w:tc>
      </w:tr>
      <w:tr w:rsidR="00942684" w:rsidTr="00942684">
        <w:trPr>
          <w:trHeight w:val="300"/>
        </w:trPr>
        <w:tc>
          <w:tcPr>
            <w:tcW w:w="6821" w:type="dxa"/>
            <w:tcBorders>
              <w:top w:val="nil"/>
              <w:left w:val="dashed" w:sz="8" w:space="0" w:color="365F91"/>
              <w:bottom w:val="dashed" w:sz="8" w:space="0" w:color="365F91"/>
              <w:right w:val="dashed" w:sz="8" w:space="0" w:color="365F91"/>
            </w:tcBorders>
            <w:shd w:val="clear" w:color="auto" w:fill="DBE5F1"/>
            <w:noWrap/>
            <w:tcMar>
              <w:top w:w="0" w:type="dxa"/>
              <w:left w:w="108" w:type="dxa"/>
              <w:bottom w:w="0" w:type="dxa"/>
              <w:right w:w="108" w:type="dxa"/>
            </w:tcMar>
            <w:vAlign w:val="bottom"/>
            <w:hideMark/>
          </w:tcPr>
          <w:p w:rsidR="00942684" w:rsidRDefault="00942684">
            <w:pPr>
              <w:spacing w:after="0" w:line="240" w:lineRule="auto"/>
              <w:rPr>
                <w:b/>
                <w:bCs/>
                <w:color w:val="000000"/>
              </w:rPr>
            </w:pPr>
            <w:r>
              <w:rPr>
                <w:b/>
                <w:bCs/>
                <w:color w:val="000000"/>
              </w:rPr>
              <w:t>Croatia</w:t>
            </w:r>
          </w:p>
        </w:tc>
        <w:tc>
          <w:tcPr>
            <w:tcW w:w="2552" w:type="dxa"/>
            <w:tcBorders>
              <w:top w:val="nil"/>
              <w:left w:val="nil"/>
              <w:bottom w:val="dashed" w:sz="8" w:space="0" w:color="365F91"/>
              <w:right w:val="dashed" w:sz="8" w:space="0" w:color="365F91"/>
            </w:tcBorders>
            <w:shd w:val="clear" w:color="auto" w:fill="DBE5F1"/>
            <w:noWrap/>
            <w:tcMar>
              <w:top w:w="0" w:type="dxa"/>
              <w:left w:w="108" w:type="dxa"/>
              <w:bottom w:w="0" w:type="dxa"/>
              <w:right w:w="108" w:type="dxa"/>
            </w:tcMar>
            <w:vAlign w:val="bottom"/>
            <w:hideMark/>
          </w:tcPr>
          <w:p w:rsidR="00942684" w:rsidRDefault="00942684">
            <w:pPr>
              <w:spacing w:after="0" w:line="240" w:lineRule="auto"/>
              <w:jc w:val="right"/>
              <w:rPr>
                <w:b/>
                <w:bCs/>
                <w:color w:val="000000"/>
              </w:rPr>
            </w:pPr>
            <w:r>
              <w:rPr>
                <w:b/>
                <w:bCs/>
                <w:color w:val="000000"/>
              </w:rPr>
              <w:t>2</w:t>
            </w:r>
          </w:p>
        </w:tc>
      </w:tr>
      <w:tr w:rsidR="00942684" w:rsidTr="00942684">
        <w:trPr>
          <w:trHeight w:val="300"/>
        </w:trPr>
        <w:tc>
          <w:tcPr>
            <w:tcW w:w="6821" w:type="dxa"/>
            <w:tcBorders>
              <w:top w:val="nil"/>
              <w:left w:val="dashed" w:sz="8" w:space="0" w:color="365F91"/>
              <w:bottom w:val="dashed" w:sz="8" w:space="0" w:color="365F91"/>
              <w:right w:val="dashed" w:sz="8" w:space="0" w:color="365F91"/>
            </w:tcBorders>
            <w:noWrap/>
            <w:tcMar>
              <w:top w:w="0" w:type="dxa"/>
              <w:left w:w="108" w:type="dxa"/>
              <w:bottom w:w="0" w:type="dxa"/>
              <w:right w:w="108" w:type="dxa"/>
            </w:tcMar>
            <w:vAlign w:val="bottom"/>
            <w:hideMark/>
          </w:tcPr>
          <w:p w:rsidR="00942684" w:rsidRDefault="00942684">
            <w:pPr>
              <w:spacing w:after="0" w:line="240" w:lineRule="auto"/>
              <w:ind w:firstLine="220"/>
              <w:rPr>
                <w:color w:val="000000"/>
              </w:rPr>
            </w:pPr>
            <w:r>
              <w:rPr>
                <w:color w:val="000000"/>
              </w:rPr>
              <w:t>Government</w:t>
            </w:r>
          </w:p>
        </w:tc>
        <w:tc>
          <w:tcPr>
            <w:tcW w:w="2552" w:type="dxa"/>
            <w:tcBorders>
              <w:top w:val="nil"/>
              <w:left w:val="nil"/>
              <w:bottom w:val="dashed" w:sz="8" w:space="0" w:color="365F91"/>
              <w:right w:val="dashed" w:sz="8" w:space="0" w:color="365F91"/>
            </w:tcBorders>
            <w:noWrap/>
            <w:tcMar>
              <w:top w:w="0" w:type="dxa"/>
              <w:left w:w="108" w:type="dxa"/>
              <w:bottom w:w="0" w:type="dxa"/>
              <w:right w:w="108" w:type="dxa"/>
            </w:tcMar>
            <w:vAlign w:val="bottom"/>
            <w:hideMark/>
          </w:tcPr>
          <w:p w:rsidR="00942684" w:rsidRDefault="00942684">
            <w:pPr>
              <w:spacing w:after="0" w:line="240" w:lineRule="auto"/>
              <w:rPr>
                <w:rFonts w:asciiTheme="minorHAnsi" w:eastAsiaTheme="minorEastAsia" w:hAnsiTheme="minorHAnsi" w:cstheme="minorBidi"/>
              </w:rPr>
            </w:pPr>
          </w:p>
        </w:tc>
      </w:tr>
      <w:tr w:rsidR="00942684" w:rsidTr="00942684">
        <w:trPr>
          <w:trHeight w:val="300"/>
        </w:trPr>
        <w:tc>
          <w:tcPr>
            <w:tcW w:w="6821" w:type="dxa"/>
            <w:tcBorders>
              <w:top w:val="nil"/>
              <w:left w:val="dashed" w:sz="8" w:space="0" w:color="365F91"/>
              <w:bottom w:val="dashed" w:sz="8" w:space="0" w:color="365F91"/>
              <w:right w:val="dashed" w:sz="8" w:space="0" w:color="365F91"/>
            </w:tcBorders>
            <w:noWrap/>
            <w:tcMar>
              <w:top w:w="0" w:type="dxa"/>
              <w:left w:w="108" w:type="dxa"/>
              <w:bottom w:w="0" w:type="dxa"/>
              <w:right w:w="108" w:type="dxa"/>
            </w:tcMar>
            <w:vAlign w:val="bottom"/>
            <w:hideMark/>
          </w:tcPr>
          <w:p w:rsidR="00942684" w:rsidRDefault="00942684">
            <w:pPr>
              <w:spacing w:after="0" w:line="240" w:lineRule="auto"/>
              <w:ind w:firstLine="220"/>
              <w:rPr>
                <w:color w:val="000000"/>
              </w:rPr>
            </w:pPr>
            <w:r>
              <w:rPr>
                <w:color w:val="000000"/>
              </w:rPr>
              <w:t xml:space="preserve">NREN, National </w:t>
            </w:r>
            <w:proofErr w:type="spellStart"/>
            <w:r>
              <w:rPr>
                <w:color w:val="000000"/>
                <w:lang w:val="mk-MK"/>
              </w:rPr>
              <w:t>research</w:t>
            </w:r>
            <w:proofErr w:type="spellEnd"/>
            <w:r>
              <w:rPr>
                <w:color w:val="000000"/>
                <w:lang w:val="mk-MK"/>
              </w:rPr>
              <w:t xml:space="preserve"> </w:t>
            </w:r>
            <w:proofErr w:type="spellStart"/>
            <w:r>
              <w:rPr>
                <w:color w:val="000000"/>
                <w:lang w:val="mk-MK"/>
              </w:rPr>
              <w:t>and</w:t>
            </w:r>
            <w:proofErr w:type="spellEnd"/>
            <w:r>
              <w:rPr>
                <w:color w:val="000000"/>
                <w:lang w:val="mk-MK"/>
              </w:rPr>
              <w:t xml:space="preserve"> </w:t>
            </w:r>
            <w:proofErr w:type="spellStart"/>
            <w:r>
              <w:rPr>
                <w:color w:val="000000"/>
                <w:lang w:val="mk-MK"/>
              </w:rPr>
              <w:t>education</w:t>
            </w:r>
            <w:proofErr w:type="spellEnd"/>
            <w:r>
              <w:rPr>
                <w:color w:val="000000"/>
                <w:lang w:val="mk-MK"/>
              </w:rPr>
              <w:t xml:space="preserve"> </w:t>
            </w:r>
            <w:proofErr w:type="spellStart"/>
            <w:r>
              <w:rPr>
                <w:color w:val="000000"/>
                <w:lang w:val="mk-MK"/>
              </w:rPr>
              <w:t>network</w:t>
            </w:r>
            <w:proofErr w:type="spellEnd"/>
            <w:r>
              <w:rPr>
                <w:color w:val="000000"/>
                <w:lang w:val="mk-MK"/>
              </w:rPr>
              <w:t>)</w:t>
            </w:r>
            <w:r>
              <w:rPr>
                <w:color w:val="000000"/>
              </w:rPr>
              <w:t>, National</w:t>
            </w:r>
          </w:p>
        </w:tc>
        <w:tc>
          <w:tcPr>
            <w:tcW w:w="2552" w:type="dxa"/>
            <w:tcBorders>
              <w:top w:val="nil"/>
              <w:left w:val="nil"/>
              <w:bottom w:val="dashed" w:sz="8" w:space="0" w:color="365F91"/>
              <w:right w:val="dashed" w:sz="8" w:space="0" w:color="365F91"/>
            </w:tcBorders>
            <w:noWrap/>
            <w:tcMar>
              <w:top w:w="0" w:type="dxa"/>
              <w:left w:w="108" w:type="dxa"/>
              <w:bottom w:w="0" w:type="dxa"/>
              <w:right w:w="108" w:type="dxa"/>
            </w:tcMar>
            <w:vAlign w:val="bottom"/>
            <w:hideMark/>
          </w:tcPr>
          <w:p w:rsidR="00942684" w:rsidRDefault="00942684">
            <w:pPr>
              <w:spacing w:after="0" w:line="240" w:lineRule="auto"/>
              <w:rPr>
                <w:rFonts w:asciiTheme="minorHAnsi" w:eastAsiaTheme="minorEastAsia" w:hAnsiTheme="minorHAnsi" w:cstheme="minorBidi"/>
              </w:rPr>
            </w:pPr>
          </w:p>
        </w:tc>
      </w:tr>
      <w:tr w:rsidR="00942684" w:rsidTr="00942684">
        <w:trPr>
          <w:trHeight w:val="300"/>
        </w:trPr>
        <w:tc>
          <w:tcPr>
            <w:tcW w:w="6821" w:type="dxa"/>
            <w:tcBorders>
              <w:top w:val="nil"/>
              <w:left w:val="dashed" w:sz="8" w:space="0" w:color="365F91"/>
              <w:bottom w:val="dashed" w:sz="8" w:space="0" w:color="365F91"/>
              <w:right w:val="dashed" w:sz="8" w:space="0" w:color="365F91"/>
            </w:tcBorders>
            <w:shd w:val="clear" w:color="auto" w:fill="DBE5F1"/>
            <w:noWrap/>
            <w:tcMar>
              <w:top w:w="0" w:type="dxa"/>
              <w:left w:w="108" w:type="dxa"/>
              <w:bottom w:w="0" w:type="dxa"/>
              <w:right w:w="108" w:type="dxa"/>
            </w:tcMar>
            <w:vAlign w:val="bottom"/>
            <w:hideMark/>
          </w:tcPr>
          <w:p w:rsidR="00942684" w:rsidRDefault="00942684">
            <w:pPr>
              <w:spacing w:after="0" w:line="240" w:lineRule="auto"/>
              <w:rPr>
                <w:b/>
                <w:bCs/>
                <w:color w:val="000000"/>
              </w:rPr>
            </w:pPr>
            <w:r>
              <w:rPr>
                <w:b/>
                <w:bCs/>
                <w:color w:val="000000"/>
              </w:rPr>
              <w:t>Slovenia</w:t>
            </w:r>
          </w:p>
        </w:tc>
        <w:tc>
          <w:tcPr>
            <w:tcW w:w="2552" w:type="dxa"/>
            <w:tcBorders>
              <w:top w:val="nil"/>
              <w:left w:val="nil"/>
              <w:bottom w:val="dashed" w:sz="8" w:space="0" w:color="365F91"/>
              <w:right w:val="dashed" w:sz="8" w:space="0" w:color="365F91"/>
            </w:tcBorders>
            <w:shd w:val="clear" w:color="auto" w:fill="DBE5F1"/>
            <w:noWrap/>
            <w:tcMar>
              <w:top w:w="0" w:type="dxa"/>
              <w:left w:w="108" w:type="dxa"/>
              <w:bottom w:w="0" w:type="dxa"/>
              <w:right w:w="108" w:type="dxa"/>
            </w:tcMar>
            <w:vAlign w:val="bottom"/>
            <w:hideMark/>
          </w:tcPr>
          <w:p w:rsidR="00942684" w:rsidRDefault="00942684">
            <w:pPr>
              <w:spacing w:after="0" w:line="240" w:lineRule="auto"/>
              <w:jc w:val="right"/>
              <w:rPr>
                <w:b/>
                <w:bCs/>
                <w:color w:val="000000"/>
              </w:rPr>
            </w:pPr>
            <w:r>
              <w:rPr>
                <w:b/>
                <w:bCs/>
                <w:color w:val="000000"/>
              </w:rPr>
              <w:t>2</w:t>
            </w:r>
          </w:p>
        </w:tc>
      </w:tr>
      <w:tr w:rsidR="00942684" w:rsidTr="00942684">
        <w:trPr>
          <w:trHeight w:val="300"/>
        </w:trPr>
        <w:tc>
          <w:tcPr>
            <w:tcW w:w="6821" w:type="dxa"/>
            <w:tcBorders>
              <w:top w:val="nil"/>
              <w:left w:val="dashed" w:sz="8" w:space="0" w:color="365F91"/>
              <w:bottom w:val="dashed" w:sz="8" w:space="0" w:color="365F91"/>
              <w:right w:val="dashed" w:sz="8" w:space="0" w:color="365F91"/>
            </w:tcBorders>
            <w:noWrap/>
            <w:tcMar>
              <w:top w:w="0" w:type="dxa"/>
              <w:left w:w="108" w:type="dxa"/>
              <w:bottom w:w="0" w:type="dxa"/>
              <w:right w:w="108" w:type="dxa"/>
            </w:tcMar>
            <w:vAlign w:val="bottom"/>
            <w:hideMark/>
          </w:tcPr>
          <w:p w:rsidR="00942684" w:rsidRDefault="00942684">
            <w:pPr>
              <w:spacing w:after="0" w:line="240" w:lineRule="auto"/>
              <w:ind w:firstLine="220"/>
              <w:rPr>
                <w:color w:val="000000"/>
              </w:rPr>
            </w:pPr>
            <w:r>
              <w:rPr>
                <w:color w:val="000000"/>
              </w:rPr>
              <w:t>Government</w:t>
            </w:r>
          </w:p>
        </w:tc>
        <w:tc>
          <w:tcPr>
            <w:tcW w:w="2552" w:type="dxa"/>
            <w:tcBorders>
              <w:top w:val="nil"/>
              <w:left w:val="nil"/>
              <w:bottom w:val="dashed" w:sz="8" w:space="0" w:color="365F91"/>
              <w:right w:val="dashed" w:sz="8" w:space="0" w:color="365F91"/>
            </w:tcBorders>
            <w:noWrap/>
            <w:tcMar>
              <w:top w:w="0" w:type="dxa"/>
              <w:left w:w="108" w:type="dxa"/>
              <w:bottom w:w="0" w:type="dxa"/>
              <w:right w:w="108" w:type="dxa"/>
            </w:tcMar>
            <w:vAlign w:val="bottom"/>
            <w:hideMark/>
          </w:tcPr>
          <w:p w:rsidR="00942684" w:rsidRDefault="00942684">
            <w:pPr>
              <w:spacing w:after="0" w:line="240" w:lineRule="auto"/>
              <w:rPr>
                <w:rFonts w:asciiTheme="minorHAnsi" w:eastAsiaTheme="minorEastAsia" w:hAnsiTheme="minorHAnsi" w:cstheme="minorBidi"/>
              </w:rPr>
            </w:pPr>
          </w:p>
        </w:tc>
      </w:tr>
      <w:tr w:rsidR="00942684" w:rsidTr="00942684">
        <w:trPr>
          <w:trHeight w:val="300"/>
        </w:trPr>
        <w:tc>
          <w:tcPr>
            <w:tcW w:w="6821" w:type="dxa"/>
            <w:tcBorders>
              <w:top w:val="nil"/>
              <w:left w:val="dashed" w:sz="8" w:space="0" w:color="365F91"/>
              <w:bottom w:val="dashed" w:sz="8" w:space="0" w:color="365F91"/>
              <w:right w:val="dashed" w:sz="8" w:space="0" w:color="365F91"/>
            </w:tcBorders>
            <w:noWrap/>
            <w:tcMar>
              <w:top w:w="0" w:type="dxa"/>
              <w:left w:w="108" w:type="dxa"/>
              <w:bottom w:w="0" w:type="dxa"/>
              <w:right w:w="108" w:type="dxa"/>
            </w:tcMar>
            <w:vAlign w:val="bottom"/>
            <w:hideMark/>
          </w:tcPr>
          <w:p w:rsidR="00942684" w:rsidRDefault="00942684">
            <w:pPr>
              <w:spacing w:after="0" w:line="240" w:lineRule="auto"/>
              <w:ind w:firstLine="220"/>
              <w:rPr>
                <w:color w:val="000000"/>
              </w:rPr>
            </w:pPr>
            <w:r>
              <w:rPr>
                <w:color w:val="000000"/>
              </w:rPr>
              <w:t xml:space="preserve">NREN </w:t>
            </w:r>
            <w:r>
              <w:rPr>
                <w:color w:val="000000"/>
                <w:lang w:val="mk-MK"/>
              </w:rPr>
              <w:t>(</w:t>
            </w:r>
            <w:r>
              <w:rPr>
                <w:color w:val="000000"/>
              </w:rPr>
              <w:t>N</w:t>
            </w:r>
            <w:proofErr w:type="spellStart"/>
            <w:r>
              <w:rPr>
                <w:color w:val="000000"/>
                <w:lang w:val="mk-MK"/>
              </w:rPr>
              <w:t>ational</w:t>
            </w:r>
            <w:proofErr w:type="spellEnd"/>
            <w:r>
              <w:rPr>
                <w:color w:val="000000"/>
                <w:lang w:val="mk-MK"/>
              </w:rPr>
              <w:t xml:space="preserve"> </w:t>
            </w:r>
            <w:proofErr w:type="spellStart"/>
            <w:r>
              <w:rPr>
                <w:color w:val="000000"/>
                <w:lang w:val="mk-MK"/>
              </w:rPr>
              <w:t>research</w:t>
            </w:r>
            <w:proofErr w:type="spellEnd"/>
            <w:r>
              <w:rPr>
                <w:color w:val="000000"/>
                <w:lang w:val="mk-MK"/>
              </w:rPr>
              <w:t xml:space="preserve"> </w:t>
            </w:r>
            <w:proofErr w:type="spellStart"/>
            <w:r>
              <w:rPr>
                <w:color w:val="000000"/>
                <w:lang w:val="mk-MK"/>
              </w:rPr>
              <w:t>and</w:t>
            </w:r>
            <w:proofErr w:type="spellEnd"/>
            <w:r>
              <w:rPr>
                <w:color w:val="000000"/>
                <w:lang w:val="mk-MK"/>
              </w:rPr>
              <w:t xml:space="preserve"> </w:t>
            </w:r>
            <w:proofErr w:type="spellStart"/>
            <w:r>
              <w:rPr>
                <w:color w:val="000000"/>
                <w:lang w:val="mk-MK"/>
              </w:rPr>
              <w:t>education</w:t>
            </w:r>
            <w:proofErr w:type="spellEnd"/>
            <w:r>
              <w:rPr>
                <w:color w:val="000000"/>
                <w:lang w:val="mk-MK"/>
              </w:rPr>
              <w:t xml:space="preserve"> </w:t>
            </w:r>
            <w:proofErr w:type="spellStart"/>
            <w:r>
              <w:rPr>
                <w:color w:val="000000"/>
                <w:lang w:val="mk-MK"/>
              </w:rPr>
              <w:t>network</w:t>
            </w:r>
            <w:proofErr w:type="spellEnd"/>
            <w:r>
              <w:rPr>
                <w:color w:val="000000"/>
                <w:lang w:val="mk-MK"/>
              </w:rPr>
              <w:t>)</w:t>
            </w:r>
            <w:r>
              <w:rPr>
                <w:color w:val="000000"/>
              </w:rPr>
              <w:t>, National</w:t>
            </w:r>
          </w:p>
        </w:tc>
        <w:tc>
          <w:tcPr>
            <w:tcW w:w="2552" w:type="dxa"/>
            <w:tcBorders>
              <w:top w:val="nil"/>
              <w:left w:val="nil"/>
              <w:bottom w:val="dashed" w:sz="8" w:space="0" w:color="365F91"/>
              <w:right w:val="dashed" w:sz="8" w:space="0" w:color="365F91"/>
            </w:tcBorders>
            <w:noWrap/>
            <w:tcMar>
              <w:top w:w="0" w:type="dxa"/>
              <w:left w:w="108" w:type="dxa"/>
              <w:bottom w:w="0" w:type="dxa"/>
              <w:right w:w="108" w:type="dxa"/>
            </w:tcMar>
            <w:vAlign w:val="bottom"/>
            <w:hideMark/>
          </w:tcPr>
          <w:p w:rsidR="00942684" w:rsidRDefault="00942684">
            <w:pPr>
              <w:spacing w:after="0" w:line="240" w:lineRule="auto"/>
              <w:rPr>
                <w:rFonts w:asciiTheme="minorHAnsi" w:eastAsiaTheme="minorEastAsia" w:hAnsiTheme="minorHAnsi" w:cstheme="minorBidi"/>
              </w:rPr>
            </w:pPr>
          </w:p>
        </w:tc>
      </w:tr>
    </w:tbl>
    <w:p w:rsidR="00942684" w:rsidRDefault="00942684" w:rsidP="00942684">
      <w:pPr>
        <w:spacing w:after="0" w:line="276" w:lineRule="auto"/>
        <w:jc w:val="both"/>
        <w:rPr>
          <w:rFonts w:ascii="Arial" w:hAnsi="Arial" w:cs="Arial"/>
          <w:sz w:val="24"/>
          <w:szCs w:val="24"/>
          <w:lang w:val="mk-MK"/>
        </w:rPr>
      </w:pPr>
    </w:p>
    <w:p w:rsidR="00942684" w:rsidRDefault="00942684" w:rsidP="00942684">
      <w:pPr>
        <w:spacing w:after="0" w:line="276" w:lineRule="auto"/>
        <w:rPr>
          <w:rFonts w:ascii="Arial" w:hAnsi="Arial" w:cs="Arial"/>
          <w:sz w:val="28"/>
          <w:szCs w:val="28"/>
          <w:lang w:val="mk-MK"/>
        </w:rPr>
      </w:pPr>
      <w:r>
        <w:rPr>
          <w:rFonts w:ascii="Tahoma" w:hAnsi="Tahoma" w:cs="Tahoma"/>
          <w:lang w:val="mk-MK"/>
        </w:rPr>
        <w:t>Извор:</w:t>
      </w:r>
      <w:r>
        <w:rPr>
          <w:rFonts w:ascii="Tahoma" w:hAnsi="Tahoma" w:cs="Tahoma"/>
        </w:rPr>
        <w:t xml:space="preserve">ENISA - </w:t>
      </w:r>
      <w:r>
        <w:rPr>
          <w:rFonts w:ascii="Tahoma" w:hAnsi="Tahoma" w:cs="Tahoma"/>
          <w:spacing w:val="-2"/>
        </w:rPr>
        <w:t>CSIRTs by Country - Interactive Map,</w:t>
      </w:r>
      <w:r>
        <w:rPr>
          <w:rFonts w:ascii="Arial" w:hAnsi="Arial" w:cs="Arial"/>
          <w:sz w:val="28"/>
          <w:szCs w:val="28"/>
        </w:rPr>
        <w:t xml:space="preserve"> </w:t>
      </w:r>
      <w:hyperlink r:id="rId4" w:history="1">
        <w:r>
          <w:rPr>
            <w:rStyle w:val="Hyperlink"/>
            <w:sz w:val="24"/>
            <w:szCs w:val="24"/>
          </w:rPr>
          <w:t>https://www.enisa.europa.eu/topics/csirts-in-europe/csirt-inventory/certs-by-country-interactive-map</w:t>
        </w:r>
      </w:hyperlink>
    </w:p>
    <w:p w:rsidR="00942684" w:rsidRDefault="00942684" w:rsidP="00942684">
      <w:pPr>
        <w:spacing w:after="0" w:line="276" w:lineRule="auto"/>
        <w:jc w:val="both"/>
        <w:rPr>
          <w:rFonts w:ascii="Arial" w:hAnsi="Arial" w:cs="Arial"/>
          <w:sz w:val="24"/>
          <w:szCs w:val="24"/>
        </w:rPr>
      </w:pPr>
    </w:p>
    <w:p w:rsidR="00942684" w:rsidRDefault="00942684" w:rsidP="00942684">
      <w:pPr>
        <w:spacing w:after="0" w:line="276" w:lineRule="auto"/>
        <w:jc w:val="both"/>
        <w:rPr>
          <w:rFonts w:ascii="Tahoma" w:hAnsi="Tahoma" w:cs="Tahoma"/>
          <w:lang w:val="mk-MK"/>
        </w:rPr>
      </w:pPr>
      <w:r>
        <w:rPr>
          <w:rFonts w:ascii="Tahoma" w:hAnsi="Tahoma" w:cs="Tahoma"/>
          <w:lang w:val="mk-MK"/>
        </w:rPr>
        <w:t xml:space="preserve">Согласно погоре наведеното, предлагаме државата да обезбеди адекватни ресурси со цел ефикасно извршување на задачите од страна на </w:t>
      </w:r>
      <w:proofErr w:type="spellStart"/>
      <w:r>
        <w:rPr>
          <w:rFonts w:ascii="Tahoma" w:hAnsi="Tahoma" w:cs="Tahoma"/>
          <w:lang w:val="mk-MK"/>
        </w:rPr>
        <w:t>CSIRT-овите</w:t>
      </w:r>
      <w:proofErr w:type="spellEnd"/>
      <w:r>
        <w:rPr>
          <w:rFonts w:ascii="Tahoma" w:hAnsi="Tahoma" w:cs="Tahoma"/>
          <w:lang w:val="mk-MK"/>
        </w:rPr>
        <w:t xml:space="preserve">, пристап на </w:t>
      </w:r>
      <w:proofErr w:type="spellStart"/>
      <w:r>
        <w:rPr>
          <w:rFonts w:ascii="Tahoma" w:hAnsi="Tahoma" w:cs="Tahoma"/>
          <w:lang w:val="mk-MK"/>
        </w:rPr>
        <w:t>CSIRT-овите</w:t>
      </w:r>
      <w:proofErr w:type="spellEnd"/>
      <w:r>
        <w:rPr>
          <w:rFonts w:ascii="Tahoma" w:hAnsi="Tahoma" w:cs="Tahoma"/>
          <w:lang w:val="mk-MK"/>
        </w:rPr>
        <w:t xml:space="preserve"> до флексибилна комуникациска и информациска инфраструктура на национално ниво и ресурси кои ќе бидат неопходни за задоволување на барањата што се дефинирани во точката 1 од Анексот 1 на ЕУ директивата.</w:t>
      </w:r>
    </w:p>
    <w:p w:rsidR="00942684" w:rsidRDefault="00942684" w:rsidP="00942684">
      <w:pPr>
        <w:spacing w:after="0" w:line="276" w:lineRule="auto"/>
        <w:jc w:val="both"/>
        <w:rPr>
          <w:rFonts w:ascii="Tahoma" w:hAnsi="Tahoma" w:cs="Tahoma"/>
          <w:lang w:val="mk-MK"/>
        </w:rPr>
      </w:pPr>
    </w:p>
    <w:p w:rsidR="00942684" w:rsidRDefault="00942684" w:rsidP="00942684">
      <w:pPr>
        <w:spacing w:after="0" w:line="276" w:lineRule="auto"/>
        <w:jc w:val="both"/>
        <w:rPr>
          <w:rFonts w:ascii="Tahoma" w:hAnsi="Tahoma" w:cs="Tahoma"/>
          <w:lang w:val="mk-MK"/>
        </w:rPr>
      </w:pPr>
      <w:r>
        <w:rPr>
          <w:rFonts w:ascii="Tahoma" w:hAnsi="Tahoma" w:cs="Tahoma"/>
          <w:lang w:val="mk-MK"/>
        </w:rPr>
        <w:lastRenderedPageBreak/>
        <w:t xml:space="preserve">4. Во однос на идентификувањето на операторите на суштински услуги, предлагаме тие да се идентификуваат однапред од страна на Владата на Република Северна Македонија, а не како што е одредено во нацрт Законот од страна на </w:t>
      </w:r>
      <w:r>
        <w:rPr>
          <w:rFonts w:ascii="Tahoma" w:hAnsi="Tahoma" w:cs="Tahoma"/>
        </w:rPr>
        <w:t>CSIRT</w:t>
      </w:r>
      <w:r>
        <w:rPr>
          <w:rFonts w:ascii="Tahoma" w:hAnsi="Tahoma" w:cs="Tahoma"/>
          <w:lang w:val="mk-MK"/>
        </w:rPr>
        <w:t>-</w:t>
      </w:r>
      <w:proofErr w:type="spellStart"/>
      <w:r>
        <w:rPr>
          <w:rFonts w:ascii="Tahoma" w:hAnsi="Tahoma" w:cs="Tahoma"/>
          <w:lang w:val="mk-MK"/>
        </w:rPr>
        <w:t>овите</w:t>
      </w:r>
      <w:proofErr w:type="spellEnd"/>
      <w:r>
        <w:rPr>
          <w:rFonts w:ascii="Tahoma" w:hAnsi="Tahoma" w:cs="Tahoma"/>
          <w:lang w:val="mk-MK"/>
        </w:rPr>
        <w:t xml:space="preserve"> од причина што државата треба да определи кои се тие критични општествени или економски активности во државата кои зависат од оператори кои даваат одреден вид на услуга што зависи од мрежни и </w:t>
      </w:r>
      <w:proofErr w:type="spellStart"/>
      <w:r>
        <w:rPr>
          <w:rFonts w:ascii="Tahoma" w:hAnsi="Tahoma" w:cs="Tahoma"/>
          <w:lang w:val="mk-MK"/>
        </w:rPr>
        <w:t>информациски</w:t>
      </w:r>
      <w:proofErr w:type="spellEnd"/>
      <w:r>
        <w:rPr>
          <w:rFonts w:ascii="Tahoma" w:hAnsi="Tahoma" w:cs="Tahoma"/>
          <w:lang w:val="mk-MK"/>
        </w:rPr>
        <w:t xml:space="preserve"> системи и доколку настане инцидент</w:t>
      </w:r>
      <w:r w:rsidR="00451C0B">
        <w:rPr>
          <w:rFonts w:ascii="Tahoma" w:hAnsi="Tahoma" w:cs="Tahoma"/>
          <w:lang w:val="mk-MK"/>
        </w:rPr>
        <w:t>,</w:t>
      </w:r>
      <w:r>
        <w:rPr>
          <w:rFonts w:ascii="Tahoma" w:hAnsi="Tahoma" w:cs="Tahoma"/>
          <w:lang w:val="mk-MK"/>
        </w:rPr>
        <w:t xml:space="preserve"> тој може да предизвика значителни подривачки ефекти врз обезбедувањето на услугата од страна на операторот. Поткрепа на овој наш предлог наоѓаме и во членот 5 од ЕУ Директивата, каде е пропишано дека земјите членки треба да извршат идентификување на операторите на суштински услуги, дека Групата за соработка на ЕУ ќе ги поддржува </w:t>
      </w:r>
      <w:proofErr w:type="spellStart"/>
      <w:r>
        <w:rPr>
          <w:rFonts w:ascii="Tahoma" w:hAnsi="Tahoma" w:cs="Tahoma"/>
          <w:lang w:val="mk-MK"/>
        </w:rPr>
        <w:t>земјите-членки</w:t>
      </w:r>
      <w:proofErr w:type="spellEnd"/>
      <w:r>
        <w:rPr>
          <w:rFonts w:ascii="Tahoma" w:hAnsi="Tahoma" w:cs="Tahoma"/>
          <w:lang w:val="mk-MK"/>
        </w:rPr>
        <w:t xml:space="preserve"> во процесот на идентификација на операторите на суштинските  услуги, дека </w:t>
      </w:r>
      <w:proofErr w:type="spellStart"/>
      <w:r>
        <w:rPr>
          <w:rFonts w:ascii="Tahoma" w:hAnsi="Tahoma" w:cs="Tahoma"/>
          <w:lang w:val="mk-MK"/>
        </w:rPr>
        <w:t>земјите-членки</w:t>
      </w:r>
      <w:proofErr w:type="spellEnd"/>
      <w:r>
        <w:rPr>
          <w:rFonts w:ascii="Tahoma" w:hAnsi="Tahoma" w:cs="Tahoma"/>
          <w:lang w:val="mk-MK"/>
        </w:rPr>
        <w:t xml:space="preserve"> треба да доставуваат извештаи до Комисијата со потребните информации за да и се овозможи на Комисијата да го процени спроведувањето на директивата, а особено конзистентноста на пристапите на </w:t>
      </w:r>
      <w:proofErr w:type="spellStart"/>
      <w:r>
        <w:rPr>
          <w:rFonts w:ascii="Tahoma" w:hAnsi="Tahoma" w:cs="Tahoma"/>
          <w:lang w:val="mk-MK"/>
        </w:rPr>
        <w:t>земјите-членки</w:t>
      </w:r>
      <w:proofErr w:type="spellEnd"/>
      <w:r>
        <w:rPr>
          <w:rFonts w:ascii="Tahoma" w:hAnsi="Tahoma" w:cs="Tahoma"/>
          <w:lang w:val="mk-MK"/>
        </w:rPr>
        <w:t xml:space="preserve"> во процесот на идентификација на операторите на суштинските услуги и дека заради идентификување на операторите на суштинските услуги, секоја земја членка треба да воспостави листа на услуги коишто се од суштинско значење за одржување на критични општествени и / или економски активности.</w:t>
      </w:r>
    </w:p>
    <w:p w:rsidR="00942684" w:rsidRDefault="00942684" w:rsidP="00942684">
      <w:pPr>
        <w:pStyle w:val="CommentText"/>
        <w:spacing w:after="0"/>
        <w:rPr>
          <w:rFonts w:ascii="Tahoma" w:hAnsi="Tahoma" w:cs="Tahoma"/>
          <w:sz w:val="22"/>
          <w:szCs w:val="22"/>
          <w:lang w:val="mk-MK"/>
        </w:rPr>
      </w:pPr>
    </w:p>
    <w:p w:rsidR="00942684" w:rsidRDefault="00942684" w:rsidP="00942684">
      <w:pPr>
        <w:spacing w:after="0" w:line="276" w:lineRule="auto"/>
        <w:jc w:val="both"/>
        <w:rPr>
          <w:rFonts w:ascii="Tahoma" w:hAnsi="Tahoma" w:cs="Tahoma"/>
          <w:lang w:val="mk-MK"/>
        </w:rPr>
      </w:pPr>
      <w:r>
        <w:rPr>
          <w:rFonts w:ascii="Tahoma" w:hAnsi="Tahoma" w:cs="Tahoma"/>
          <w:lang w:val="mk-MK"/>
        </w:rPr>
        <w:t xml:space="preserve">5. Во Нацрт Законот за безбедност на мрежи и </w:t>
      </w:r>
      <w:proofErr w:type="spellStart"/>
      <w:r>
        <w:rPr>
          <w:rFonts w:ascii="Tahoma" w:hAnsi="Tahoma" w:cs="Tahoma"/>
          <w:lang w:val="mk-MK"/>
        </w:rPr>
        <w:t>информациски</w:t>
      </w:r>
      <w:proofErr w:type="spellEnd"/>
      <w:r>
        <w:rPr>
          <w:rFonts w:ascii="Tahoma" w:hAnsi="Tahoma" w:cs="Tahoma"/>
          <w:lang w:val="mk-MK"/>
        </w:rPr>
        <w:t xml:space="preserve"> системи недостасуваат преодни и завршни одредби, во кои ќе се пропишат рокови за донесување на </w:t>
      </w:r>
      <w:proofErr w:type="spellStart"/>
      <w:r>
        <w:rPr>
          <w:rFonts w:ascii="Tahoma" w:hAnsi="Tahoma" w:cs="Tahoma"/>
          <w:lang w:val="mk-MK"/>
        </w:rPr>
        <w:t>подзаконските</w:t>
      </w:r>
      <w:proofErr w:type="spellEnd"/>
      <w:r>
        <w:rPr>
          <w:rFonts w:ascii="Tahoma" w:hAnsi="Tahoma" w:cs="Tahoma"/>
          <w:lang w:val="mk-MK"/>
        </w:rPr>
        <w:t xml:space="preserve"> акти, за усогласување со законот и за негова примена. </w:t>
      </w:r>
    </w:p>
    <w:p w:rsidR="00942684" w:rsidRPr="00942684" w:rsidRDefault="00942684">
      <w:pPr>
        <w:rPr>
          <w:lang w:val="mk-MK"/>
        </w:rPr>
      </w:pPr>
    </w:p>
    <w:sectPr w:rsidR="00942684" w:rsidRPr="00942684" w:rsidSect="00CB46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942684"/>
    <w:rsid w:val="00000170"/>
    <w:rsid w:val="000003FD"/>
    <w:rsid w:val="00000FED"/>
    <w:rsid w:val="0000336B"/>
    <w:rsid w:val="000168DE"/>
    <w:rsid w:val="00016CB1"/>
    <w:rsid w:val="00025A84"/>
    <w:rsid w:val="000306A7"/>
    <w:rsid w:val="00035BAB"/>
    <w:rsid w:val="00041656"/>
    <w:rsid w:val="000563DF"/>
    <w:rsid w:val="00064A03"/>
    <w:rsid w:val="00064F43"/>
    <w:rsid w:val="00067B09"/>
    <w:rsid w:val="000712BA"/>
    <w:rsid w:val="000910F6"/>
    <w:rsid w:val="00093891"/>
    <w:rsid w:val="000B1A20"/>
    <w:rsid w:val="000B747E"/>
    <w:rsid w:val="000C50B6"/>
    <w:rsid w:val="000D2502"/>
    <w:rsid w:val="000E712F"/>
    <w:rsid w:val="0013307D"/>
    <w:rsid w:val="00137080"/>
    <w:rsid w:val="0015232A"/>
    <w:rsid w:val="001544C2"/>
    <w:rsid w:val="0016162F"/>
    <w:rsid w:val="00165453"/>
    <w:rsid w:val="00170389"/>
    <w:rsid w:val="00177C53"/>
    <w:rsid w:val="001862B3"/>
    <w:rsid w:val="00186D14"/>
    <w:rsid w:val="00192023"/>
    <w:rsid w:val="00193CC8"/>
    <w:rsid w:val="001A67C8"/>
    <w:rsid w:val="001A6E36"/>
    <w:rsid w:val="001B474C"/>
    <w:rsid w:val="001B619B"/>
    <w:rsid w:val="001B714F"/>
    <w:rsid w:val="001D0B2D"/>
    <w:rsid w:val="001D73B4"/>
    <w:rsid w:val="001E35C1"/>
    <w:rsid w:val="001E3C0E"/>
    <w:rsid w:val="002043FA"/>
    <w:rsid w:val="00204E50"/>
    <w:rsid w:val="00210E89"/>
    <w:rsid w:val="002151BB"/>
    <w:rsid w:val="00245A30"/>
    <w:rsid w:val="002669ED"/>
    <w:rsid w:val="0027394F"/>
    <w:rsid w:val="002763C6"/>
    <w:rsid w:val="00277B57"/>
    <w:rsid w:val="002804ED"/>
    <w:rsid w:val="002832D9"/>
    <w:rsid w:val="002A07E2"/>
    <w:rsid w:val="002A69DF"/>
    <w:rsid w:val="002B1F5F"/>
    <w:rsid w:val="002B30C3"/>
    <w:rsid w:val="002C4032"/>
    <w:rsid w:val="002D3A10"/>
    <w:rsid w:val="002E0126"/>
    <w:rsid w:val="002E5D65"/>
    <w:rsid w:val="00310BCB"/>
    <w:rsid w:val="0031602E"/>
    <w:rsid w:val="003173A8"/>
    <w:rsid w:val="00317834"/>
    <w:rsid w:val="00325E1A"/>
    <w:rsid w:val="00332540"/>
    <w:rsid w:val="00370F03"/>
    <w:rsid w:val="00373AC2"/>
    <w:rsid w:val="003776E9"/>
    <w:rsid w:val="00383009"/>
    <w:rsid w:val="0038480B"/>
    <w:rsid w:val="003851A3"/>
    <w:rsid w:val="003A1AF1"/>
    <w:rsid w:val="003A4985"/>
    <w:rsid w:val="003A6D68"/>
    <w:rsid w:val="003B167D"/>
    <w:rsid w:val="003B3894"/>
    <w:rsid w:val="003B3C4C"/>
    <w:rsid w:val="003B5B2C"/>
    <w:rsid w:val="003C2733"/>
    <w:rsid w:val="003C4959"/>
    <w:rsid w:val="003E43D2"/>
    <w:rsid w:val="003F11BF"/>
    <w:rsid w:val="003F336A"/>
    <w:rsid w:val="003F61DF"/>
    <w:rsid w:val="00401BCE"/>
    <w:rsid w:val="00424DE0"/>
    <w:rsid w:val="004333A6"/>
    <w:rsid w:val="00435609"/>
    <w:rsid w:val="00451C0B"/>
    <w:rsid w:val="0046752E"/>
    <w:rsid w:val="004701C4"/>
    <w:rsid w:val="00480782"/>
    <w:rsid w:val="00485435"/>
    <w:rsid w:val="00490220"/>
    <w:rsid w:val="0049348A"/>
    <w:rsid w:val="004B4638"/>
    <w:rsid w:val="004C08A6"/>
    <w:rsid w:val="004D519E"/>
    <w:rsid w:val="004E0059"/>
    <w:rsid w:val="004F2F70"/>
    <w:rsid w:val="004F6069"/>
    <w:rsid w:val="00524A34"/>
    <w:rsid w:val="00527421"/>
    <w:rsid w:val="00540EE2"/>
    <w:rsid w:val="00541C19"/>
    <w:rsid w:val="00543E8B"/>
    <w:rsid w:val="00544935"/>
    <w:rsid w:val="0055474A"/>
    <w:rsid w:val="00562A0E"/>
    <w:rsid w:val="00571854"/>
    <w:rsid w:val="00576A1A"/>
    <w:rsid w:val="005819B2"/>
    <w:rsid w:val="00593843"/>
    <w:rsid w:val="005C6042"/>
    <w:rsid w:val="005E2199"/>
    <w:rsid w:val="005F2E77"/>
    <w:rsid w:val="005F5F7C"/>
    <w:rsid w:val="005F74B3"/>
    <w:rsid w:val="006071B8"/>
    <w:rsid w:val="0061012B"/>
    <w:rsid w:val="00622659"/>
    <w:rsid w:val="00623793"/>
    <w:rsid w:val="00625704"/>
    <w:rsid w:val="006376E9"/>
    <w:rsid w:val="00644A8C"/>
    <w:rsid w:val="00650603"/>
    <w:rsid w:val="00650E6D"/>
    <w:rsid w:val="00676253"/>
    <w:rsid w:val="006800BC"/>
    <w:rsid w:val="0069027D"/>
    <w:rsid w:val="006958AA"/>
    <w:rsid w:val="006B1CC7"/>
    <w:rsid w:val="006C4D0C"/>
    <w:rsid w:val="006D43A8"/>
    <w:rsid w:val="006E7C1B"/>
    <w:rsid w:val="006F5477"/>
    <w:rsid w:val="006F562E"/>
    <w:rsid w:val="006F57F2"/>
    <w:rsid w:val="00703649"/>
    <w:rsid w:val="00704C2C"/>
    <w:rsid w:val="00706C7A"/>
    <w:rsid w:val="00707EA3"/>
    <w:rsid w:val="0071647F"/>
    <w:rsid w:val="00717C45"/>
    <w:rsid w:val="0072164C"/>
    <w:rsid w:val="00724294"/>
    <w:rsid w:val="0072613D"/>
    <w:rsid w:val="007527A4"/>
    <w:rsid w:val="007604B5"/>
    <w:rsid w:val="00760632"/>
    <w:rsid w:val="0076150D"/>
    <w:rsid w:val="007626C7"/>
    <w:rsid w:val="007726E1"/>
    <w:rsid w:val="0077714B"/>
    <w:rsid w:val="00785398"/>
    <w:rsid w:val="007A3FF5"/>
    <w:rsid w:val="007A4FAC"/>
    <w:rsid w:val="007A5AB3"/>
    <w:rsid w:val="007A6E72"/>
    <w:rsid w:val="007B1D15"/>
    <w:rsid w:val="007D597F"/>
    <w:rsid w:val="007D6C5F"/>
    <w:rsid w:val="007E4B19"/>
    <w:rsid w:val="007F0BD2"/>
    <w:rsid w:val="007F118F"/>
    <w:rsid w:val="007F5996"/>
    <w:rsid w:val="00805473"/>
    <w:rsid w:val="00815781"/>
    <w:rsid w:val="008224E0"/>
    <w:rsid w:val="008227E6"/>
    <w:rsid w:val="00836CD2"/>
    <w:rsid w:val="0084044F"/>
    <w:rsid w:val="0087293A"/>
    <w:rsid w:val="0087445B"/>
    <w:rsid w:val="00882878"/>
    <w:rsid w:val="008932B4"/>
    <w:rsid w:val="00896193"/>
    <w:rsid w:val="008A6FFC"/>
    <w:rsid w:val="008B730D"/>
    <w:rsid w:val="008C06FA"/>
    <w:rsid w:val="008C36AA"/>
    <w:rsid w:val="008C42E2"/>
    <w:rsid w:val="008D0A89"/>
    <w:rsid w:val="008D17E3"/>
    <w:rsid w:val="008E23BA"/>
    <w:rsid w:val="008E4991"/>
    <w:rsid w:val="008F0761"/>
    <w:rsid w:val="00903DC7"/>
    <w:rsid w:val="00942684"/>
    <w:rsid w:val="00946A21"/>
    <w:rsid w:val="009633CC"/>
    <w:rsid w:val="0097094E"/>
    <w:rsid w:val="00983184"/>
    <w:rsid w:val="00996F69"/>
    <w:rsid w:val="009A43EB"/>
    <w:rsid w:val="009B628E"/>
    <w:rsid w:val="009C17BD"/>
    <w:rsid w:val="009C78F6"/>
    <w:rsid w:val="009D3700"/>
    <w:rsid w:val="009D4FB8"/>
    <w:rsid w:val="009F4E96"/>
    <w:rsid w:val="00A054C6"/>
    <w:rsid w:val="00A17C3F"/>
    <w:rsid w:val="00A26F8E"/>
    <w:rsid w:val="00A3188A"/>
    <w:rsid w:val="00A427EB"/>
    <w:rsid w:val="00A43365"/>
    <w:rsid w:val="00A534AD"/>
    <w:rsid w:val="00A53D7B"/>
    <w:rsid w:val="00A62DEB"/>
    <w:rsid w:val="00A65546"/>
    <w:rsid w:val="00A708E8"/>
    <w:rsid w:val="00A71944"/>
    <w:rsid w:val="00A96440"/>
    <w:rsid w:val="00AA0244"/>
    <w:rsid w:val="00AC0AA7"/>
    <w:rsid w:val="00AC0D5C"/>
    <w:rsid w:val="00AC5CA0"/>
    <w:rsid w:val="00AD7E00"/>
    <w:rsid w:val="00AE145D"/>
    <w:rsid w:val="00AE3859"/>
    <w:rsid w:val="00AE5924"/>
    <w:rsid w:val="00B02F72"/>
    <w:rsid w:val="00B04C2D"/>
    <w:rsid w:val="00B175B7"/>
    <w:rsid w:val="00B2225A"/>
    <w:rsid w:val="00B24F0F"/>
    <w:rsid w:val="00B25922"/>
    <w:rsid w:val="00B33F9B"/>
    <w:rsid w:val="00B34393"/>
    <w:rsid w:val="00B415EE"/>
    <w:rsid w:val="00B61F22"/>
    <w:rsid w:val="00B816AB"/>
    <w:rsid w:val="00BA07E5"/>
    <w:rsid w:val="00BB6CB5"/>
    <w:rsid w:val="00BE00CE"/>
    <w:rsid w:val="00BF4737"/>
    <w:rsid w:val="00C02DDF"/>
    <w:rsid w:val="00C12B61"/>
    <w:rsid w:val="00C3006F"/>
    <w:rsid w:val="00C32421"/>
    <w:rsid w:val="00C47774"/>
    <w:rsid w:val="00C47B6B"/>
    <w:rsid w:val="00C5579F"/>
    <w:rsid w:val="00C61D81"/>
    <w:rsid w:val="00C66F0C"/>
    <w:rsid w:val="00C6714F"/>
    <w:rsid w:val="00C70616"/>
    <w:rsid w:val="00C73E74"/>
    <w:rsid w:val="00C86053"/>
    <w:rsid w:val="00C914B6"/>
    <w:rsid w:val="00C9340A"/>
    <w:rsid w:val="00C9532E"/>
    <w:rsid w:val="00C953AB"/>
    <w:rsid w:val="00CA04CA"/>
    <w:rsid w:val="00CA274D"/>
    <w:rsid w:val="00CB0BA9"/>
    <w:rsid w:val="00CB188F"/>
    <w:rsid w:val="00CB466A"/>
    <w:rsid w:val="00CC2A3D"/>
    <w:rsid w:val="00CD0663"/>
    <w:rsid w:val="00CD14DE"/>
    <w:rsid w:val="00CE1831"/>
    <w:rsid w:val="00CF6855"/>
    <w:rsid w:val="00D00A8B"/>
    <w:rsid w:val="00D120F3"/>
    <w:rsid w:val="00D57C79"/>
    <w:rsid w:val="00D67A22"/>
    <w:rsid w:val="00D7039C"/>
    <w:rsid w:val="00D73AB9"/>
    <w:rsid w:val="00D800C8"/>
    <w:rsid w:val="00D864A2"/>
    <w:rsid w:val="00D92BAB"/>
    <w:rsid w:val="00D94083"/>
    <w:rsid w:val="00DC057D"/>
    <w:rsid w:val="00DC0641"/>
    <w:rsid w:val="00DC5D2C"/>
    <w:rsid w:val="00DC7EDE"/>
    <w:rsid w:val="00DD2540"/>
    <w:rsid w:val="00DE1874"/>
    <w:rsid w:val="00DE3B87"/>
    <w:rsid w:val="00E00ABC"/>
    <w:rsid w:val="00E01642"/>
    <w:rsid w:val="00E02A85"/>
    <w:rsid w:val="00E07DE2"/>
    <w:rsid w:val="00E14DA1"/>
    <w:rsid w:val="00E21F79"/>
    <w:rsid w:val="00E353AC"/>
    <w:rsid w:val="00E45343"/>
    <w:rsid w:val="00E50922"/>
    <w:rsid w:val="00E5418E"/>
    <w:rsid w:val="00E63E92"/>
    <w:rsid w:val="00E67ED9"/>
    <w:rsid w:val="00E72048"/>
    <w:rsid w:val="00E724DE"/>
    <w:rsid w:val="00E7277D"/>
    <w:rsid w:val="00E74B4C"/>
    <w:rsid w:val="00E74BE5"/>
    <w:rsid w:val="00E75D99"/>
    <w:rsid w:val="00E931AE"/>
    <w:rsid w:val="00EB4796"/>
    <w:rsid w:val="00EC0194"/>
    <w:rsid w:val="00EC19D8"/>
    <w:rsid w:val="00EC6868"/>
    <w:rsid w:val="00ED2943"/>
    <w:rsid w:val="00F01B20"/>
    <w:rsid w:val="00F11328"/>
    <w:rsid w:val="00F12737"/>
    <w:rsid w:val="00F16A37"/>
    <w:rsid w:val="00F25864"/>
    <w:rsid w:val="00F26B85"/>
    <w:rsid w:val="00F26CDC"/>
    <w:rsid w:val="00F3440C"/>
    <w:rsid w:val="00F37ABF"/>
    <w:rsid w:val="00F40FF9"/>
    <w:rsid w:val="00F43CE4"/>
    <w:rsid w:val="00F7294C"/>
    <w:rsid w:val="00F75DF2"/>
    <w:rsid w:val="00F850BC"/>
    <w:rsid w:val="00F87930"/>
    <w:rsid w:val="00F902C2"/>
    <w:rsid w:val="00F96203"/>
    <w:rsid w:val="00FA7CFA"/>
    <w:rsid w:val="00FB54B1"/>
    <w:rsid w:val="00FC1725"/>
    <w:rsid w:val="00FD0E9C"/>
    <w:rsid w:val="00FD4C2A"/>
    <w:rsid w:val="00FD63B8"/>
    <w:rsid w:val="00FE1C37"/>
    <w:rsid w:val="00FF3D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684"/>
    <w:pPr>
      <w:spacing w:after="160" w:line="252" w:lineRule="auto"/>
    </w:pPr>
    <w:rPr>
      <w:rFonts w:ascii="Calibri" w:hAnsi="Calibri" w:cs="Times New Roman"/>
      <w:lang w:val="en-US"/>
    </w:rPr>
  </w:style>
  <w:style w:type="paragraph" w:styleId="Heading1">
    <w:name w:val="heading 1"/>
    <w:basedOn w:val="Normal"/>
    <w:next w:val="Normal"/>
    <w:link w:val="Heading1Char"/>
    <w:uiPriority w:val="9"/>
    <w:qFormat/>
    <w:rsid w:val="00F40FF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0FF9"/>
    <w:pPr>
      <w:keepNext/>
      <w:spacing w:before="240" w:after="60" w:line="240" w:lineRule="auto"/>
      <w:outlineLvl w:val="1"/>
    </w:pPr>
    <w:rPr>
      <w:rFonts w:ascii="Arial" w:eastAsia="Times New Roman" w:hAnsi="Arial"/>
      <w:b/>
      <w:bCs/>
      <w:i/>
      <w:iCs/>
      <w:sz w:val="28"/>
      <w:szCs w:val="28"/>
      <w:lang w:val="en-GB"/>
    </w:rPr>
  </w:style>
  <w:style w:type="paragraph" w:styleId="Heading5">
    <w:name w:val="heading 5"/>
    <w:basedOn w:val="Normal"/>
    <w:next w:val="Normal"/>
    <w:link w:val="Heading5Char"/>
    <w:uiPriority w:val="9"/>
    <w:semiHidden/>
    <w:unhideWhenUsed/>
    <w:qFormat/>
    <w:rsid w:val="00F40FF9"/>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FF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F40FF9"/>
    <w:rPr>
      <w:rFonts w:ascii="Arial" w:eastAsia="Times New Roman" w:hAnsi="Arial" w:cs="Times New Roman"/>
      <w:b/>
      <w:bCs/>
      <w:i/>
      <w:iCs/>
      <w:sz w:val="28"/>
      <w:szCs w:val="28"/>
      <w:lang w:val="en-GB"/>
    </w:rPr>
  </w:style>
  <w:style w:type="character" w:customStyle="1" w:styleId="Heading5Char">
    <w:name w:val="Heading 5 Char"/>
    <w:basedOn w:val="DefaultParagraphFont"/>
    <w:link w:val="Heading5"/>
    <w:uiPriority w:val="9"/>
    <w:semiHidden/>
    <w:rsid w:val="00F40FF9"/>
    <w:rPr>
      <w:rFonts w:asciiTheme="majorHAnsi" w:eastAsiaTheme="majorEastAsia" w:hAnsiTheme="majorHAnsi" w:cstheme="majorBidi"/>
      <w:color w:val="243F60" w:themeColor="accent1" w:themeShade="7F"/>
      <w:sz w:val="20"/>
      <w:szCs w:val="20"/>
      <w:lang w:val="en-US"/>
    </w:rPr>
  </w:style>
  <w:style w:type="paragraph" w:styleId="Title">
    <w:name w:val="Title"/>
    <w:basedOn w:val="Normal"/>
    <w:next w:val="Normal"/>
    <w:link w:val="TitleChar"/>
    <w:uiPriority w:val="10"/>
    <w:qFormat/>
    <w:rsid w:val="00F40F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0FF9"/>
    <w:rPr>
      <w:rFonts w:asciiTheme="majorHAnsi" w:eastAsiaTheme="majorEastAsia" w:hAnsiTheme="majorHAnsi" w:cstheme="majorBidi"/>
      <w:color w:val="17365D" w:themeColor="text2" w:themeShade="BF"/>
      <w:spacing w:val="5"/>
      <w:kern w:val="28"/>
      <w:sz w:val="52"/>
      <w:szCs w:val="52"/>
      <w:lang w:val="en-US"/>
    </w:rPr>
  </w:style>
  <w:style w:type="paragraph" w:styleId="NoSpacing">
    <w:name w:val="No Spacing"/>
    <w:link w:val="NoSpacingChar"/>
    <w:uiPriority w:val="1"/>
    <w:qFormat/>
    <w:rsid w:val="00F40FF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40FF9"/>
    <w:rPr>
      <w:rFonts w:eastAsiaTheme="minorEastAsia"/>
      <w:lang w:val="en-US"/>
    </w:rPr>
  </w:style>
  <w:style w:type="paragraph" w:styleId="ListParagraph">
    <w:name w:val="List Paragraph"/>
    <w:basedOn w:val="Normal"/>
    <w:uiPriority w:val="34"/>
    <w:qFormat/>
    <w:rsid w:val="00F40FF9"/>
    <w:pPr>
      <w:spacing w:after="200" w:line="276" w:lineRule="auto"/>
      <w:ind w:left="720"/>
      <w:contextualSpacing/>
    </w:pPr>
    <w:rPr>
      <w:rFonts w:eastAsia="Calibri"/>
      <w:lang w:val="mk-MK"/>
    </w:rPr>
  </w:style>
  <w:style w:type="character" w:styleId="Hyperlink">
    <w:name w:val="Hyperlink"/>
    <w:basedOn w:val="DefaultParagraphFont"/>
    <w:uiPriority w:val="99"/>
    <w:semiHidden/>
    <w:unhideWhenUsed/>
    <w:rsid w:val="00942684"/>
    <w:rPr>
      <w:color w:val="0000FF"/>
      <w:u w:val="single"/>
    </w:rPr>
  </w:style>
  <w:style w:type="paragraph" w:styleId="CommentText">
    <w:name w:val="annotation text"/>
    <w:basedOn w:val="Normal"/>
    <w:link w:val="CommentTextChar"/>
    <w:uiPriority w:val="99"/>
    <w:semiHidden/>
    <w:unhideWhenUsed/>
    <w:rsid w:val="00942684"/>
    <w:pPr>
      <w:spacing w:line="240" w:lineRule="auto"/>
    </w:pPr>
    <w:rPr>
      <w:sz w:val="20"/>
      <w:szCs w:val="20"/>
    </w:rPr>
  </w:style>
  <w:style w:type="character" w:customStyle="1" w:styleId="CommentTextChar">
    <w:name w:val="Comment Text Char"/>
    <w:basedOn w:val="DefaultParagraphFont"/>
    <w:link w:val="CommentText"/>
    <w:uiPriority w:val="99"/>
    <w:semiHidden/>
    <w:rsid w:val="00942684"/>
    <w:rPr>
      <w:rFonts w:ascii="Calibri" w:hAnsi="Calibri"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5014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nisa.europa.eu/topics/csirts-in-europe/csirt-inventory/certs-by-country-interactive-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Lihnida Sajkova Dzukleska</dc:creator>
  <cp:lastModifiedBy>Lihnida Sajkova Dzukleska</cp:lastModifiedBy>
  <cp:revision>3</cp:revision>
  <dcterms:created xsi:type="dcterms:W3CDTF">2019-10-29T10:06:00Z</dcterms:created>
  <dcterms:modified xsi:type="dcterms:W3CDTF">2019-10-29T10:35:00Z</dcterms:modified>
</cp:coreProperties>
</file>