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D6" w:rsidRPr="00123C82" w:rsidRDefault="00384ED6" w:rsidP="00384ED6">
      <w:pPr>
        <w:spacing w:after="120" w:line="276" w:lineRule="auto"/>
        <w:jc w:val="center"/>
        <w:rPr>
          <w:color w:val="FF0000"/>
          <w:lang w:val="ru-RU"/>
        </w:rPr>
      </w:pPr>
      <w:r w:rsidRPr="00123C82">
        <w:rPr>
          <w:color w:val="FF0000"/>
          <w:lang w:val="ru-RU"/>
        </w:rPr>
        <w:t>7. Даночни стапки</w:t>
      </w:r>
      <w:r w:rsidRPr="00123C82">
        <w:rPr>
          <w:color w:val="FF0000"/>
          <w:lang w:val="ru-RU"/>
        </w:rPr>
        <w:tab/>
      </w:r>
    </w:p>
    <w:p w:rsidR="00384ED6" w:rsidRPr="00123C82" w:rsidRDefault="00384ED6" w:rsidP="00384ED6">
      <w:pPr>
        <w:pStyle w:val="naslov"/>
        <w:spacing w:before="0" w:after="120" w:line="276" w:lineRule="auto"/>
        <w:rPr>
          <w:bCs/>
          <w:color w:val="FF0000"/>
          <w:spacing w:val="0"/>
          <w:sz w:val="22"/>
          <w:szCs w:val="22"/>
          <w:lang w:val="ru-RU"/>
        </w:rPr>
      </w:pPr>
      <w:r w:rsidRPr="00123C82">
        <w:rPr>
          <w:bCs/>
          <w:color w:val="FF0000"/>
          <w:spacing w:val="0"/>
          <w:sz w:val="22"/>
          <w:szCs w:val="22"/>
          <w:lang w:val="ru-RU"/>
        </w:rPr>
        <w:t>Член 1</w:t>
      </w:r>
      <w:r w:rsidRPr="00123C82">
        <w:rPr>
          <w:bCs/>
          <w:color w:val="FF0000"/>
          <w:spacing w:val="0"/>
          <w:sz w:val="22"/>
          <w:szCs w:val="22"/>
          <w:lang w:val="mk-MK"/>
        </w:rPr>
        <w:t>1</w:t>
      </w:r>
    </w:p>
    <w:p w:rsidR="00384ED6" w:rsidRPr="00123C82" w:rsidRDefault="00384ED6" w:rsidP="00384ED6">
      <w:pPr>
        <w:autoSpaceDE w:val="0"/>
        <w:autoSpaceDN w:val="0"/>
        <w:adjustRightInd w:val="0"/>
        <w:spacing w:after="120" w:line="276" w:lineRule="auto"/>
        <w:jc w:val="both"/>
        <w:rPr>
          <w:color w:val="FF0000"/>
          <w:lang w:val="ru-RU"/>
        </w:rPr>
      </w:pPr>
      <w:r w:rsidRPr="00123C82">
        <w:rPr>
          <w:color w:val="FF0000"/>
          <w:lang w:val="mk-MK"/>
        </w:rPr>
        <w:t xml:space="preserve">(1) </w:t>
      </w:r>
      <w:r w:rsidRPr="00123C82">
        <w:rPr>
          <w:color w:val="FF0000"/>
          <w:lang w:val="ru-RU"/>
        </w:rPr>
        <w:t xml:space="preserve">За </w:t>
      </w:r>
      <w:r w:rsidRPr="00123C82">
        <w:rPr>
          <w:color w:val="FF0000"/>
          <w:lang w:val="mk-MK"/>
        </w:rPr>
        <w:t>доходот од работа</w:t>
      </w:r>
      <w:r w:rsidRPr="00123C82">
        <w:rPr>
          <w:color w:val="FF0000"/>
          <w:lang w:val="ru-RU"/>
        </w:rPr>
        <w:t xml:space="preserve">, </w:t>
      </w:r>
      <w:r w:rsidRPr="00123C82">
        <w:rPr>
          <w:color w:val="FF0000"/>
          <w:lang w:val="mk-MK"/>
        </w:rPr>
        <w:t>доходот</w:t>
      </w:r>
      <w:r w:rsidRPr="00123C82">
        <w:rPr>
          <w:color w:val="FF0000"/>
          <w:lang w:val="ru-RU"/>
        </w:rPr>
        <w:t xml:space="preserve"> од самостојна дејност, доходот од авторски и сродни права и </w:t>
      </w:r>
      <w:r w:rsidRPr="00123C82">
        <w:rPr>
          <w:color w:val="FF0000"/>
          <w:lang w:val="mk-MK"/>
        </w:rPr>
        <w:t>доходот</w:t>
      </w:r>
      <w:r w:rsidRPr="00123C82">
        <w:rPr>
          <w:rFonts w:eastAsia="StobiSerif Regular"/>
          <w:color w:val="FF0000"/>
          <w:lang w:val="mk-MK"/>
        </w:rPr>
        <w:t xml:space="preserve"> од продажба на сопствени земјоделски производи, данокот на доход се плаќа по прогресивни стапки и тоа</w:t>
      </w:r>
      <w:r w:rsidRPr="00123C82">
        <w:rPr>
          <w:rFonts w:eastAsia="StobiSerif Regular"/>
          <w:color w:val="FF0000"/>
          <w:lang w:val="ru-RU"/>
        </w:rPr>
        <w:t xml:space="preserve">: </w:t>
      </w:r>
    </w:p>
    <w:p w:rsidR="00384ED6" w:rsidRPr="00123C82" w:rsidRDefault="00384ED6" w:rsidP="00384ED6">
      <w:pPr>
        <w:autoSpaceDE w:val="0"/>
        <w:autoSpaceDN w:val="0"/>
        <w:adjustRightInd w:val="0"/>
        <w:spacing w:after="120" w:line="276" w:lineRule="auto"/>
        <w:jc w:val="both"/>
        <w:rPr>
          <w:color w:val="FF000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384ED6" w:rsidRPr="00123C82" w:rsidTr="00987965">
        <w:tc>
          <w:tcPr>
            <w:tcW w:w="5021" w:type="dxa"/>
          </w:tcPr>
          <w:p w:rsidR="00384ED6" w:rsidRPr="00123C82" w:rsidRDefault="00384ED6" w:rsidP="00987965">
            <w:pPr>
              <w:autoSpaceDE w:val="0"/>
              <w:autoSpaceDN w:val="0"/>
              <w:adjustRightInd w:val="0"/>
              <w:spacing w:after="120" w:line="276" w:lineRule="auto"/>
              <w:jc w:val="both"/>
              <w:rPr>
                <w:color w:val="FF0000"/>
                <w:lang w:val="mk-MK"/>
              </w:rPr>
            </w:pPr>
            <w:r w:rsidRPr="00123C82">
              <w:rPr>
                <w:color w:val="FF0000"/>
                <w:lang w:val="mk-MK"/>
              </w:rPr>
              <w:t>на годишна даночна основа</w:t>
            </w:r>
          </w:p>
        </w:tc>
        <w:tc>
          <w:tcPr>
            <w:tcW w:w="5022" w:type="dxa"/>
          </w:tcPr>
          <w:p w:rsidR="00384ED6" w:rsidRPr="00123C82" w:rsidRDefault="00384ED6" w:rsidP="00987965">
            <w:pPr>
              <w:autoSpaceDE w:val="0"/>
              <w:autoSpaceDN w:val="0"/>
              <w:adjustRightInd w:val="0"/>
              <w:spacing w:after="120" w:line="276" w:lineRule="auto"/>
              <w:jc w:val="both"/>
              <w:rPr>
                <w:color w:val="FF0000"/>
                <w:lang w:val="mk-MK"/>
              </w:rPr>
            </w:pPr>
            <w:r w:rsidRPr="00123C82">
              <w:rPr>
                <w:color w:val="FF0000"/>
                <w:lang w:val="mk-MK"/>
              </w:rPr>
              <w:t>по стапка</w:t>
            </w:r>
          </w:p>
        </w:tc>
      </w:tr>
      <w:tr w:rsidR="00384ED6" w:rsidRPr="00123C82" w:rsidTr="00987965">
        <w:tc>
          <w:tcPr>
            <w:tcW w:w="5021" w:type="dxa"/>
          </w:tcPr>
          <w:p w:rsidR="00384ED6" w:rsidRPr="00123C82" w:rsidRDefault="00384ED6" w:rsidP="00987965">
            <w:pPr>
              <w:autoSpaceDE w:val="0"/>
              <w:autoSpaceDN w:val="0"/>
              <w:adjustRightInd w:val="0"/>
              <w:spacing w:after="120" w:line="276" w:lineRule="auto"/>
              <w:jc w:val="both"/>
              <w:rPr>
                <w:color w:val="FF0000"/>
                <w:lang w:val="mk-MK"/>
              </w:rPr>
            </w:pPr>
            <w:r w:rsidRPr="00123C82">
              <w:rPr>
                <w:color w:val="FF0000"/>
                <w:lang w:val="mk-MK"/>
              </w:rPr>
              <w:t xml:space="preserve">До </w:t>
            </w:r>
            <w:r w:rsidRPr="00123C82">
              <w:rPr>
                <w:color w:val="FF0000"/>
                <w:lang w:val="en-GB"/>
              </w:rPr>
              <w:t>1.080</w:t>
            </w:r>
            <w:r w:rsidRPr="00123C82">
              <w:rPr>
                <w:color w:val="FF0000"/>
                <w:lang w:val="mk-MK"/>
              </w:rPr>
              <w:t>.000 денари</w:t>
            </w:r>
          </w:p>
        </w:tc>
        <w:tc>
          <w:tcPr>
            <w:tcW w:w="5022" w:type="dxa"/>
          </w:tcPr>
          <w:p w:rsidR="00384ED6" w:rsidRPr="00123C82" w:rsidRDefault="00384ED6" w:rsidP="00987965">
            <w:pPr>
              <w:autoSpaceDE w:val="0"/>
              <w:autoSpaceDN w:val="0"/>
              <w:adjustRightInd w:val="0"/>
              <w:spacing w:after="120" w:line="276" w:lineRule="auto"/>
              <w:jc w:val="both"/>
              <w:rPr>
                <w:color w:val="FF0000"/>
                <w:lang w:val="mk-MK"/>
              </w:rPr>
            </w:pPr>
            <w:r w:rsidRPr="00123C82">
              <w:rPr>
                <w:color w:val="FF0000"/>
                <w:lang w:val="mk-MK"/>
              </w:rPr>
              <w:t>10%</w:t>
            </w:r>
          </w:p>
        </w:tc>
      </w:tr>
      <w:tr w:rsidR="00384ED6" w:rsidRPr="00123C82" w:rsidTr="00987965">
        <w:tc>
          <w:tcPr>
            <w:tcW w:w="5021" w:type="dxa"/>
          </w:tcPr>
          <w:p w:rsidR="00384ED6" w:rsidRPr="00123C82" w:rsidRDefault="00384ED6" w:rsidP="00987965">
            <w:pPr>
              <w:autoSpaceDE w:val="0"/>
              <w:autoSpaceDN w:val="0"/>
              <w:adjustRightInd w:val="0"/>
              <w:spacing w:after="120" w:line="276" w:lineRule="auto"/>
              <w:jc w:val="both"/>
              <w:rPr>
                <w:color w:val="FF0000"/>
                <w:lang w:val="mk-MK"/>
              </w:rPr>
            </w:pPr>
            <w:r w:rsidRPr="00123C82">
              <w:rPr>
                <w:color w:val="FF0000"/>
                <w:lang w:val="mk-MK"/>
              </w:rPr>
              <w:t xml:space="preserve">од </w:t>
            </w:r>
            <w:r w:rsidRPr="00123C82">
              <w:rPr>
                <w:color w:val="FF0000"/>
                <w:lang w:val="en-GB"/>
              </w:rPr>
              <w:t>1.080</w:t>
            </w:r>
            <w:r w:rsidRPr="00123C82">
              <w:rPr>
                <w:color w:val="FF0000"/>
                <w:lang w:val="mk-MK"/>
              </w:rPr>
              <w:t>.001 денар</w:t>
            </w:r>
          </w:p>
        </w:tc>
        <w:tc>
          <w:tcPr>
            <w:tcW w:w="5022" w:type="dxa"/>
          </w:tcPr>
          <w:p w:rsidR="00384ED6" w:rsidRPr="00123C82" w:rsidRDefault="00384ED6" w:rsidP="00987965">
            <w:pPr>
              <w:autoSpaceDE w:val="0"/>
              <w:autoSpaceDN w:val="0"/>
              <w:adjustRightInd w:val="0"/>
              <w:spacing w:after="120" w:line="276" w:lineRule="auto"/>
              <w:jc w:val="both"/>
              <w:rPr>
                <w:color w:val="FF0000"/>
                <w:lang w:val="mk-MK"/>
              </w:rPr>
            </w:pPr>
            <w:r w:rsidRPr="00123C82">
              <w:rPr>
                <w:color w:val="FF0000"/>
                <w:lang w:val="ru-RU"/>
              </w:rPr>
              <w:t>108</w:t>
            </w:r>
            <w:r w:rsidRPr="00123C82">
              <w:rPr>
                <w:color w:val="FF0000"/>
                <w:lang w:val="mk-MK"/>
              </w:rPr>
              <w:t xml:space="preserve">.000 + 18% на делот од доходот над </w:t>
            </w:r>
            <w:r w:rsidRPr="00123C82">
              <w:rPr>
                <w:color w:val="FF0000"/>
                <w:lang w:val="ru-RU"/>
              </w:rPr>
              <w:t>1.080</w:t>
            </w:r>
            <w:r w:rsidRPr="00123C82">
              <w:rPr>
                <w:color w:val="FF0000"/>
                <w:lang w:val="mk-MK"/>
              </w:rPr>
              <w:t>.000 денари</w:t>
            </w:r>
          </w:p>
        </w:tc>
      </w:tr>
    </w:tbl>
    <w:p w:rsidR="00384ED6" w:rsidRPr="00123C82" w:rsidRDefault="00384ED6" w:rsidP="00384ED6">
      <w:pPr>
        <w:spacing w:after="120" w:line="276" w:lineRule="auto"/>
        <w:jc w:val="both"/>
        <w:rPr>
          <w:color w:val="FF0000"/>
          <w:lang w:val="mk-MK"/>
        </w:rPr>
      </w:pPr>
    </w:p>
    <w:p w:rsidR="00384ED6" w:rsidRPr="00123C82" w:rsidRDefault="00384ED6" w:rsidP="00384ED6">
      <w:pPr>
        <w:spacing w:after="120" w:line="276" w:lineRule="auto"/>
        <w:jc w:val="both"/>
        <w:rPr>
          <w:color w:val="FF0000"/>
          <w:lang w:val="mk-MK"/>
        </w:rPr>
      </w:pPr>
      <w:r w:rsidRPr="00123C82">
        <w:rPr>
          <w:color w:val="FF0000"/>
          <w:lang w:val="mk-MK"/>
        </w:rPr>
        <w:t>(2) За доходот од права од индустриска сопственост</w:t>
      </w:r>
      <w:r w:rsidRPr="00123C82">
        <w:rPr>
          <w:color w:val="FF0000"/>
          <w:lang w:val="ru-RU"/>
        </w:rPr>
        <w:t xml:space="preserve">, доходот од закуп и подзакуп, </w:t>
      </w:r>
      <w:r w:rsidRPr="00123C82">
        <w:rPr>
          <w:color w:val="FF0000"/>
          <w:lang w:val="mk-MK"/>
        </w:rPr>
        <w:t xml:space="preserve">доходот </w:t>
      </w:r>
      <w:r w:rsidRPr="00123C82">
        <w:rPr>
          <w:color w:val="FF0000"/>
          <w:lang w:val="ru-RU"/>
        </w:rPr>
        <w:t>од капитал, капиталните добивки, добивките од игри на среќа, доходот од осигурување и друг</w:t>
      </w:r>
      <w:r w:rsidRPr="00123C82">
        <w:rPr>
          <w:color w:val="FF0000"/>
          <w:lang w:val="mk-MK"/>
        </w:rPr>
        <w:t xml:space="preserve"> доход, данокот се плаќа по единствена стапка од 15%</w:t>
      </w:r>
      <w:r w:rsidRPr="00123C82">
        <w:rPr>
          <w:color w:val="FF0000"/>
          <w:lang w:val="ru-RU"/>
        </w:rPr>
        <w:t>.</w:t>
      </w:r>
    </w:p>
    <w:p w:rsidR="00384ED6" w:rsidRDefault="00384ED6" w:rsidP="00384ED6">
      <w:pPr>
        <w:tabs>
          <w:tab w:val="left" w:pos="0"/>
        </w:tabs>
        <w:spacing w:after="120"/>
        <w:ind w:left="-540"/>
        <w:jc w:val="both"/>
        <w:rPr>
          <w:rFonts w:ascii="StobiSerif Regular" w:hAnsi="StobiSerif Regular"/>
          <w:lang w:val="ru-RU"/>
        </w:rPr>
      </w:pPr>
    </w:p>
    <w:p w:rsidR="00384ED6" w:rsidRPr="00146E76" w:rsidRDefault="00384ED6" w:rsidP="00384ED6">
      <w:pPr>
        <w:tabs>
          <w:tab w:val="left" w:pos="0"/>
        </w:tabs>
        <w:spacing w:after="120"/>
        <w:ind w:left="-540"/>
        <w:jc w:val="both"/>
        <w:rPr>
          <w:rFonts w:ascii="StobiSerif Regular" w:hAnsi="StobiSerif Regular"/>
          <w:b/>
        </w:rPr>
      </w:pPr>
      <w:r w:rsidRPr="00146E76">
        <w:rPr>
          <w:rFonts w:ascii="StobiSerif Regular" w:hAnsi="StobiSerif Regular"/>
          <w:b/>
          <w:lang w:val="ru-RU"/>
        </w:rPr>
        <w:t xml:space="preserve">Предлог </w:t>
      </w:r>
      <w:r w:rsidRPr="00146E76">
        <w:rPr>
          <w:rFonts w:ascii="StobiSerif Regular" w:hAnsi="StobiSerif Regular"/>
          <w:b/>
        </w:rPr>
        <w:t xml:space="preserve">: </w:t>
      </w:r>
    </w:p>
    <w:p w:rsidR="00384ED6" w:rsidRPr="00123C82" w:rsidRDefault="00384ED6" w:rsidP="00384ED6">
      <w:pPr>
        <w:spacing w:after="120" w:line="276" w:lineRule="auto"/>
        <w:jc w:val="center"/>
        <w:rPr>
          <w:b/>
          <w:color w:val="auto"/>
          <w:lang w:val="ru-RU"/>
        </w:rPr>
      </w:pPr>
      <w:r w:rsidRPr="00123C82">
        <w:rPr>
          <w:b/>
          <w:color w:val="auto"/>
          <w:lang w:val="ru-RU"/>
        </w:rPr>
        <w:t>7. Даночни стапки</w:t>
      </w:r>
      <w:r w:rsidRPr="00123C82">
        <w:rPr>
          <w:b/>
          <w:color w:val="auto"/>
          <w:lang w:val="ru-RU"/>
        </w:rPr>
        <w:tab/>
      </w:r>
    </w:p>
    <w:p w:rsidR="00384ED6" w:rsidRPr="00123C82" w:rsidRDefault="00384ED6" w:rsidP="00384ED6">
      <w:pPr>
        <w:pStyle w:val="naslov"/>
        <w:spacing w:before="0" w:after="120" w:line="276" w:lineRule="auto"/>
        <w:rPr>
          <w:b/>
          <w:bCs/>
          <w:spacing w:val="0"/>
          <w:sz w:val="22"/>
          <w:szCs w:val="22"/>
          <w:lang w:val="ru-RU"/>
        </w:rPr>
      </w:pPr>
      <w:r w:rsidRPr="00123C82">
        <w:rPr>
          <w:b/>
          <w:bCs/>
          <w:spacing w:val="0"/>
          <w:sz w:val="22"/>
          <w:szCs w:val="22"/>
          <w:lang w:val="ru-RU"/>
        </w:rPr>
        <w:t>Член 1</w:t>
      </w:r>
      <w:r w:rsidRPr="00123C82">
        <w:rPr>
          <w:b/>
          <w:bCs/>
          <w:spacing w:val="0"/>
          <w:sz w:val="22"/>
          <w:szCs w:val="22"/>
          <w:lang w:val="mk-MK"/>
        </w:rPr>
        <w:t>1</w:t>
      </w:r>
    </w:p>
    <w:p w:rsidR="00384ED6" w:rsidRPr="00123C82" w:rsidRDefault="00384ED6" w:rsidP="00384ED6">
      <w:pPr>
        <w:autoSpaceDE w:val="0"/>
        <w:autoSpaceDN w:val="0"/>
        <w:adjustRightInd w:val="0"/>
        <w:spacing w:after="120" w:line="276" w:lineRule="auto"/>
        <w:jc w:val="both"/>
        <w:rPr>
          <w:b/>
          <w:color w:val="auto"/>
          <w:lang w:val="ru-RU"/>
        </w:rPr>
      </w:pPr>
      <w:r w:rsidRPr="00123C82">
        <w:rPr>
          <w:b/>
          <w:color w:val="auto"/>
          <w:lang w:val="mk-MK"/>
        </w:rPr>
        <w:t xml:space="preserve">(1) </w:t>
      </w:r>
      <w:r w:rsidRPr="00123C82">
        <w:rPr>
          <w:b/>
          <w:color w:val="auto"/>
          <w:lang w:val="ru-RU"/>
        </w:rPr>
        <w:t xml:space="preserve">За </w:t>
      </w:r>
      <w:r w:rsidRPr="00123C82">
        <w:rPr>
          <w:b/>
          <w:color w:val="auto"/>
          <w:lang w:val="mk-MK"/>
        </w:rPr>
        <w:t>доходот од работа</w:t>
      </w:r>
      <w:r w:rsidRPr="00123C82">
        <w:rPr>
          <w:b/>
          <w:color w:val="auto"/>
          <w:lang w:val="ru-RU"/>
        </w:rPr>
        <w:t xml:space="preserve">, </w:t>
      </w:r>
      <w:r w:rsidRPr="00123C82">
        <w:rPr>
          <w:b/>
          <w:color w:val="auto"/>
          <w:lang w:val="mk-MK"/>
        </w:rPr>
        <w:t>доходот</w:t>
      </w:r>
      <w:r w:rsidRPr="00123C82">
        <w:rPr>
          <w:b/>
          <w:color w:val="auto"/>
          <w:lang w:val="ru-RU"/>
        </w:rPr>
        <w:t xml:space="preserve"> од самостојна дејност, доходот од авторски и сродни права и </w:t>
      </w:r>
      <w:r w:rsidRPr="00123C82">
        <w:rPr>
          <w:b/>
          <w:color w:val="auto"/>
          <w:lang w:val="mk-MK"/>
        </w:rPr>
        <w:t>доходот</w:t>
      </w:r>
      <w:r w:rsidRPr="00123C82">
        <w:rPr>
          <w:rFonts w:eastAsia="StobiSerif Regular"/>
          <w:b/>
          <w:color w:val="auto"/>
          <w:lang w:val="mk-MK"/>
        </w:rPr>
        <w:t xml:space="preserve"> од продажба на сопствени земјоделски производи, данокот на доход се плаќа по прогресивни стапки и тоа</w:t>
      </w:r>
      <w:r w:rsidRPr="00123C82">
        <w:rPr>
          <w:rFonts w:eastAsia="StobiSerif Regular"/>
          <w:b/>
          <w:color w:val="auto"/>
          <w:lang w:val="ru-RU"/>
        </w:rPr>
        <w:t xml:space="preserve">: </w:t>
      </w:r>
    </w:p>
    <w:p w:rsidR="00384ED6" w:rsidRPr="00123C82" w:rsidRDefault="00384ED6" w:rsidP="00384ED6">
      <w:pPr>
        <w:autoSpaceDE w:val="0"/>
        <w:autoSpaceDN w:val="0"/>
        <w:adjustRightInd w:val="0"/>
        <w:spacing w:after="120" w:line="276" w:lineRule="auto"/>
        <w:jc w:val="both"/>
        <w:rPr>
          <w:b/>
          <w:color w:val="auto"/>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384ED6" w:rsidRPr="00123C82" w:rsidTr="00987965">
        <w:tc>
          <w:tcPr>
            <w:tcW w:w="5021" w:type="dxa"/>
          </w:tcPr>
          <w:p w:rsidR="00384ED6" w:rsidRPr="00123C82" w:rsidRDefault="00384ED6" w:rsidP="00987965">
            <w:pPr>
              <w:autoSpaceDE w:val="0"/>
              <w:autoSpaceDN w:val="0"/>
              <w:adjustRightInd w:val="0"/>
              <w:spacing w:after="120" w:line="276" w:lineRule="auto"/>
              <w:jc w:val="both"/>
              <w:rPr>
                <w:b/>
                <w:color w:val="auto"/>
                <w:lang w:val="mk-MK"/>
              </w:rPr>
            </w:pPr>
            <w:r w:rsidRPr="00123C82">
              <w:rPr>
                <w:b/>
                <w:color w:val="auto"/>
                <w:lang w:val="mk-MK"/>
              </w:rPr>
              <w:t>на годишна даночна основа</w:t>
            </w:r>
          </w:p>
        </w:tc>
        <w:tc>
          <w:tcPr>
            <w:tcW w:w="5022" w:type="dxa"/>
          </w:tcPr>
          <w:p w:rsidR="00384ED6" w:rsidRPr="00123C82" w:rsidRDefault="00384ED6" w:rsidP="00987965">
            <w:pPr>
              <w:autoSpaceDE w:val="0"/>
              <w:autoSpaceDN w:val="0"/>
              <w:adjustRightInd w:val="0"/>
              <w:spacing w:after="120" w:line="276" w:lineRule="auto"/>
              <w:jc w:val="both"/>
              <w:rPr>
                <w:b/>
                <w:color w:val="auto"/>
                <w:lang w:val="mk-MK"/>
              </w:rPr>
            </w:pPr>
            <w:r w:rsidRPr="00123C82">
              <w:rPr>
                <w:b/>
                <w:color w:val="auto"/>
                <w:lang w:val="mk-MK"/>
              </w:rPr>
              <w:t>по стапка</w:t>
            </w:r>
          </w:p>
        </w:tc>
      </w:tr>
      <w:tr w:rsidR="00384ED6" w:rsidRPr="00123C82" w:rsidTr="00987965">
        <w:tc>
          <w:tcPr>
            <w:tcW w:w="5021" w:type="dxa"/>
          </w:tcPr>
          <w:p w:rsidR="00384ED6" w:rsidRPr="00123C82" w:rsidRDefault="00384ED6" w:rsidP="00987965">
            <w:pPr>
              <w:autoSpaceDE w:val="0"/>
              <w:autoSpaceDN w:val="0"/>
              <w:adjustRightInd w:val="0"/>
              <w:spacing w:after="120" w:line="276" w:lineRule="auto"/>
              <w:jc w:val="both"/>
              <w:rPr>
                <w:b/>
                <w:color w:val="auto"/>
                <w:lang w:val="mk-MK"/>
              </w:rPr>
            </w:pPr>
            <w:r w:rsidRPr="00123C82">
              <w:rPr>
                <w:b/>
                <w:color w:val="auto"/>
                <w:lang w:val="mk-MK"/>
              </w:rPr>
              <w:t xml:space="preserve">До </w:t>
            </w:r>
            <w:r w:rsidRPr="00123C82">
              <w:rPr>
                <w:b/>
                <w:color w:val="auto"/>
                <w:lang w:val="en-GB"/>
              </w:rPr>
              <w:t>1.080</w:t>
            </w:r>
            <w:r w:rsidRPr="00123C82">
              <w:rPr>
                <w:b/>
                <w:color w:val="auto"/>
                <w:lang w:val="mk-MK"/>
              </w:rPr>
              <w:t>.000 денари</w:t>
            </w:r>
          </w:p>
        </w:tc>
        <w:tc>
          <w:tcPr>
            <w:tcW w:w="5022" w:type="dxa"/>
          </w:tcPr>
          <w:p w:rsidR="00384ED6" w:rsidRPr="00123C82" w:rsidRDefault="00384ED6" w:rsidP="00987965">
            <w:pPr>
              <w:autoSpaceDE w:val="0"/>
              <w:autoSpaceDN w:val="0"/>
              <w:adjustRightInd w:val="0"/>
              <w:spacing w:after="120" w:line="276" w:lineRule="auto"/>
              <w:jc w:val="both"/>
              <w:rPr>
                <w:b/>
                <w:color w:val="auto"/>
                <w:lang w:val="mk-MK"/>
              </w:rPr>
            </w:pPr>
            <w:r w:rsidRPr="00123C82">
              <w:rPr>
                <w:b/>
                <w:color w:val="auto"/>
                <w:lang w:val="mk-MK"/>
              </w:rPr>
              <w:t>10%</w:t>
            </w:r>
          </w:p>
        </w:tc>
      </w:tr>
      <w:tr w:rsidR="00384ED6" w:rsidRPr="00123C82" w:rsidTr="00987965">
        <w:tc>
          <w:tcPr>
            <w:tcW w:w="5021" w:type="dxa"/>
          </w:tcPr>
          <w:p w:rsidR="00384ED6" w:rsidRPr="00123C82" w:rsidRDefault="00384ED6" w:rsidP="00987965">
            <w:pPr>
              <w:autoSpaceDE w:val="0"/>
              <w:autoSpaceDN w:val="0"/>
              <w:adjustRightInd w:val="0"/>
              <w:spacing w:after="120" w:line="276" w:lineRule="auto"/>
              <w:jc w:val="both"/>
              <w:rPr>
                <w:b/>
                <w:color w:val="auto"/>
                <w:lang w:val="mk-MK"/>
              </w:rPr>
            </w:pPr>
            <w:r w:rsidRPr="00123C82">
              <w:rPr>
                <w:b/>
                <w:color w:val="auto"/>
                <w:lang w:val="mk-MK"/>
              </w:rPr>
              <w:t xml:space="preserve">од </w:t>
            </w:r>
            <w:r w:rsidRPr="00123C82">
              <w:rPr>
                <w:b/>
                <w:color w:val="auto"/>
                <w:lang w:val="en-GB"/>
              </w:rPr>
              <w:t>1.080</w:t>
            </w:r>
            <w:r w:rsidRPr="00123C82">
              <w:rPr>
                <w:b/>
                <w:color w:val="auto"/>
                <w:lang w:val="mk-MK"/>
              </w:rPr>
              <w:t>.001 денар</w:t>
            </w:r>
          </w:p>
        </w:tc>
        <w:tc>
          <w:tcPr>
            <w:tcW w:w="5022" w:type="dxa"/>
          </w:tcPr>
          <w:p w:rsidR="00384ED6" w:rsidRPr="00123C82" w:rsidRDefault="00384ED6" w:rsidP="00987965">
            <w:pPr>
              <w:autoSpaceDE w:val="0"/>
              <w:autoSpaceDN w:val="0"/>
              <w:adjustRightInd w:val="0"/>
              <w:spacing w:after="120" w:line="276" w:lineRule="auto"/>
              <w:jc w:val="both"/>
              <w:rPr>
                <w:b/>
                <w:color w:val="auto"/>
                <w:lang w:val="mk-MK"/>
              </w:rPr>
            </w:pPr>
            <w:r w:rsidRPr="00123C82">
              <w:rPr>
                <w:b/>
                <w:color w:val="auto"/>
                <w:lang w:val="ru-RU"/>
              </w:rPr>
              <w:t>108</w:t>
            </w:r>
            <w:r w:rsidRPr="00123C82">
              <w:rPr>
                <w:b/>
                <w:color w:val="auto"/>
                <w:lang w:val="mk-MK"/>
              </w:rPr>
              <w:t xml:space="preserve">.000 + 18% на делот од доходот над </w:t>
            </w:r>
            <w:r w:rsidRPr="00123C82">
              <w:rPr>
                <w:b/>
                <w:color w:val="auto"/>
                <w:lang w:val="ru-RU"/>
              </w:rPr>
              <w:t>1.080</w:t>
            </w:r>
            <w:r w:rsidRPr="00123C82">
              <w:rPr>
                <w:b/>
                <w:color w:val="auto"/>
                <w:lang w:val="mk-MK"/>
              </w:rPr>
              <w:t>.000 денари</w:t>
            </w:r>
          </w:p>
        </w:tc>
      </w:tr>
    </w:tbl>
    <w:p w:rsidR="00384ED6" w:rsidRPr="00123C82" w:rsidRDefault="00384ED6" w:rsidP="00384ED6">
      <w:pPr>
        <w:spacing w:after="120" w:line="276" w:lineRule="auto"/>
        <w:jc w:val="both"/>
        <w:rPr>
          <w:b/>
          <w:color w:val="auto"/>
          <w:lang w:val="mk-MK"/>
        </w:rPr>
      </w:pPr>
    </w:p>
    <w:p w:rsidR="00384ED6" w:rsidRPr="00123C82" w:rsidRDefault="00384ED6" w:rsidP="00384ED6">
      <w:pPr>
        <w:spacing w:after="120" w:line="276" w:lineRule="auto"/>
        <w:jc w:val="both"/>
        <w:rPr>
          <w:b/>
          <w:color w:val="auto"/>
          <w:lang w:val="ru-RU"/>
        </w:rPr>
      </w:pPr>
      <w:r w:rsidRPr="00123C82">
        <w:rPr>
          <w:b/>
          <w:color w:val="auto"/>
          <w:lang w:val="mk-MK"/>
        </w:rPr>
        <w:t>(2) За доходот од права од индустриска сопственост</w:t>
      </w:r>
      <w:r w:rsidRPr="00123C82">
        <w:rPr>
          <w:b/>
          <w:color w:val="auto"/>
          <w:lang w:val="ru-RU"/>
        </w:rPr>
        <w:t xml:space="preserve">, доходот од закуп и подзакуп, </w:t>
      </w:r>
      <w:r w:rsidRPr="00123C82">
        <w:rPr>
          <w:b/>
          <w:color w:val="auto"/>
          <w:lang w:val="mk-MK"/>
        </w:rPr>
        <w:t xml:space="preserve">доходот </w:t>
      </w:r>
      <w:r w:rsidRPr="00123C82">
        <w:rPr>
          <w:b/>
          <w:color w:val="auto"/>
          <w:lang w:val="ru-RU"/>
        </w:rPr>
        <w:t>од капитал, капиталните добивки, добивките од игри на среќа, доходот од осигурување и друг</w:t>
      </w:r>
      <w:r w:rsidRPr="00123C82">
        <w:rPr>
          <w:b/>
          <w:color w:val="auto"/>
          <w:lang w:val="mk-MK"/>
        </w:rPr>
        <w:t xml:space="preserve"> доход, данокот се плаќа по единствена стапка од 15%</w:t>
      </w:r>
      <w:r w:rsidRPr="00123C82">
        <w:rPr>
          <w:b/>
          <w:color w:val="auto"/>
          <w:lang w:val="ru-RU"/>
        </w:rPr>
        <w:t>.</w:t>
      </w:r>
    </w:p>
    <w:p w:rsidR="00384ED6" w:rsidRPr="00123C82" w:rsidRDefault="00384ED6" w:rsidP="00384ED6">
      <w:pPr>
        <w:spacing w:after="120" w:line="276" w:lineRule="auto"/>
        <w:jc w:val="both"/>
        <w:rPr>
          <w:b/>
          <w:color w:val="auto"/>
          <w:lang w:val="mk-MK"/>
        </w:rPr>
      </w:pPr>
      <w:r w:rsidRPr="00123C82">
        <w:rPr>
          <w:b/>
          <w:color w:val="auto"/>
          <w:lang w:val="ru-RU"/>
        </w:rPr>
        <w:lastRenderedPageBreak/>
        <w:t xml:space="preserve">За доходот од закуп и подзакуп примената на единствената стапка од 15% започнува со примена од 01.01.2020 година . </w:t>
      </w:r>
    </w:p>
    <w:p w:rsidR="00384ED6" w:rsidRDefault="00384ED6" w:rsidP="00384ED6">
      <w:pPr>
        <w:tabs>
          <w:tab w:val="left" w:pos="0"/>
        </w:tabs>
        <w:spacing w:after="120"/>
        <w:ind w:left="-540"/>
        <w:jc w:val="both"/>
        <w:rPr>
          <w:rFonts w:ascii="StobiSerif Regular" w:hAnsi="StobiSerif Regular"/>
          <w:lang w:val="mk-MK"/>
        </w:rPr>
      </w:pPr>
    </w:p>
    <w:p w:rsidR="00384ED6" w:rsidRPr="00172201" w:rsidRDefault="00384ED6" w:rsidP="00384ED6">
      <w:pPr>
        <w:tabs>
          <w:tab w:val="left" w:pos="0"/>
        </w:tabs>
        <w:spacing w:after="120"/>
        <w:ind w:left="-540"/>
        <w:jc w:val="both"/>
        <w:rPr>
          <w:rFonts w:ascii="StobiSerif Regular" w:hAnsi="StobiSerif Regular"/>
          <w:i/>
        </w:rPr>
      </w:pPr>
      <w:r w:rsidRPr="00172201">
        <w:rPr>
          <w:rFonts w:ascii="StobiSerif Regular" w:hAnsi="StobiSerif Regular"/>
          <w:i/>
          <w:lang w:val="mk-MK"/>
        </w:rPr>
        <w:t>Образложение</w:t>
      </w:r>
      <w:r w:rsidRPr="00172201">
        <w:rPr>
          <w:rFonts w:ascii="StobiSerif Regular" w:hAnsi="StobiSerif Regular"/>
          <w:i/>
        </w:rPr>
        <w:t xml:space="preserve"> :</w:t>
      </w:r>
    </w:p>
    <w:p w:rsidR="00384ED6" w:rsidRPr="00172201" w:rsidRDefault="00384ED6" w:rsidP="00384ED6">
      <w:pPr>
        <w:tabs>
          <w:tab w:val="left" w:pos="0"/>
        </w:tabs>
        <w:spacing w:after="120"/>
        <w:ind w:left="-540"/>
        <w:jc w:val="both"/>
        <w:rPr>
          <w:rFonts w:ascii="StobiSerif Regular" w:hAnsi="StobiSerif Regular"/>
          <w:i/>
          <w:lang w:val="mk-MK"/>
        </w:rPr>
      </w:pPr>
      <w:r>
        <w:rPr>
          <w:rFonts w:ascii="StobiSerif Regular" w:hAnsi="StobiSerif Regular"/>
          <w:i/>
          <w:lang w:val="mk-MK"/>
        </w:rPr>
        <w:t xml:space="preserve">Со цел за имплементирање на Изменетиот Закон за личен доход , но без да се предизивикаат даночни евазии и да не се наруши можноста на одржливоста на здруженијата на граѓани , невладините организации (во услови кога стануваат движечка сила во менување на законските регулативи и реализирање на целта Едно општество за сите), мора да се земе во предвид фактот дека за 2019 година НГО-секторот веќе има буџетирано и поднесено апликации за проекти до донаторите  за 2019 година . Зголемувањето на стапката на персонален данок на доходот од закуп и подзакуп, во услови кога најголем дел од НГ-организациите користат деловен простор под наем , во овој краен рок ќе предизвика нарушување на можноста за реализација на проектните активности и одржливост . Затоа предлагаме оваа промена да важи барем од 01.01.2020 година , да може навреме да се буџетира зголемениот трошок за плаќањето на данокот на личен доход од закуп и подзакуп. </w:t>
      </w:r>
    </w:p>
    <w:p w:rsidR="00384ED6" w:rsidRPr="00146E76" w:rsidRDefault="00384ED6" w:rsidP="00384ED6">
      <w:pPr>
        <w:tabs>
          <w:tab w:val="left" w:pos="0"/>
        </w:tabs>
        <w:spacing w:after="120"/>
        <w:ind w:left="-540"/>
        <w:jc w:val="both"/>
        <w:rPr>
          <w:rFonts w:ascii="StobiSerif Regular" w:hAnsi="StobiSerif Regular"/>
          <w:lang w:val="mk-MK"/>
        </w:rPr>
      </w:pPr>
    </w:p>
    <w:p w:rsidR="00384ED6" w:rsidRDefault="00384ED6" w:rsidP="00384ED6">
      <w:pPr>
        <w:rPr>
          <w:rFonts w:ascii="StobiSerif Regular" w:hAnsi="StobiSerif Regular"/>
          <w:i/>
          <w:lang w:val="mk-MK"/>
        </w:rPr>
      </w:pPr>
    </w:p>
    <w:p w:rsidR="00384ED6" w:rsidRPr="00062ABB" w:rsidRDefault="00384ED6" w:rsidP="00384ED6">
      <w:pPr>
        <w:spacing w:after="120" w:line="276" w:lineRule="auto"/>
        <w:jc w:val="center"/>
        <w:rPr>
          <w:bCs/>
          <w:color w:val="FF0000"/>
          <w:lang w:val="ru-RU"/>
        </w:rPr>
      </w:pPr>
      <w:r w:rsidRPr="00062ABB">
        <w:rPr>
          <w:bCs/>
          <w:color w:val="FF0000"/>
          <w:lang w:val="ru-RU"/>
        </w:rPr>
        <w:t>8. Надоместоци на кои не се плаќа данок на доход</w:t>
      </w:r>
    </w:p>
    <w:p w:rsidR="00384ED6" w:rsidRPr="00062ABB" w:rsidRDefault="00384ED6" w:rsidP="00384ED6">
      <w:pPr>
        <w:pStyle w:val="naslov"/>
        <w:spacing w:before="0" w:after="120" w:line="276" w:lineRule="auto"/>
        <w:rPr>
          <w:bCs/>
          <w:color w:val="FF0000"/>
          <w:spacing w:val="0"/>
          <w:sz w:val="22"/>
          <w:szCs w:val="22"/>
          <w:lang w:val="mk-MK"/>
        </w:rPr>
      </w:pPr>
      <w:r w:rsidRPr="00062ABB">
        <w:rPr>
          <w:bCs/>
          <w:color w:val="FF0000"/>
          <w:spacing w:val="0"/>
          <w:sz w:val="22"/>
          <w:szCs w:val="22"/>
          <w:lang w:val="ru-RU"/>
        </w:rPr>
        <w:t xml:space="preserve">Член </w:t>
      </w:r>
      <w:r w:rsidRPr="00062ABB">
        <w:rPr>
          <w:bCs/>
          <w:color w:val="FF0000"/>
          <w:spacing w:val="0"/>
          <w:sz w:val="22"/>
          <w:szCs w:val="22"/>
          <w:lang w:val="mk-MK"/>
        </w:rPr>
        <w:t>12</w:t>
      </w:r>
    </w:p>
    <w:p w:rsidR="00384ED6" w:rsidRPr="00062ABB" w:rsidRDefault="00384ED6" w:rsidP="00384ED6">
      <w:pPr>
        <w:pStyle w:val="ListParagraph"/>
        <w:numPr>
          <w:ilvl w:val="0"/>
          <w:numId w:val="1"/>
        </w:numPr>
        <w:spacing w:after="120" w:line="276" w:lineRule="auto"/>
        <w:jc w:val="both"/>
        <w:rPr>
          <w:color w:val="FF0000"/>
          <w:lang w:val="ru-RU"/>
        </w:rPr>
      </w:pPr>
      <w:r w:rsidRPr="00062ABB">
        <w:rPr>
          <w:color w:val="FF0000"/>
          <w:lang w:val="ru-RU"/>
        </w:rPr>
        <w:t>Данок на доход не се плаќа на:</w:t>
      </w:r>
    </w:p>
    <w:p w:rsidR="00384ED6" w:rsidRPr="00062ABB" w:rsidRDefault="00384ED6" w:rsidP="00384ED6">
      <w:pPr>
        <w:pStyle w:val="ListParagraph"/>
        <w:spacing w:after="120" w:line="276" w:lineRule="auto"/>
        <w:jc w:val="both"/>
        <w:rPr>
          <w:rFonts w:eastAsia="StobiSerif Regular"/>
          <w:color w:val="FF0000"/>
          <w:lang w:val="mk-MK"/>
        </w:rPr>
      </w:pPr>
      <w:r w:rsidRPr="00062ABB">
        <w:rPr>
          <w:rFonts w:eastAsia="StobiSerif Regular"/>
          <w:color w:val="FF0000"/>
          <w:lang w:val="ru-RU"/>
        </w:rPr>
        <w:t>41</w:t>
      </w:r>
      <w:r w:rsidRPr="00062ABB">
        <w:rPr>
          <w:rFonts w:eastAsia="StobiSerif Regular"/>
          <w:color w:val="FF0000"/>
          <w:lang w:val="mk-MK"/>
        </w:rPr>
        <w:t xml:space="preserve">) надоместоци на трошоци за сместување, храна и превоз за лица кои се учесници на настани со времетраење не повеќе од 5 дена, организирани во рамки на активностите на организацијата основана согласно со Законот за здруженија и фондации, утврдени врз основа на документи за направените трошоци; </w:t>
      </w:r>
    </w:p>
    <w:p w:rsidR="00384ED6" w:rsidRPr="00062ABB" w:rsidRDefault="00384ED6" w:rsidP="00384ED6">
      <w:pPr>
        <w:pStyle w:val="ListParagraph"/>
        <w:spacing w:after="120" w:line="276" w:lineRule="auto"/>
        <w:jc w:val="both"/>
        <w:rPr>
          <w:color w:val="FF0000"/>
          <w:lang w:val="ru-RU"/>
        </w:rPr>
      </w:pPr>
    </w:p>
    <w:p w:rsidR="00384ED6" w:rsidRDefault="00384ED6" w:rsidP="00384ED6">
      <w:pPr>
        <w:rPr>
          <w:rFonts w:ascii="StobiSerif Regular" w:hAnsi="StobiSerif Regular"/>
          <w:i/>
          <w:lang w:val="mk-MK"/>
        </w:rPr>
      </w:pPr>
    </w:p>
    <w:p w:rsidR="00384ED6" w:rsidRPr="00D164A9" w:rsidRDefault="00384ED6" w:rsidP="00384ED6">
      <w:pPr>
        <w:tabs>
          <w:tab w:val="left" w:pos="0"/>
        </w:tabs>
        <w:spacing w:after="120"/>
        <w:ind w:left="-540"/>
        <w:jc w:val="both"/>
        <w:rPr>
          <w:rFonts w:ascii="StobiSerif Regular" w:hAnsi="StobiSerif Regular"/>
          <w:b/>
        </w:rPr>
      </w:pPr>
      <w:r w:rsidRPr="00D164A9">
        <w:rPr>
          <w:rFonts w:ascii="StobiSerif Regular" w:hAnsi="StobiSerif Regular"/>
          <w:b/>
          <w:lang w:val="ru-RU"/>
        </w:rPr>
        <w:t xml:space="preserve">Предлог </w:t>
      </w:r>
      <w:r w:rsidRPr="00D164A9">
        <w:rPr>
          <w:rFonts w:ascii="StobiSerif Regular" w:hAnsi="StobiSerif Regular"/>
          <w:b/>
        </w:rPr>
        <w:t xml:space="preserve">: </w:t>
      </w:r>
    </w:p>
    <w:p w:rsidR="00384ED6" w:rsidRPr="00062ABB" w:rsidRDefault="00384ED6" w:rsidP="00384ED6">
      <w:pPr>
        <w:spacing w:after="120" w:line="276" w:lineRule="auto"/>
        <w:jc w:val="center"/>
        <w:rPr>
          <w:b/>
          <w:bCs/>
          <w:color w:val="auto"/>
          <w:lang w:val="ru-RU"/>
        </w:rPr>
      </w:pPr>
      <w:r w:rsidRPr="00062ABB">
        <w:rPr>
          <w:b/>
          <w:bCs/>
          <w:color w:val="auto"/>
          <w:lang w:val="ru-RU"/>
        </w:rPr>
        <w:t>8. Надоместоци на кои не се плаќа данок на доход</w:t>
      </w:r>
    </w:p>
    <w:p w:rsidR="00384ED6" w:rsidRPr="00062ABB" w:rsidRDefault="00384ED6" w:rsidP="00384ED6">
      <w:pPr>
        <w:pStyle w:val="naslov"/>
        <w:spacing w:before="0" w:after="120" w:line="276" w:lineRule="auto"/>
        <w:rPr>
          <w:b/>
          <w:bCs/>
          <w:spacing w:val="0"/>
          <w:sz w:val="22"/>
          <w:szCs w:val="22"/>
          <w:lang w:val="mk-MK"/>
        </w:rPr>
      </w:pPr>
      <w:r w:rsidRPr="00062ABB">
        <w:rPr>
          <w:b/>
          <w:bCs/>
          <w:spacing w:val="0"/>
          <w:sz w:val="22"/>
          <w:szCs w:val="22"/>
          <w:lang w:val="ru-RU"/>
        </w:rPr>
        <w:t xml:space="preserve">Член </w:t>
      </w:r>
      <w:r w:rsidRPr="00062ABB">
        <w:rPr>
          <w:b/>
          <w:bCs/>
          <w:spacing w:val="0"/>
          <w:sz w:val="22"/>
          <w:szCs w:val="22"/>
          <w:lang w:val="mk-MK"/>
        </w:rPr>
        <w:t>12</w:t>
      </w:r>
    </w:p>
    <w:p w:rsidR="00384ED6" w:rsidRPr="00062ABB" w:rsidRDefault="00384ED6" w:rsidP="00384ED6">
      <w:pPr>
        <w:pStyle w:val="ListParagraph"/>
        <w:numPr>
          <w:ilvl w:val="0"/>
          <w:numId w:val="2"/>
        </w:numPr>
        <w:spacing w:after="120" w:line="276" w:lineRule="auto"/>
        <w:jc w:val="both"/>
        <w:rPr>
          <w:b/>
          <w:color w:val="auto"/>
          <w:lang w:val="ru-RU"/>
        </w:rPr>
      </w:pPr>
      <w:r w:rsidRPr="00062ABB">
        <w:rPr>
          <w:b/>
          <w:color w:val="auto"/>
          <w:lang w:val="ru-RU"/>
        </w:rPr>
        <w:t>Данок на доход не се плаќа на:</w:t>
      </w:r>
    </w:p>
    <w:p w:rsidR="00384ED6" w:rsidRPr="00062ABB" w:rsidRDefault="00384ED6" w:rsidP="00384ED6">
      <w:pPr>
        <w:pStyle w:val="ListParagraph"/>
        <w:spacing w:after="120" w:line="276" w:lineRule="auto"/>
        <w:jc w:val="both"/>
        <w:rPr>
          <w:rFonts w:eastAsia="StobiSerif Regular"/>
          <w:b/>
          <w:color w:val="auto"/>
          <w:lang w:val="mk-MK"/>
        </w:rPr>
      </w:pPr>
      <w:r w:rsidRPr="00062ABB">
        <w:rPr>
          <w:rFonts w:eastAsia="StobiSerif Regular"/>
          <w:b/>
          <w:color w:val="auto"/>
          <w:lang w:val="ru-RU"/>
        </w:rPr>
        <w:t>41</w:t>
      </w:r>
      <w:r w:rsidRPr="00062ABB">
        <w:rPr>
          <w:rFonts w:eastAsia="StobiSerif Regular"/>
          <w:b/>
          <w:color w:val="auto"/>
          <w:lang w:val="mk-MK"/>
        </w:rPr>
        <w:t>) надоместоци на трошоци за сместување, храна и превоз за лица кои се учесници на настани, организирани во рамки на активностите на организацијата основана согласно со Законот за здруженија и фондации, утврдени врз основа на документи за направените трошоци</w:t>
      </w:r>
      <w:r>
        <w:rPr>
          <w:rFonts w:eastAsia="StobiSerif Regular"/>
          <w:b/>
          <w:color w:val="auto"/>
          <w:lang w:val="mk-MK"/>
        </w:rPr>
        <w:t xml:space="preserve"> или одобрени во буџетот на донаторот </w:t>
      </w:r>
      <w:r w:rsidRPr="00062ABB">
        <w:rPr>
          <w:rFonts w:eastAsia="StobiSerif Regular"/>
          <w:b/>
          <w:color w:val="auto"/>
          <w:lang w:val="mk-MK"/>
        </w:rPr>
        <w:t xml:space="preserve">; </w:t>
      </w:r>
    </w:p>
    <w:p w:rsidR="00384ED6" w:rsidRDefault="00384ED6" w:rsidP="00384ED6">
      <w:pPr>
        <w:tabs>
          <w:tab w:val="left" w:pos="0"/>
        </w:tabs>
        <w:spacing w:after="120"/>
        <w:ind w:left="-540"/>
        <w:jc w:val="both"/>
        <w:rPr>
          <w:rFonts w:ascii="StobiSerif Regular" w:hAnsi="StobiSerif Regular"/>
          <w:i/>
          <w:lang w:val="mk-MK"/>
        </w:rPr>
      </w:pPr>
    </w:p>
    <w:p w:rsidR="00384ED6" w:rsidRDefault="00384ED6" w:rsidP="00384ED6">
      <w:pPr>
        <w:tabs>
          <w:tab w:val="left" w:pos="0"/>
        </w:tabs>
        <w:spacing w:after="120"/>
        <w:ind w:left="-540"/>
        <w:jc w:val="both"/>
        <w:rPr>
          <w:rFonts w:ascii="StobiSerif Regular" w:hAnsi="StobiSerif Regular"/>
          <w:i/>
          <w:lang w:val="mk-MK"/>
        </w:rPr>
      </w:pPr>
    </w:p>
    <w:p w:rsidR="00384ED6" w:rsidRPr="00172201" w:rsidRDefault="00384ED6" w:rsidP="00384ED6">
      <w:pPr>
        <w:tabs>
          <w:tab w:val="left" w:pos="0"/>
        </w:tabs>
        <w:spacing w:after="120"/>
        <w:ind w:left="-540"/>
        <w:jc w:val="both"/>
        <w:rPr>
          <w:rFonts w:ascii="StobiSerif Regular" w:hAnsi="StobiSerif Regular"/>
          <w:i/>
        </w:rPr>
      </w:pPr>
      <w:r w:rsidRPr="00172201">
        <w:rPr>
          <w:rFonts w:ascii="StobiSerif Regular" w:hAnsi="StobiSerif Regular"/>
          <w:i/>
          <w:lang w:val="mk-MK"/>
        </w:rPr>
        <w:lastRenderedPageBreak/>
        <w:t>Образложение</w:t>
      </w:r>
      <w:r w:rsidRPr="00172201">
        <w:rPr>
          <w:rFonts w:ascii="StobiSerif Regular" w:hAnsi="StobiSerif Regular"/>
          <w:i/>
        </w:rPr>
        <w:t xml:space="preserve"> :</w:t>
      </w:r>
    </w:p>
    <w:p w:rsidR="00384ED6" w:rsidRDefault="00384ED6" w:rsidP="00384ED6">
      <w:pPr>
        <w:tabs>
          <w:tab w:val="left" w:pos="0"/>
        </w:tabs>
        <w:spacing w:after="0" w:line="240" w:lineRule="auto"/>
        <w:ind w:left="-540" w:firstLine="567"/>
        <w:jc w:val="both"/>
        <w:rPr>
          <w:rFonts w:ascii="StobiSerif Regular" w:hAnsi="StobiSerif Regular"/>
          <w:i/>
          <w:lang w:val="mk-MK"/>
        </w:rPr>
      </w:pPr>
      <w:r>
        <w:rPr>
          <w:rFonts w:ascii="StobiSerif Regular" w:hAnsi="StobiSerif Regular"/>
          <w:i/>
          <w:lang w:val="mk-MK"/>
        </w:rPr>
        <w:t xml:space="preserve">Данокот на доход не се плаќа на надоместоци на трошоци за сместување, храна и превоз за лица кои се учесници на настани , организирани во рамки на активностите на организацијата или одобрени од страна на донаторот во самиот буџет без разлика колку денови ќе трае една обука, семинар, едукација и сл. Со оглед на финансиската состојба во Р. Македонија и финансиските можности на НГО секторот , особено имајки го во предвид фактот дека овие настани најчесто се финансирани со средства одобрени од донатори , речиси не постои можност за злоупотреба на средства за неоправдани трошоци за продолжени настани, бидејки донаторите се многу строги во одобрувањата на трошењата на нивните средства дадени како средства за проектни активности. </w:t>
      </w:r>
    </w:p>
    <w:p w:rsidR="00384ED6" w:rsidRDefault="00384ED6" w:rsidP="00384ED6">
      <w:pPr>
        <w:tabs>
          <w:tab w:val="left" w:pos="0"/>
        </w:tabs>
        <w:spacing w:after="0" w:line="240" w:lineRule="auto"/>
        <w:ind w:left="-540" w:firstLine="567"/>
        <w:jc w:val="both"/>
        <w:rPr>
          <w:rFonts w:ascii="StobiSerif Regular" w:hAnsi="StobiSerif Regular"/>
          <w:i/>
          <w:lang w:val="mk-MK"/>
        </w:rPr>
      </w:pPr>
      <w:r>
        <w:rPr>
          <w:rFonts w:ascii="StobiSerif Regular" w:hAnsi="StobiSerif Regular"/>
          <w:i/>
          <w:lang w:val="mk-MK"/>
        </w:rPr>
        <w:t xml:space="preserve">Оваа констатација уште повеќе се потврдува кога станува збор за надоместоци на трошоци за сместување, храна и превоз за лица кои се учесници на настани , организирани во рамки на активностите на организацијата од сопствени средства на организациите кои се многу ограничени и по обем и по можности. </w:t>
      </w:r>
    </w:p>
    <w:p w:rsidR="00384ED6" w:rsidRDefault="00384ED6" w:rsidP="00384ED6">
      <w:pPr>
        <w:tabs>
          <w:tab w:val="left" w:pos="0"/>
        </w:tabs>
        <w:spacing w:after="0" w:line="240" w:lineRule="auto"/>
        <w:ind w:left="-540" w:firstLine="567"/>
        <w:jc w:val="both"/>
        <w:rPr>
          <w:rFonts w:ascii="StobiSerif Regular" w:hAnsi="StobiSerif Regular"/>
          <w:i/>
          <w:lang w:val="mk-MK"/>
        </w:rPr>
      </w:pPr>
    </w:p>
    <w:p w:rsidR="00F5089B" w:rsidRDefault="00F5089B" w:rsidP="00384ED6">
      <w:pPr>
        <w:tabs>
          <w:tab w:val="left" w:pos="0"/>
        </w:tabs>
        <w:spacing w:after="0" w:line="240" w:lineRule="auto"/>
        <w:ind w:left="-540" w:firstLine="567"/>
        <w:jc w:val="both"/>
        <w:rPr>
          <w:rFonts w:ascii="StobiSerif Regular" w:hAnsi="StobiSerif Regular"/>
          <w:i/>
          <w:lang w:val="mk-MK"/>
        </w:rPr>
      </w:pPr>
    </w:p>
    <w:p w:rsidR="00F5089B" w:rsidRPr="00F5089B" w:rsidRDefault="00F5089B" w:rsidP="00384ED6">
      <w:pPr>
        <w:tabs>
          <w:tab w:val="left" w:pos="0"/>
        </w:tabs>
        <w:spacing w:after="0" w:line="240" w:lineRule="auto"/>
        <w:ind w:left="-540" w:firstLine="567"/>
        <w:jc w:val="both"/>
        <w:rPr>
          <w:rFonts w:ascii="StobiSerif Regular" w:hAnsi="StobiSerif Regular"/>
          <w:lang w:val="mk-MK"/>
        </w:rPr>
      </w:pPr>
    </w:p>
    <w:p w:rsidR="00384ED6" w:rsidRDefault="00F5089B" w:rsidP="00384ED6">
      <w:pPr>
        <w:tabs>
          <w:tab w:val="left" w:pos="0"/>
        </w:tabs>
        <w:spacing w:after="0" w:line="240" w:lineRule="auto"/>
        <w:ind w:left="-540" w:firstLine="567"/>
        <w:jc w:val="both"/>
        <w:rPr>
          <w:rFonts w:ascii="StobiSerif Regular" w:hAnsi="StobiSerif Regular"/>
          <w:i/>
          <w:lang w:val="mk-MK"/>
        </w:rPr>
      </w:pPr>
      <w:r w:rsidRPr="00F5089B">
        <w:rPr>
          <w:rFonts w:ascii="StobiSerif Regular" w:hAnsi="StobiSerif Regular"/>
          <w:lang w:val="mk-MK"/>
        </w:rPr>
        <w:t>Скопје</w:t>
      </w:r>
      <w:r>
        <w:rPr>
          <w:rFonts w:ascii="StobiSerif Regular" w:hAnsi="StobiSerif Regular"/>
          <w:lang w:val="mk-MK"/>
        </w:rPr>
        <w:t xml:space="preserve">, 27.11.2018                                                                                        </w:t>
      </w:r>
      <w:bookmarkStart w:id="0" w:name="_GoBack"/>
      <w:bookmarkEnd w:id="0"/>
    </w:p>
    <w:p w:rsidR="00384ED6" w:rsidRDefault="00384ED6" w:rsidP="00384ED6">
      <w:pPr>
        <w:tabs>
          <w:tab w:val="left" w:pos="0"/>
        </w:tabs>
        <w:spacing w:after="0" w:line="240" w:lineRule="auto"/>
        <w:ind w:left="-540" w:firstLine="567"/>
        <w:jc w:val="both"/>
        <w:rPr>
          <w:rFonts w:ascii="StobiSerif Regular" w:hAnsi="StobiSerif Regular"/>
          <w:i/>
          <w:lang w:val="mk-MK"/>
        </w:rPr>
      </w:pPr>
    </w:p>
    <w:p w:rsidR="00384ED6" w:rsidRDefault="00384ED6" w:rsidP="00384ED6">
      <w:pPr>
        <w:tabs>
          <w:tab w:val="left" w:pos="0"/>
        </w:tabs>
        <w:spacing w:after="0" w:line="240" w:lineRule="auto"/>
        <w:ind w:left="-540" w:firstLine="567"/>
        <w:jc w:val="both"/>
        <w:rPr>
          <w:rFonts w:ascii="StobiSerif Regular" w:hAnsi="StobiSerif Regular"/>
          <w:i/>
          <w:lang w:val="mk-MK"/>
        </w:rPr>
      </w:pPr>
    </w:p>
    <w:p w:rsidR="00384ED6" w:rsidRDefault="00384ED6" w:rsidP="00384ED6">
      <w:pPr>
        <w:tabs>
          <w:tab w:val="left" w:pos="0"/>
        </w:tabs>
        <w:spacing w:after="0" w:line="240" w:lineRule="auto"/>
        <w:jc w:val="both"/>
        <w:rPr>
          <w:rFonts w:ascii="StobiSerif Regular" w:hAnsi="StobiSerif Regular"/>
          <w:i/>
          <w:lang w:val="mk-MK"/>
        </w:rPr>
      </w:pPr>
    </w:p>
    <w:p w:rsidR="003A68AF" w:rsidRPr="003A68AF" w:rsidRDefault="003A68AF"/>
    <w:sectPr w:rsidR="003A68AF" w:rsidRPr="003A68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57" w:rsidRDefault="009B2D57" w:rsidP="00F37C01">
      <w:pPr>
        <w:spacing w:after="0" w:line="240" w:lineRule="auto"/>
      </w:pPr>
      <w:r>
        <w:separator/>
      </w:r>
    </w:p>
  </w:endnote>
  <w:endnote w:type="continuationSeparator" w:id="0">
    <w:p w:rsidR="009B2D57" w:rsidRDefault="009B2D57" w:rsidP="00F3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F1" w:rsidRDefault="005E5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F1" w:rsidRDefault="005E5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F1" w:rsidRDefault="005E5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57" w:rsidRDefault="009B2D57" w:rsidP="00F37C01">
      <w:pPr>
        <w:spacing w:after="0" w:line="240" w:lineRule="auto"/>
      </w:pPr>
      <w:r>
        <w:separator/>
      </w:r>
    </w:p>
  </w:footnote>
  <w:footnote w:type="continuationSeparator" w:id="0">
    <w:p w:rsidR="009B2D57" w:rsidRDefault="009B2D57" w:rsidP="00F37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F1" w:rsidRDefault="009B2D57">
    <w:pPr>
      <w:pStyle w:val="Header"/>
    </w:pPr>
    <w:r>
      <w:rPr>
        <w:noProof/>
        <w:lang w:val="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82" o:spid="_x0000_s2060" type="#_x0000_t75" style="position:absolute;margin-left:0;margin-top:0;width:732.15pt;height:798.15pt;z-index:-251657216;mso-position-horizontal:center;mso-position-horizontal-relative:margin;mso-position-vertical:center;mso-position-vertical-relative:margin" o:allowincell="f">
          <v:imagedata r:id="rId1" o:title="Asset 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3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803"/>
    </w:tblGrid>
    <w:tr w:rsidR="00F37C01" w:rsidTr="00F37C01">
      <w:trPr>
        <w:trHeight w:val="1481"/>
      </w:trPr>
      <w:tc>
        <w:tcPr>
          <w:tcW w:w="3936" w:type="dxa"/>
        </w:tcPr>
        <w:p w:rsidR="00F37C01" w:rsidRDefault="00F37C01">
          <w:pPr>
            <w:pStyle w:val="Header"/>
            <w:rPr>
              <w:noProof/>
            </w:rPr>
          </w:pPr>
        </w:p>
        <w:p w:rsidR="00F37C01" w:rsidRDefault="00F37C01">
          <w:pPr>
            <w:pStyle w:val="Header"/>
          </w:pPr>
          <w:r>
            <w:rPr>
              <w:noProof/>
            </w:rPr>
            <w:drawing>
              <wp:inline distT="0" distB="0" distL="0" distR="0">
                <wp:extent cx="2269586"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33007" cy="890996"/>
                        </a:xfrm>
                        <a:prstGeom prst="rect">
                          <a:avLst/>
                        </a:prstGeom>
                      </pic:spPr>
                    </pic:pic>
                  </a:graphicData>
                </a:graphic>
              </wp:inline>
            </w:drawing>
          </w:r>
        </w:p>
      </w:tc>
      <w:tc>
        <w:tcPr>
          <w:tcW w:w="6803" w:type="dxa"/>
        </w:tcPr>
        <w:p w:rsidR="00F37C01" w:rsidRPr="00F37C01" w:rsidRDefault="00F37C01" w:rsidP="00F37C01">
          <w:pPr>
            <w:pStyle w:val="Header"/>
            <w:jc w:val="right"/>
            <w:rPr>
              <w:sz w:val="20"/>
              <w:szCs w:val="20"/>
            </w:rPr>
          </w:pPr>
          <w:r w:rsidRPr="00F37C01">
            <w:rPr>
              <w:sz w:val="20"/>
              <w:szCs w:val="20"/>
            </w:rPr>
            <w:t>Македонско еколошко друштво</w:t>
          </w:r>
        </w:p>
        <w:p w:rsidR="00F37C01" w:rsidRPr="00F37C01" w:rsidRDefault="005E5EF1" w:rsidP="00F37C01">
          <w:pPr>
            <w:pStyle w:val="Header"/>
            <w:jc w:val="right"/>
            <w:rPr>
              <w:sz w:val="20"/>
              <w:szCs w:val="20"/>
            </w:rPr>
          </w:pPr>
          <w:r>
            <w:rPr>
              <w:sz w:val="20"/>
              <w:szCs w:val="20"/>
            </w:rPr>
            <w:t xml:space="preserve">Бул. </w:t>
          </w:r>
          <w:r w:rsidR="00F37C01" w:rsidRPr="00F37C01">
            <w:rPr>
              <w:sz w:val="20"/>
              <w:szCs w:val="20"/>
            </w:rPr>
            <w:t xml:space="preserve">Борис Трајковски, улица 7, број 9А </w:t>
          </w:r>
        </w:p>
        <w:p w:rsidR="00F37C01" w:rsidRPr="00F37C01" w:rsidRDefault="00F37C01" w:rsidP="00F37C01">
          <w:pPr>
            <w:pStyle w:val="Header"/>
            <w:jc w:val="right"/>
            <w:rPr>
              <w:sz w:val="20"/>
              <w:szCs w:val="20"/>
            </w:rPr>
          </w:pPr>
          <w:r w:rsidRPr="00F37C01">
            <w:rPr>
              <w:sz w:val="20"/>
              <w:szCs w:val="20"/>
            </w:rPr>
            <w:t>1000 Скопје, Македонија</w:t>
          </w:r>
        </w:p>
        <w:p w:rsidR="00F37C01" w:rsidRPr="00F37C01" w:rsidRDefault="00F37C01" w:rsidP="00F37C01">
          <w:pPr>
            <w:pStyle w:val="Header"/>
            <w:jc w:val="right"/>
            <w:rPr>
              <w:sz w:val="20"/>
              <w:szCs w:val="20"/>
            </w:rPr>
          </w:pPr>
          <w:r w:rsidRPr="00F37C01">
            <w:rPr>
              <w:sz w:val="20"/>
              <w:szCs w:val="20"/>
            </w:rPr>
            <w:t>тел: 02 2402 773</w:t>
          </w:r>
        </w:p>
        <w:p w:rsidR="00F37C01" w:rsidRPr="00F37C01" w:rsidRDefault="00F37C01" w:rsidP="00F37C01">
          <w:pPr>
            <w:pStyle w:val="Header"/>
            <w:jc w:val="right"/>
            <w:rPr>
              <w:sz w:val="20"/>
              <w:szCs w:val="20"/>
            </w:rPr>
          </w:pPr>
          <w:r w:rsidRPr="00F37C01">
            <w:rPr>
              <w:sz w:val="20"/>
              <w:szCs w:val="20"/>
            </w:rPr>
            <w:t>моб: 078 371 175</w:t>
          </w:r>
        </w:p>
        <w:p w:rsidR="00F37C01" w:rsidRPr="00F37C01" w:rsidRDefault="00DB4B53" w:rsidP="00F37C01">
          <w:pPr>
            <w:pStyle w:val="Header"/>
            <w:jc w:val="right"/>
            <w:rPr>
              <w:sz w:val="20"/>
              <w:szCs w:val="20"/>
            </w:rPr>
          </w:pPr>
          <w:r>
            <w:rPr>
              <w:sz w:val="20"/>
              <w:szCs w:val="20"/>
            </w:rPr>
            <w:t>contact@mes.org.</w:t>
          </w:r>
          <w:r w:rsidR="00F37C01" w:rsidRPr="00F37C01">
            <w:rPr>
              <w:sz w:val="20"/>
              <w:szCs w:val="20"/>
            </w:rPr>
            <w:t>mk</w:t>
          </w:r>
        </w:p>
        <w:p w:rsidR="00F37C01" w:rsidRPr="00F37C01" w:rsidRDefault="00F37C01" w:rsidP="00F37C01">
          <w:pPr>
            <w:pStyle w:val="Header"/>
            <w:jc w:val="right"/>
            <w:rPr>
              <w:sz w:val="20"/>
              <w:szCs w:val="20"/>
            </w:rPr>
          </w:pPr>
          <w:r w:rsidRPr="00F37C01">
            <w:rPr>
              <w:sz w:val="20"/>
              <w:szCs w:val="20"/>
            </w:rPr>
            <w:t>www.mes.org.mk</w:t>
          </w:r>
        </w:p>
      </w:tc>
    </w:tr>
  </w:tbl>
  <w:p w:rsidR="00F37C01" w:rsidRDefault="009B2D57">
    <w:pPr>
      <w:pStyle w:val="Header"/>
    </w:pPr>
    <w:r>
      <w:rPr>
        <w:noProof/>
        <w:lang w:val="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83" o:spid="_x0000_s2061" type="#_x0000_t75" style="position:absolute;margin-left:0;margin-top:0;width:732.15pt;height:798.15pt;z-index:-251656192;mso-position-horizontal:center;mso-position-horizontal-relative:margin;mso-position-vertical:center;mso-position-vertical-relative:margin" o:allowincell="f">
          <v:imagedata r:id="rId2" o:title="Asset 4"/>
          <w10:wrap anchorx="margin" anchory="margin"/>
        </v:shape>
      </w:pict>
    </w:r>
  </w:p>
  <w:tbl>
    <w:tblPr>
      <w:tblStyle w:val="TableGrid"/>
      <w:tblW w:w="1092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2"/>
    </w:tblGrid>
    <w:tr w:rsidR="00F37C01" w:rsidTr="00F37C01">
      <w:tc>
        <w:tcPr>
          <w:tcW w:w="10922" w:type="dxa"/>
        </w:tcPr>
        <w:p w:rsidR="00F37C01" w:rsidRDefault="00F37C01">
          <w:pPr>
            <w:pStyle w:val="Header"/>
          </w:pPr>
          <w:r>
            <w:rPr>
              <w:noProof/>
            </w:rPr>
            <w:drawing>
              <wp:inline distT="0" distB="0" distL="0" distR="0">
                <wp:extent cx="6739200" cy="5231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png"/>
                        <pic:cNvPicPr/>
                      </pic:nvPicPr>
                      <pic:blipFill>
                        <a:blip r:embed="rId3">
                          <a:extLst>
                            <a:ext uri="{28A0092B-C50C-407E-A947-70E740481C1C}">
                              <a14:useLocalDpi xmlns:a14="http://schemas.microsoft.com/office/drawing/2010/main" val="0"/>
                            </a:ext>
                          </a:extLst>
                        </a:blip>
                        <a:stretch>
                          <a:fillRect/>
                        </a:stretch>
                      </pic:blipFill>
                      <pic:spPr>
                        <a:xfrm flipV="1">
                          <a:off x="0" y="0"/>
                          <a:ext cx="37268410" cy="289301"/>
                        </a:xfrm>
                        <a:prstGeom prst="rect">
                          <a:avLst/>
                        </a:prstGeom>
                      </pic:spPr>
                    </pic:pic>
                  </a:graphicData>
                </a:graphic>
              </wp:inline>
            </w:drawing>
          </w:r>
        </w:p>
      </w:tc>
    </w:tr>
  </w:tbl>
  <w:p w:rsidR="00F37C01" w:rsidRDefault="00F37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F1" w:rsidRDefault="009B2D57">
    <w:pPr>
      <w:pStyle w:val="Header"/>
    </w:pPr>
    <w:r>
      <w:rPr>
        <w:noProof/>
        <w:lang w:val="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81" o:spid="_x0000_s2059" type="#_x0000_t75" style="position:absolute;margin-left:0;margin-top:0;width:732.15pt;height:798.15pt;z-index:-251658240;mso-position-horizontal:center;mso-position-horizontal-relative:margin;mso-position-vertical:center;mso-position-vertical-relative:margin" o:allowincell="f">
          <v:imagedata r:id="rId1" o:title="Asset 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7407F"/>
    <w:multiLevelType w:val="hybridMultilevel"/>
    <w:tmpl w:val="82824D00"/>
    <w:lvl w:ilvl="0" w:tplc="367A3D0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F500C80"/>
    <w:multiLevelType w:val="hybridMultilevel"/>
    <w:tmpl w:val="82824D00"/>
    <w:lvl w:ilvl="0" w:tplc="367A3D0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01"/>
    <w:rsid w:val="00384ED6"/>
    <w:rsid w:val="003A68AF"/>
    <w:rsid w:val="005317B2"/>
    <w:rsid w:val="00574123"/>
    <w:rsid w:val="005E5EF1"/>
    <w:rsid w:val="009B2D57"/>
    <w:rsid w:val="00B75A02"/>
    <w:rsid w:val="00D41FD7"/>
    <w:rsid w:val="00DB4B53"/>
    <w:rsid w:val="00F37C01"/>
    <w:rsid w:val="00F5089B"/>
    <w:rsid w:val="00FA5A7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chartTrackingRefBased/>
  <w15:docId w15:val="{63D01479-3C01-4F3A-A456-51CC38E4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ED6"/>
    <w:rPr>
      <w:rFonts w:ascii="Calibri" w:eastAsia="Calibri" w:hAnsi="Calibri" w:cs="Times New Roman"/>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01"/>
  </w:style>
  <w:style w:type="paragraph" w:styleId="Footer">
    <w:name w:val="footer"/>
    <w:basedOn w:val="Normal"/>
    <w:link w:val="FooterChar"/>
    <w:uiPriority w:val="99"/>
    <w:unhideWhenUsed/>
    <w:rsid w:val="00F3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01"/>
  </w:style>
  <w:style w:type="table" w:styleId="TableGrid">
    <w:name w:val="Table Grid"/>
    <w:basedOn w:val="TableNormal"/>
    <w:uiPriority w:val="39"/>
    <w:rsid w:val="00F3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ED6"/>
    <w:pPr>
      <w:ind w:left="720"/>
      <w:contextualSpacing/>
    </w:pPr>
  </w:style>
  <w:style w:type="paragraph" w:customStyle="1" w:styleId="naslov">
    <w:name w:val="naslov"/>
    <w:basedOn w:val="Normal"/>
    <w:next w:val="Normal"/>
    <w:rsid w:val="00384ED6"/>
    <w:pPr>
      <w:widowControl w:val="0"/>
      <w:suppressAutoHyphens/>
      <w:spacing w:before="480" w:after="480" w:line="240" w:lineRule="auto"/>
      <w:jc w:val="center"/>
    </w:pPr>
    <w:rPr>
      <w:rFonts w:ascii="Arial" w:eastAsia="Arial Unicode MS" w:hAnsi="Arial" w:cs="Arial"/>
      <w:color w:val="auto"/>
      <w:spacing w:val="6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90221">
      <w:bodyDiv w:val="1"/>
      <w:marLeft w:val="0"/>
      <w:marRight w:val="0"/>
      <w:marTop w:val="0"/>
      <w:marBottom w:val="0"/>
      <w:divBdr>
        <w:top w:val="none" w:sz="0" w:space="0" w:color="auto"/>
        <w:left w:val="none" w:sz="0" w:space="0" w:color="auto"/>
        <w:bottom w:val="none" w:sz="0" w:space="0" w:color="auto"/>
        <w:right w:val="none" w:sz="0" w:space="0" w:color="auto"/>
      </w:divBdr>
      <w:divsChild>
        <w:div w:id="118740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73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37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7CD3-30C5-401A-B6E8-9986703F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Pucho Mihailov</dc:creator>
  <cp:keywords/>
  <dc:description/>
  <cp:lastModifiedBy>Mes-15</cp:lastModifiedBy>
  <cp:revision>5</cp:revision>
  <dcterms:created xsi:type="dcterms:W3CDTF">2018-03-29T20:32:00Z</dcterms:created>
  <dcterms:modified xsi:type="dcterms:W3CDTF">2018-11-27T14:31:00Z</dcterms:modified>
</cp:coreProperties>
</file>