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CB" w:rsidRPr="00EE605E" w:rsidRDefault="005242DA" w:rsidP="005242DA">
      <w:pPr>
        <w:jc w:val="center"/>
        <w:rPr>
          <w:rFonts w:ascii="Calibri" w:hAnsi="Calibri"/>
          <w:b/>
          <w:lang w:val="en-US"/>
        </w:rPr>
      </w:pPr>
      <w:r w:rsidRPr="00EE605E">
        <w:rPr>
          <w:rFonts w:ascii="Calibri" w:hAnsi="Calibri"/>
          <w:b/>
        </w:rPr>
        <w:t>АМАНДМАН</w:t>
      </w:r>
    </w:p>
    <w:p w:rsidR="004A0FE5" w:rsidRPr="004A0FE5" w:rsidRDefault="004A0FE5" w:rsidP="005242DA">
      <w:pPr>
        <w:jc w:val="center"/>
        <w:rPr>
          <w:b/>
          <w:sz w:val="24"/>
          <w:szCs w:val="24"/>
          <w:lang w:val="en-US"/>
        </w:rPr>
      </w:pPr>
    </w:p>
    <w:p w:rsidR="005242DA" w:rsidRPr="005D4721" w:rsidRDefault="005242DA" w:rsidP="005242DA">
      <w:pPr>
        <w:pStyle w:val="ListParagraph"/>
        <w:numPr>
          <w:ilvl w:val="0"/>
          <w:numId w:val="1"/>
        </w:numPr>
        <w:suppressAutoHyphens w:val="0"/>
        <w:spacing w:after="200" w:line="276" w:lineRule="auto"/>
        <w:rPr>
          <w:rFonts w:ascii="Calibri" w:hAnsi="Calibri"/>
          <w:sz w:val="22"/>
          <w:szCs w:val="22"/>
        </w:rPr>
      </w:pPr>
      <w:r w:rsidRPr="00E350B5">
        <w:rPr>
          <w:rFonts w:ascii="Calibri" w:hAnsi="Calibri"/>
          <w:b/>
          <w:sz w:val="22"/>
          <w:szCs w:val="22"/>
          <w:lang w:val="mk-MK"/>
        </w:rPr>
        <w:t>Во членот 15</w:t>
      </w:r>
      <w:r w:rsidRPr="005D4721">
        <w:rPr>
          <w:rFonts w:ascii="Calibri" w:hAnsi="Calibri"/>
          <w:sz w:val="22"/>
          <w:szCs w:val="22"/>
          <w:lang w:val="mk-MK"/>
        </w:rPr>
        <w:t xml:space="preserve"> од </w:t>
      </w:r>
      <w:r>
        <w:rPr>
          <w:rFonts w:ascii="Calibri" w:hAnsi="Calibri"/>
          <w:sz w:val="22"/>
          <w:szCs w:val="22"/>
          <w:lang w:val="mk-MK"/>
        </w:rPr>
        <w:t xml:space="preserve"> предлог</w:t>
      </w:r>
      <w:r w:rsidRPr="005D4721">
        <w:rPr>
          <w:rFonts w:ascii="Calibri" w:hAnsi="Calibri"/>
          <w:sz w:val="22"/>
          <w:szCs w:val="22"/>
          <w:lang w:val="mk-MK"/>
        </w:rPr>
        <w:t xml:space="preserve">-законот, после ставот (5) се додава нов став (6) кој гласи: </w:t>
      </w:r>
    </w:p>
    <w:p w:rsidR="005242DA" w:rsidRPr="00E350B5" w:rsidRDefault="005242DA" w:rsidP="005242DA">
      <w:pPr>
        <w:ind w:left="720"/>
        <w:jc w:val="both"/>
        <w:rPr>
          <w:rFonts w:ascii="Calibri" w:hAnsi="Calibri"/>
          <w:lang w:eastAsia="mk-MK"/>
        </w:rPr>
      </w:pPr>
      <w:r w:rsidRPr="00E350B5">
        <w:rPr>
          <w:rFonts w:ascii="Calibri" w:hAnsi="Calibri"/>
          <w:u w:val="single"/>
          <w:lang w:eastAsia="mk-MK"/>
        </w:rPr>
        <w:t xml:space="preserve">За целите на постапките од Оддел 3 од овој закон </w:t>
      </w:r>
      <w:r w:rsidRPr="00E350B5">
        <w:rPr>
          <w:rFonts w:ascii="Calibri" w:hAnsi="Calibri"/>
          <w:bCs/>
          <w:u w:val="single"/>
          <w:lang w:eastAsia="mk-MK"/>
        </w:rPr>
        <w:t>не смеат да се користат следните видови животни:</w:t>
      </w:r>
    </w:p>
    <w:p w:rsidR="005242DA" w:rsidRPr="00E350B5" w:rsidRDefault="005242DA" w:rsidP="00D71C4C">
      <w:pPr>
        <w:spacing w:after="0" w:line="260" w:lineRule="atLeast"/>
        <w:ind w:left="720"/>
        <w:jc w:val="both"/>
        <w:rPr>
          <w:rFonts w:ascii="Calibri" w:hAnsi="Calibri"/>
          <w:lang w:eastAsia="mk-MK"/>
        </w:rPr>
      </w:pPr>
      <w:r w:rsidRPr="00E350B5">
        <w:rPr>
          <w:rFonts w:ascii="Calibri" w:hAnsi="Calibri"/>
          <w:lang w:eastAsia="mk-MK"/>
        </w:rPr>
        <w:t>1)    загрозени видови согласно законoдавството на Република Македонија и меѓународоното право за заштита на видови од дивата фауна;</w:t>
      </w:r>
    </w:p>
    <w:p w:rsidR="005242DA" w:rsidRPr="00E350B5" w:rsidRDefault="005242DA" w:rsidP="00D71C4C">
      <w:pPr>
        <w:spacing w:after="0" w:line="260" w:lineRule="atLeast"/>
        <w:ind w:left="720"/>
        <w:rPr>
          <w:rFonts w:ascii="Calibri" w:hAnsi="Calibri"/>
          <w:lang w:eastAsia="mk-MK"/>
        </w:rPr>
      </w:pPr>
      <w:r w:rsidRPr="00E350B5">
        <w:rPr>
          <w:rFonts w:ascii="Calibri" w:hAnsi="Calibri"/>
          <w:lang w:eastAsia="mk-MK"/>
        </w:rPr>
        <w:t>2)   не-човеколики примати;</w:t>
      </w:r>
    </w:p>
    <w:p w:rsidR="005242DA" w:rsidRPr="00E350B5" w:rsidRDefault="005242DA" w:rsidP="00D71C4C">
      <w:pPr>
        <w:spacing w:after="0" w:line="260" w:lineRule="atLeast"/>
        <w:ind w:left="720"/>
        <w:rPr>
          <w:rFonts w:ascii="Calibri" w:hAnsi="Calibri"/>
          <w:lang w:eastAsia="mk-MK"/>
        </w:rPr>
      </w:pPr>
      <w:r w:rsidRPr="00E350B5">
        <w:rPr>
          <w:rFonts w:ascii="Calibri" w:hAnsi="Calibri"/>
          <w:lang w:eastAsia="mk-MK"/>
        </w:rPr>
        <w:t>3)   човеколики примати;</w:t>
      </w:r>
    </w:p>
    <w:p w:rsidR="005242DA" w:rsidRPr="00E350B5" w:rsidRDefault="005242DA" w:rsidP="00D71C4C">
      <w:pPr>
        <w:spacing w:after="0" w:line="260" w:lineRule="atLeast"/>
        <w:ind w:left="720"/>
        <w:rPr>
          <w:rFonts w:ascii="Calibri" w:hAnsi="Calibri"/>
          <w:lang w:eastAsia="mk-MK"/>
        </w:rPr>
      </w:pPr>
      <w:r w:rsidRPr="00E350B5">
        <w:rPr>
          <w:rFonts w:ascii="Calibri" w:hAnsi="Calibri"/>
          <w:lang w:eastAsia="mk-MK"/>
        </w:rPr>
        <w:t xml:space="preserve">4)   животни земени од дивината </w:t>
      </w:r>
    </w:p>
    <w:p w:rsidR="005242DA" w:rsidRPr="00E350B5" w:rsidRDefault="005242DA" w:rsidP="00D71C4C">
      <w:pPr>
        <w:spacing w:after="0" w:line="260" w:lineRule="atLeast"/>
        <w:ind w:left="720"/>
        <w:rPr>
          <w:rFonts w:ascii="Calibri" w:hAnsi="Calibri"/>
          <w:lang w:eastAsia="mk-MK"/>
        </w:rPr>
      </w:pPr>
      <w:r w:rsidRPr="00E350B5">
        <w:rPr>
          <w:rFonts w:ascii="Calibri" w:hAnsi="Calibri"/>
          <w:lang w:eastAsia="mk-MK"/>
        </w:rPr>
        <w:t xml:space="preserve">5)   животни скитници (бездомни животни)  и </w:t>
      </w:r>
    </w:p>
    <w:p w:rsidR="005242DA" w:rsidRPr="00E350B5" w:rsidRDefault="005242DA" w:rsidP="00D71C4C">
      <w:pPr>
        <w:spacing w:after="0" w:line="260" w:lineRule="atLeast"/>
        <w:ind w:left="720"/>
        <w:rPr>
          <w:rFonts w:ascii="Calibri" w:hAnsi="Calibri"/>
          <w:lang w:eastAsia="mk-MK"/>
        </w:rPr>
      </w:pPr>
      <w:r w:rsidRPr="00E350B5">
        <w:rPr>
          <w:rFonts w:ascii="Calibri" w:hAnsi="Calibri"/>
          <w:lang w:eastAsia="mk-MK"/>
        </w:rPr>
        <w:t xml:space="preserve"> 6) животни кои припаѓаат на видови домашни животни</w:t>
      </w:r>
    </w:p>
    <w:p w:rsidR="005242DA" w:rsidRDefault="005242DA" w:rsidP="00D71C4C">
      <w:pPr>
        <w:rPr>
          <w:b/>
          <w:sz w:val="24"/>
          <w:szCs w:val="24"/>
        </w:rPr>
      </w:pPr>
    </w:p>
    <w:p w:rsidR="00E350B5" w:rsidRPr="004A0FE5" w:rsidRDefault="00E350B5" w:rsidP="00EE605E">
      <w:pPr>
        <w:pStyle w:val="ListParagraph"/>
        <w:numPr>
          <w:ilvl w:val="0"/>
          <w:numId w:val="2"/>
        </w:numPr>
        <w:suppressAutoHyphens w:val="0"/>
        <w:jc w:val="both"/>
        <w:rPr>
          <w:rFonts w:ascii="Calibri" w:hAnsi="Calibri"/>
          <w:sz w:val="22"/>
          <w:szCs w:val="22"/>
          <w:lang w:val="mk-MK"/>
        </w:rPr>
      </w:pPr>
      <w:r w:rsidRPr="00E350B5">
        <w:rPr>
          <w:rFonts w:ascii="Calibri" w:hAnsi="Calibri"/>
          <w:b/>
          <w:sz w:val="22"/>
          <w:szCs w:val="22"/>
          <w:lang w:val="mk-MK"/>
        </w:rPr>
        <w:t>Во член</w:t>
      </w:r>
      <w:r w:rsidRPr="00E350B5">
        <w:rPr>
          <w:rFonts w:ascii="Calibri" w:hAnsi="Calibri"/>
          <w:b/>
          <w:sz w:val="22"/>
          <w:szCs w:val="22"/>
          <w:lang w:val="en-US"/>
        </w:rPr>
        <w:t xml:space="preserve"> </w:t>
      </w:r>
      <w:r w:rsidRPr="00E350B5">
        <w:rPr>
          <w:rFonts w:ascii="Calibri" w:hAnsi="Calibri"/>
          <w:b/>
          <w:sz w:val="22"/>
          <w:szCs w:val="22"/>
          <w:lang w:val="mk-MK"/>
        </w:rPr>
        <w:t xml:space="preserve">19 ст.1 т.2 </w:t>
      </w:r>
      <w:r w:rsidRPr="005D4721">
        <w:rPr>
          <w:rFonts w:ascii="Calibri" w:hAnsi="Calibri"/>
          <w:sz w:val="22"/>
          <w:szCs w:val="22"/>
          <w:lang w:val="mk-MK"/>
        </w:rPr>
        <w:t xml:space="preserve">од </w:t>
      </w:r>
      <w:r>
        <w:rPr>
          <w:rFonts w:ascii="Calibri" w:hAnsi="Calibri"/>
          <w:sz w:val="22"/>
          <w:szCs w:val="22"/>
          <w:lang w:val="mk-MK"/>
        </w:rPr>
        <w:t xml:space="preserve"> предлог</w:t>
      </w:r>
      <w:r w:rsidRPr="005D4721">
        <w:rPr>
          <w:rFonts w:ascii="Calibri" w:hAnsi="Calibri"/>
          <w:sz w:val="22"/>
          <w:szCs w:val="22"/>
          <w:lang w:val="mk-MK"/>
        </w:rPr>
        <w:t xml:space="preserve">-законот за заштита и благосостојба на животните  по зборот </w:t>
      </w:r>
      <w:r w:rsidRPr="005D4721">
        <w:rPr>
          <w:rFonts w:ascii="Calibri" w:hAnsi="Calibri"/>
          <w:sz w:val="22"/>
          <w:szCs w:val="22"/>
        </w:rPr>
        <w:t>“</w:t>
      </w:r>
      <w:r w:rsidRPr="005D4721">
        <w:rPr>
          <w:rFonts w:ascii="Calibri" w:hAnsi="Calibri"/>
          <w:sz w:val="22"/>
          <w:szCs w:val="22"/>
          <w:lang w:val="mk-MK"/>
        </w:rPr>
        <w:t>животни</w:t>
      </w:r>
      <w:r w:rsidRPr="005D4721">
        <w:rPr>
          <w:rFonts w:ascii="Calibri" w:hAnsi="Calibri"/>
          <w:sz w:val="22"/>
          <w:szCs w:val="22"/>
        </w:rPr>
        <w:t>”</w:t>
      </w:r>
      <w:r w:rsidRPr="005D4721">
        <w:rPr>
          <w:rFonts w:ascii="Calibri" w:hAnsi="Calibri"/>
          <w:sz w:val="22"/>
          <w:szCs w:val="22"/>
          <w:lang w:val="mk-MK"/>
        </w:rPr>
        <w:t xml:space="preserve"> се додаваат зборовите</w:t>
      </w:r>
      <w:r w:rsidR="004A0FE5">
        <w:rPr>
          <w:rFonts w:ascii="Calibri" w:hAnsi="Calibri"/>
          <w:sz w:val="22"/>
          <w:szCs w:val="22"/>
          <w:lang w:val="mk-MK"/>
        </w:rPr>
        <w:t>:</w:t>
      </w:r>
    </w:p>
    <w:p w:rsidR="004A0FE5" w:rsidRPr="005D4721" w:rsidRDefault="004A0FE5" w:rsidP="00EE605E">
      <w:pPr>
        <w:pStyle w:val="ListParagraph"/>
        <w:suppressAutoHyphens w:val="0"/>
        <w:jc w:val="both"/>
        <w:rPr>
          <w:rFonts w:ascii="Calibri" w:hAnsi="Calibri"/>
          <w:sz w:val="22"/>
          <w:szCs w:val="22"/>
          <w:lang w:val="mk-MK"/>
        </w:rPr>
      </w:pPr>
    </w:p>
    <w:p w:rsidR="00E350B5" w:rsidRPr="004A0FE5" w:rsidRDefault="00E350B5" w:rsidP="00EE605E">
      <w:pPr>
        <w:pStyle w:val="ListParagraph"/>
        <w:jc w:val="both"/>
        <w:rPr>
          <w:rFonts w:ascii="Calibri" w:hAnsi="Calibri"/>
          <w:sz w:val="22"/>
          <w:szCs w:val="22"/>
        </w:rPr>
      </w:pPr>
      <w:r w:rsidRPr="004A0FE5">
        <w:rPr>
          <w:rFonts w:ascii="Calibri" w:hAnsi="Calibri"/>
          <w:sz w:val="22"/>
          <w:szCs w:val="22"/>
        </w:rPr>
        <w:t>“</w:t>
      </w:r>
      <w:r w:rsidRPr="004A0FE5">
        <w:rPr>
          <w:rFonts w:ascii="Calibri" w:hAnsi="Calibri"/>
          <w:sz w:val="22"/>
          <w:szCs w:val="22"/>
          <w:lang w:val="mk-MK"/>
        </w:rPr>
        <w:t>односно</w:t>
      </w:r>
      <w:r w:rsidRPr="004A0FE5">
        <w:rPr>
          <w:rFonts w:ascii="Calibri" w:hAnsi="Calibri"/>
          <w:sz w:val="22"/>
          <w:szCs w:val="22"/>
        </w:rPr>
        <w:t xml:space="preserve"> за истата не постои алтернативна и научно призната постапка во интернационални рамки, која ги исклучува експериментите врз животни”</w:t>
      </w:r>
    </w:p>
    <w:p w:rsidR="00E350B5" w:rsidRPr="0050624F" w:rsidRDefault="00E350B5" w:rsidP="00EE605E">
      <w:pPr>
        <w:spacing w:line="240" w:lineRule="auto"/>
        <w:jc w:val="both"/>
        <w:rPr>
          <w:rFonts w:ascii="Calibri" w:hAnsi="Calibri"/>
          <w:b/>
        </w:rPr>
      </w:pPr>
    </w:p>
    <w:p w:rsidR="00E350B5" w:rsidRDefault="00E350B5" w:rsidP="00EE605E">
      <w:pPr>
        <w:pStyle w:val="ListParagraph"/>
        <w:ind w:left="426"/>
        <w:jc w:val="both"/>
        <w:rPr>
          <w:rFonts w:ascii="Calibri" w:hAnsi="Calibri"/>
          <w:sz w:val="22"/>
          <w:szCs w:val="22"/>
        </w:rPr>
      </w:pPr>
      <w:r w:rsidRPr="00E350B5">
        <w:rPr>
          <w:rStyle w:val="hps"/>
          <w:rFonts w:ascii="Calibri" w:hAnsi="Calibri"/>
          <w:b/>
        </w:rPr>
        <w:t xml:space="preserve">≥  </w:t>
      </w:r>
      <w:r w:rsidRPr="00E350B5">
        <w:rPr>
          <w:rFonts w:ascii="Calibri" w:hAnsi="Calibri"/>
          <w:b/>
          <w:sz w:val="22"/>
          <w:szCs w:val="22"/>
          <w:lang w:val="mk-MK"/>
        </w:rPr>
        <w:t>После членот 24</w:t>
      </w:r>
      <w:r w:rsidRPr="005D4721">
        <w:rPr>
          <w:rFonts w:ascii="Calibri" w:hAnsi="Calibri"/>
          <w:sz w:val="22"/>
          <w:szCs w:val="22"/>
          <w:lang w:val="mk-MK"/>
        </w:rPr>
        <w:t xml:space="preserve"> од </w:t>
      </w:r>
      <w:r>
        <w:rPr>
          <w:rFonts w:ascii="Calibri" w:hAnsi="Calibri"/>
          <w:sz w:val="22"/>
          <w:szCs w:val="22"/>
          <w:lang w:val="mk-MK"/>
        </w:rPr>
        <w:t xml:space="preserve"> предлог</w:t>
      </w:r>
      <w:r w:rsidRPr="005D4721">
        <w:rPr>
          <w:rFonts w:ascii="Calibri" w:hAnsi="Calibri"/>
          <w:sz w:val="22"/>
          <w:szCs w:val="22"/>
          <w:lang w:val="mk-MK"/>
        </w:rPr>
        <w:t xml:space="preserve">-законот се додава нов член </w:t>
      </w:r>
      <w:r w:rsidRPr="004A0FE5">
        <w:rPr>
          <w:rFonts w:ascii="Calibri" w:hAnsi="Calibri"/>
          <w:b/>
          <w:sz w:val="22"/>
          <w:szCs w:val="22"/>
          <w:lang w:val="mk-MK"/>
        </w:rPr>
        <w:t>24 а</w:t>
      </w:r>
      <w:r w:rsidRPr="005D4721">
        <w:rPr>
          <w:rFonts w:ascii="Calibri" w:hAnsi="Calibri"/>
          <w:sz w:val="22"/>
          <w:szCs w:val="22"/>
          <w:lang w:val="mk-MK"/>
        </w:rPr>
        <w:t xml:space="preserve"> кој гласи</w:t>
      </w:r>
      <w:r w:rsidRPr="005D4721">
        <w:rPr>
          <w:rFonts w:ascii="Calibri" w:hAnsi="Calibri"/>
          <w:sz w:val="22"/>
          <w:szCs w:val="22"/>
        </w:rPr>
        <w:t>:</w:t>
      </w:r>
    </w:p>
    <w:p w:rsidR="004A0FE5" w:rsidRPr="00D71C4C" w:rsidRDefault="004A0FE5" w:rsidP="00EE605E">
      <w:pPr>
        <w:pStyle w:val="ListParagraph"/>
        <w:ind w:left="426"/>
        <w:jc w:val="both"/>
        <w:rPr>
          <w:rStyle w:val="hps"/>
          <w:rFonts w:ascii="Calibri" w:hAnsi="Calibri"/>
          <w:sz w:val="22"/>
          <w:szCs w:val="22"/>
          <w:lang w:val="mk-MK"/>
        </w:rPr>
      </w:pPr>
    </w:p>
    <w:p w:rsidR="00E350B5" w:rsidRPr="00E350B5" w:rsidRDefault="00E350B5" w:rsidP="00EE605E">
      <w:pPr>
        <w:spacing w:line="240" w:lineRule="auto"/>
        <w:ind w:left="426"/>
        <w:jc w:val="both"/>
        <w:rPr>
          <w:rStyle w:val="hps"/>
          <w:rFonts w:ascii="Calibri" w:hAnsi="Calibri"/>
        </w:rPr>
      </w:pPr>
      <w:r w:rsidRPr="00E350B5">
        <w:rPr>
          <w:rStyle w:val="hps"/>
          <w:rFonts w:ascii="Calibri" w:hAnsi="Calibri"/>
        </w:rPr>
        <w:t>(1)</w:t>
      </w:r>
      <w:r w:rsidR="004A0FE5">
        <w:rPr>
          <w:rStyle w:val="hps"/>
          <w:rFonts w:ascii="Calibri" w:hAnsi="Calibri"/>
          <w:lang w:val="en-US"/>
        </w:rPr>
        <w:t xml:space="preserve"> </w:t>
      </w:r>
      <w:r w:rsidRPr="00E350B5">
        <w:rPr>
          <w:rStyle w:val="hps"/>
          <w:rFonts w:ascii="Calibri" w:eastAsia="Calibri" w:hAnsi="Calibri"/>
        </w:rPr>
        <w:t>Се воведува обврска</w:t>
      </w:r>
      <w:r w:rsidRPr="00E350B5">
        <w:rPr>
          <w:rFonts w:ascii="Calibri" w:eastAsia="Calibri" w:hAnsi="Calibri"/>
        </w:rPr>
        <w:t xml:space="preserve"> </w:t>
      </w:r>
      <w:r w:rsidRPr="00E350B5">
        <w:rPr>
          <w:rStyle w:val="hps"/>
          <w:rFonts w:ascii="Calibri" w:eastAsia="Calibri" w:hAnsi="Calibri"/>
        </w:rPr>
        <w:t>за финансирање на</w:t>
      </w:r>
      <w:r w:rsidRPr="00E350B5">
        <w:rPr>
          <w:rFonts w:ascii="Calibri" w:eastAsia="Calibri" w:hAnsi="Calibri"/>
        </w:rPr>
        <w:t xml:space="preserve"> </w:t>
      </w:r>
      <w:r w:rsidRPr="00E350B5">
        <w:rPr>
          <w:rStyle w:val="hps"/>
          <w:rFonts w:ascii="Calibri" w:eastAsia="Calibri" w:hAnsi="Calibri"/>
        </w:rPr>
        <w:t>развојот на</w:t>
      </w:r>
      <w:r w:rsidRPr="00E350B5">
        <w:rPr>
          <w:rFonts w:ascii="Calibri" w:eastAsia="Calibri" w:hAnsi="Calibri"/>
        </w:rPr>
        <w:t xml:space="preserve"> </w:t>
      </w:r>
      <w:r w:rsidRPr="00E350B5">
        <w:rPr>
          <w:rStyle w:val="hps"/>
          <w:rFonts w:ascii="Calibri" w:eastAsia="Calibri" w:hAnsi="Calibri"/>
        </w:rPr>
        <w:t>алтернативни методи</w:t>
      </w:r>
      <w:r w:rsidRPr="00E350B5">
        <w:rPr>
          <w:rFonts w:ascii="Calibri" w:eastAsia="Calibri" w:hAnsi="Calibri"/>
        </w:rPr>
        <w:t xml:space="preserve"> </w:t>
      </w:r>
      <w:r w:rsidRPr="00E350B5">
        <w:rPr>
          <w:rStyle w:val="hps"/>
          <w:rFonts w:ascii="Calibri" w:eastAsia="Calibri" w:hAnsi="Calibri"/>
        </w:rPr>
        <w:t>со процент</w:t>
      </w:r>
      <w:r w:rsidRPr="00E350B5">
        <w:rPr>
          <w:rFonts w:ascii="Calibri" w:eastAsia="Calibri" w:hAnsi="Calibri"/>
        </w:rPr>
        <w:t xml:space="preserve"> </w:t>
      </w:r>
      <w:r w:rsidRPr="00E350B5">
        <w:rPr>
          <w:rStyle w:val="hps"/>
          <w:rFonts w:ascii="Calibri" w:eastAsia="Calibri" w:hAnsi="Calibri"/>
        </w:rPr>
        <w:t>повисок</w:t>
      </w:r>
      <w:r w:rsidRPr="00E350B5">
        <w:rPr>
          <w:rFonts w:ascii="Calibri" w:eastAsia="Calibri" w:hAnsi="Calibri"/>
        </w:rPr>
        <w:t xml:space="preserve"> </w:t>
      </w:r>
      <w:r w:rsidRPr="00E350B5">
        <w:rPr>
          <w:rStyle w:val="hps"/>
          <w:rFonts w:ascii="Calibri" w:eastAsia="Calibri" w:hAnsi="Calibri"/>
        </w:rPr>
        <w:t>од 50% од</w:t>
      </w:r>
      <w:r w:rsidRPr="00E350B5">
        <w:rPr>
          <w:rFonts w:ascii="Calibri" w:eastAsia="Calibri" w:hAnsi="Calibri"/>
        </w:rPr>
        <w:t xml:space="preserve"> </w:t>
      </w:r>
      <w:r w:rsidRPr="00E350B5">
        <w:rPr>
          <w:rStyle w:val="hps"/>
          <w:rFonts w:ascii="Calibri" w:eastAsia="Calibri" w:hAnsi="Calibri"/>
        </w:rPr>
        <w:t>вкупниот износ</w:t>
      </w:r>
      <w:r w:rsidRPr="00E350B5">
        <w:rPr>
          <w:rFonts w:ascii="Calibri" w:eastAsia="Calibri" w:hAnsi="Calibri"/>
        </w:rPr>
        <w:t xml:space="preserve"> </w:t>
      </w:r>
      <w:r w:rsidRPr="00E350B5">
        <w:rPr>
          <w:rStyle w:val="hps"/>
          <w:rFonts w:ascii="Calibri" w:eastAsia="Calibri" w:hAnsi="Calibri"/>
        </w:rPr>
        <w:t>наменет за</w:t>
      </w:r>
      <w:r w:rsidRPr="00E350B5">
        <w:rPr>
          <w:rFonts w:ascii="Calibri" w:eastAsia="Calibri" w:hAnsi="Calibri"/>
        </w:rPr>
        <w:t xml:space="preserve"> </w:t>
      </w:r>
      <w:r w:rsidRPr="00E350B5">
        <w:rPr>
          <w:rStyle w:val="hps"/>
          <w:rFonts w:ascii="Calibri" w:eastAsia="Calibri" w:hAnsi="Calibri"/>
        </w:rPr>
        <w:t>научни истражувања</w:t>
      </w:r>
      <w:r w:rsidRPr="00E350B5">
        <w:rPr>
          <w:rFonts w:ascii="Calibri" w:eastAsia="Calibri" w:hAnsi="Calibri"/>
        </w:rPr>
        <w:t xml:space="preserve"> </w:t>
      </w:r>
      <w:r w:rsidRPr="00E350B5">
        <w:rPr>
          <w:rStyle w:val="hps"/>
          <w:rFonts w:ascii="Calibri" w:eastAsia="Calibri" w:hAnsi="Calibri"/>
        </w:rPr>
        <w:t>во Република</w:t>
      </w:r>
      <w:r w:rsidRPr="00E350B5">
        <w:rPr>
          <w:rFonts w:ascii="Calibri" w:eastAsia="Calibri" w:hAnsi="Calibri"/>
        </w:rPr>
        <w:t xml:space="preserve"> </w:t>
      </w:r>
      <w:r w:rsidRPr="00E350B5">
        <w:rPr>
          <w:rStyle w:val="hps"/>
          <w:rFonts w:ascii="Calibri" w:eastAsia="Calibri" w:hAnsi="Calibri"/>
        </w:rPr>
        <w:t>Македонија;</w:t>
      </w:r>
      <w:r w:rsidRPr="00E350B5">
        <w:rPr>
          <w:rStyle w:val="hps"/>
          <w:rFonts w:ascii="Calibri" w:hAnsi="Calibri"/>
        </w:rPr>
        <w:t xml:space="preserve"> </w:t>
      </w:r>
    </w:p>
    <w:p w:rsidR="00E350B5" w:rsidRDefault="00E350B5" w:rsidP="00E350B5">
      <w:pPr>
        <w:rPr>
          <w:b/>
          <w:sz w:val="24"/>
          <w:szCs w:val="24"/>
        </w:rPr>
      </w:pPr>
      <w:r>
        <w:rPr>
          <w:b/>
          <w:sz w:val="24"/>
          <w:szCs w:val="24"/>
        </w:rPr>
        <w:t>________</w:t>
      </w:r>
      <w:r w:rsidR="00EF7921">
        <w:rPr>
          <w:rStyle w:val="FootnoteReference"/>
          <w:b/>
          <w:sz w:val="24"/>
          <w:szCs w:val="24"/>
        </w:rPr>
        <w:footnoteReference w:id="2"/>
      </w:r>
    </w:p>
    <w:p w:rsidR="00EF7921" w:rsidRPr="00D71C4C" w:rsidRDefault="00E350B5" w:rsidP="00EE605E">
      <w:pPr>
        <w:spacing w:line="240" w:lineRule="auto"/>
        <w:jc w:val="both"/>
        <w:rPr>
          <w:rFonts w:ascii="Calibri" w:hAnsi="Calibri" w:cs="Times New Roman"/>
          <w:b/>
        </w:rPr>
      </w:pPr>
      <w:r w:rsidRPr="00E637DD">
        <w:rPr>
          <w:rStyle w:val="hps"/>
          <w:rFonts w:ascii="Calibri" w:hAnsi="Calibri"/>
          <w:b/>
        </w:rPr>
        <w:lastRenderedPageBreak/>
        <w:t>Појаснувања:</w:t>
      </w:r>
    </w:p>
    <w:p w:rsidR="00EF7921" w:rsidRDefault="00E350B5" w:rsidP="00EE605E">
      <w:pPr>
        <w:spacing w:line="240" w:lineRule="auto"/>
        <w:jc w:val="both"/>
        <w:rPr>
          <w:rFonts w:ascii="Calibri" w:hAnsi="Calibri"/>
        </w:rPr>
      </w:pPr>
      <w:r w:rsidRPr="005D4721">
        <w:rPr>
          <w:rFonts w:ascii="Calibri" w:hAnsi="Calibri"/>
        </w:rPr>
        <w:t xml:space="preserve"> </w:t>
      </w:r>
      <w:r w:rsidR="00D71C4C">
        <w:rPr>
          <w:rFonts w:ascii="Calibri" w:hAnsi="Calibri"/>
        </w:rPr>
        <w:t>П</w:t>
      </w:r>
      <w:r w:rsidR="00D71C4C" w:rsidRPr="005D4721">
        <w:rPr>
          <w:rFonts w:ascii="Calibri" w:hAnsi="Calibri"/>
        </w:rPr>
        <w:t>остои широко распространета етичка загриженост во врска со експериментирањето врз животни т.е. употребата на животни во експериментални постапки</w:t>
      </w:r>
      <w:r w:rsidR="00D71C4C">
        <w:rPr>
          <w:rFonts w:ascii="Calibri" w:hAnsi="Calibri"/>
        </w:rPr>
        <w:t>.</w:t>
      </w:r>
      <w:r w:rsidR="00D71C4C" w:rsidRPr="005D4721">
        <w:rPr>
          <w:rFonts w:ascii="Calibri" w:hAnsi="Calibri"/>
        </w:rPr>
        <w:t xml:space="preserve"> </w:t>
      </w:r>
      <w:r w:rsidRPr="005D4721">
        <w:rPr>
          <w:rFonts w:ascii="Calibri" w:hAnsi="Calibri"/>
        </w:rPr>
        <w:t xml:space="preserve">Во член 13  на прочистената верзија од Договорот за Европската унија и Договорот за функционирање на Европската Унија се наведува дека животните се чувствителни битија, поради што ЕУ и државите-членки посветуваат големо внимание на благосостојбата на животните.  Во директивата број 63/2010/EU стои дека животните имаат сами по себе вредност која мора да се почитува. </w:t>
      </w:r>
    </w:p>
    <w:p w:rsidR="00E350B5" w:rsidRPr="005D4721" w:rsidRDefault="00E350B5" w:rsidP="00EE605E">
      <w:pPr>
        <w:spacing w:line="240" w:lineRule="auto"/>
        <w:jc w:val="both"/>
        <w:rPr>
          <w:rFonts w:ascii="Calibri" w:hAnsi="Calibri"/>
        </w:rPr>
      </w:pPr>
      <w:r w:rsidRPr="00F7539F">
        <w:rPr>
          <w:rFonts w:ascii="Calibri" w:hAnsi="Calibri"/>
          <w:b/>
        </w:rPr>
        <w:t>Директивата 63/2010/EU која земјите-членки треба да ја имплементираат во нивното национално законодавсто,  не дозволува спроведување на експерименти врз напуштени и диви животни, освен во строго дефинирани случаи. Затоа е важно, со  Законот за заштита и благосостојба на животните да се забрани експериментирање  врз напуштени и диви животни, со што, кај непостоечките или недоволно прецизните одредби нема да има простор за двосмислено толкување и злоупотреба</w:t>
      </w:r>
      <w:r w:rsidRPr="00F7539F">
        <w:rPr>
          <w:rFonts w:ascii="Calibri" w:hAnsi="Calibri"/>
        </w:rPr>
        <w:t>.</w:t>
      </w:r>
      <w:r w:rsidRPr="005D4721">
        <w:rPr>
          <w:rFonts w:ascii="Calibri" w:hAnsi="Calibri"/>
        </w:rPr>
        <w:t xml:space="preserve"> Законот за заштита на животните нема одредби за регулирање на спроведување на експерименти на примати и напуштени животни и диви животни (освен за производство на биолошки препарати</w:t>
      </w:r>
      <w:r w:rsidRPr="005D4721">
        <w:rPr>
          <w:rFonts w:ascii="Calibri" w:hAnsi="Calibri"/>
          <w:b/>
        </w:rPr>
        <w:t>).</w:t>
      </w:r>
    </w:p>
    <w:p w:rsidR="00E350B5" w:rsidRPr="005D4721" w:rsidRDefault="00D71C4C" w:rsidP="00EE605E">
      <w:pPr>
        <w:spacing w:line="240" w:lineRule="auto"/>
        <w:jc w:val="both"/>
        <w:rPr>
          <w:rFonts w:ascii="Calibri" w:hAnsi="Calibri"/>
        </w:rPr>
      </w:pPr>
      <w:r>
        <w:rPr>
          <w:rFonts w:ascii="Calibri" w:hAnsi="Calibri"/>
        </w:rPr>
        <w:t>З</w:t>
      </w:r>
      <w:r w:rsidRPr="005D4721">
        <w:rPr>
          <w:rFonts w:ascii="Calibri" w:hAnsi="Calibri"/>
        </w:rPr>
        <w:t xml:space="preserve">а заштита на животните што се користат за научни цели </w:t>
      </w:r>
      <w:r>
        <w:rPr>
          <w:rFonts w:ascii="Calibri" w:hAnsi="Calibri"/>
        </w:rPr>
        <w:t>н</w:t>
      </w:r>
      <w:r w:rsidR="00E350B5" w:rsidRPr="005D4721">
        <w:rPr>
          <w:rFonts w:ascii="Calibri" w:hAnsi="Calibri"/>
        </w:rPr>
        <w:t>еопходно е Законот јасно да забранува вршење на експерименти врз диви  животни и животни скитници, според чл. 11 Директива 2010/63/EU на Европскиот парламент и на Советот од 2010 година</w:t>
      </w:r>
      <w:r>
        <w:rPr>
          <w:rFonts w:ascii="Calibri" w:hAnsi="Calibri"/>
        </w:rPr>
        <w:t>,</w:t>
      </w:r>
      <w:r w:rsidR="00E350B5" w:rsidRPr="005D4721">
        <w:rPr>
          <w:rFonts w:ascii="Calibri" w:hAnsi="Calibri"/>
        </w:rPr>
        <w:t>.</w:t>
      </w:r>
    </w:p>
    <w:p w:rsidR="00E350B5" w:rsidRDefault="00E350B5" w:rsidP="00EE605E">
      <w:pPr>
        <w:spacing w:line="240" w:lineRule="auto"/>
        <w:jc w:val="both"/>
        <w:rPr>
          <w:rFonts w:ascii="Calibri" w:hAnsi="Calibri"/>
          <w:lang w:val="en-US"/>
        </w:rPr>
      </w:pPr>
      <w:r w:rsidRPr="005D4721">
        <w:rPr>
          <w:rFonts w:ascii="Calibri" w:hAnsi="Calibri"/>
        </w:rPr>
        <w:t>Директивата 63/2010/EU, која земјите-членки на ЕУ треба да ја имплементираат во нивното национално законодавство, гласи:</w:t>
      </w:r>
    </w:p>
    <w:p w:rsidR="00EF7921" w:rsidRPr="005D4721" w:rsidRDefault="00E350B5" w:rsidP="00EE605E">
      <w:pPr>
        <w:spacing w:line="240" w:lineRule="auto"/>
        <w:jc w:val="both"/>
        <w:rPr>
          <w:rFonts w:ascii="Calibri" w:hAnsi="Calibri"/>
          <w:b/>
        </w:rPr>
      </w:pPr>
      <w:r w:rsidRPr="005D4721">
        <w:rPr>
          <w:rFonts w:ascii="Calibri" w:hAnsi="Calibri"/>
          <w:b/>
        </w:rPr>
        <w:t>„ Од причина што статусот на напуштените и дивите животни не ни е познат и од причина што фаќањето и сместувањето во објекти на таквите животни им го зголемува стресот, тие по правило не би требале да бидат користени во експериментални постапки„ (21)</w:t>
      </w:r>
    </w:p>
    <w:p w:rsidR="00EF7921" w:rsidRPr="005D4721" w:rsidRDefault="00EF7921" w:rsidP="00EE605E">
      <w:pPr>
        <w:spacing w:after="0" w:line="240" w:lineRule="auto"/>
        <w:jc w:val="both"/>
        <w:rPr>
          <w:rFonts w:ascii="Calibri" w:hAnsi="Calibri"/>
        </w:rPr>
      </w:pPr>
      <w:r w:rsidRPr="005D4721">
        <w:rPr>
          <w:rFonts w:ascii="Calibri" w:hAnsi="Calibri"/>
        </w:rPr>
        <w:t xml:space="preserve">- Член 11 </w:t>
      </w:r>
    </w:p>
    <w:p w:rsidR="00EF7921" w:rsidRPr="005D4721" w:rsidRDefault="00EF7921" w:rsidP="00EE605E">
      <w:pPr>
        <w:spacing w:after="0" w:line="240" w:lineRule="auto"/>
        <w:jc w:val="both"/>
        <w:rPr>
          <w:rFonts w:ascii="Calibri" w:hAnsi="Calibri"/>
        </w:rPr>
      </w:pPr>
      <w:r w:rsidRPr="005D4721">
        <w:rPr>
          <w:rFonts w:ascii="Calibri" w:hAnsi="Calibri"/>
        </w:rPr>
        <w:lastRenderedPageBreak/>
        <w:t xml:space="preserve">1 Напуштени (бездомни) животни и диви животни од домашни видови не смеат да се користат во експериментални постапки. </w:t>
      </w:r>
    </w:p>
    <w:p w:rsidR="00EF7921" w:rsidRPr="005D4721" w:rsidRDefault="00EF7921" w:rsidP="00EE605E">
      <w:pPr>
        <w:spacing w:after="0" w:line="240" w:lineRule="auto"/>
        <w:jc w:val="both"/>
        <w:rPr>
          <w:rFonts w:ascii="Calibri" w:hAnsi="Calibri"/>
        </w:rPr>
      </w:pPr>
      <w:r w:rsidRPr="005D4721">
        <w:rPr>
          <w:rFonts w:ascii="Calibri" w:hAnsi="Calibri"/>
        </w:rPr>
        <w:t xml:space="preserve">2 Само надлежен орган може да одобри исклучоци од став </w:t>
      </w:r>
      <w:r w:rsidRPr="005D4721">
        <w:rPr>
          <w:rFonts w:ascii="Calibri" w:hAnsi="Calibri"/>
          <w:color w:val="000000"/>
        </w:rPr>
        <w:t>1 само во</w:t>
      </w:r>
      <w:r w:rsidRPr="005D4721">
        <w:rPr>
          <w:rFonts w:ascii="Calibri" w:hAnsi="Calibri"/>
        </w:rPr>
        <w:t xml:space="preserve"> следниве услови: </w:t>
      </w:r>
    </w:p>
    <w:p w:rsidR="00EF7921" w:rsidRPr="005D4721" w:rsidRDefault="00EF7921" w:rsidP="00EE605E">
      <w:pPr>
        <w:spacing w:after="0" w:line="240" w:lineRule="auto"/>
        <w:jc w:val="both"/>
        <w:rPr>
          <w:rFonts w:ascii="Calibri" w:hAnsi="Calibri"/>
        </w:rPr>
      </w:pPr>
      <w:r w:rsidRPr="005D4721">
        <w:rPr>
          <w:rFonts w:ascii="Calibri" w:hAnsi="Calibri"/>
        </w:rPr>
        <w:t xml:space="preserve">(а) доколку постои итна потреба за истражување во врска со здравјето на животните и нивната благосостојба или ако постои сериозна закана кон животната средина или здравјето на луѓето или животните, </w:t>
      </w:r>
    </w:p>
    <w:p w:rsidR="00EF7921" w:rsidRPr="005D4721" w:rsidRDefault="00EF7921" w:rsidP="00EE605E">
      <w:pPr>
        <w:spacing w:line="240" w:lineRule="auto"/>
        <w:jc w:val="both"/>
        <w:rPr>
          <w:rFonts w:ascii="Calibri" w:hAnsi="Calibri"/>
        </w:rPr>
      </w:pPr>
      <w:r w:rsidRPr="005D4721">
        <w:rPr>
          <w:rFonts w:ascii="Calibri" w:hAnsi="Calibri"/>
        </w:rPr>
        <w:t xml:space="preserve">(б) доколку постои научно докажано оправдание дека целта на постапката ќе биде постигната </w:t>
      </w:r>
      <w:r w:rsidRPr="005D4721">
        <w:rPr>
          <w:rFonts w:ascii="Calibri" w:hAnsi="Calibri"/>
          <w:b/>
        </w:rPr>
        <w:t xml:space="preserve">единствено </w:t>
      </w:r>
      <w:r w:rsidRPr="005D4721">
        <w:rPr>
          <w:rFonts w:ascii="Calibri" w:hAnsi="Calibri"/>
        </w:rPr>
        <w:t xml:space="preserve">со користење на диви или напуштени животни </w:t>
      </w:r>
    </w:p>
    <w:p w:rsidR="00EF7921" w:rsidRPr="005D4721" w:rsidRDefault="00EF7921" w:rsidP="00EE605E">
      <w:pPr>
        <w:spacing w:line="240" w:lineRule="auto"/>
        <w:jc w:val="both"/>
        <w:rPr>
          <w:rFonts w:ascii="Calibri" w:hAnsi="Calibri"/>
        </w:rPr>
      </w:pPr>
      <w:r w:rsidRPr="00F8216F">
        <w:rPr>
          <w:rFonts w:ascii="Calibri" w:hAnsi="Calibri"/>
        </w:rPr>
        <w:t>Директивата 63/2010/EU, во основа не дозволува спроведување на експерименти врз напуштени и диви животни, освен во строго дефинирани случаи</w:t>
      </w:r>
      <w:r w:rsidRPr="005D4721">
        <w:rPr>
          <w:rFonts w:ascii="Calibri" w:hAnsi="Calibri"/>
        </w:rPr>
        <w:t xml:space="preserve">. </w:t>
      </w:r>
      <w:r w:rsidR="00D71C4C" w:rsidRPr="00D71C4C">
        <w:rPr>
          <w:rFonts w:ascii="Calibri" w:hAnsi="Calibri"/>
        </w:rPr>
        <w:t>Во контекст на истото е важно</w:t>
      </w:r>
      <w:r w:rsidRPr="00D71C4C">
        <w:rPr>
          <w:rFonts w:ascii="Calibri" w:hAnsi="Calibri"/>
        </w:rPr>
        <w:t xml:space="preserve"> Законот за заштита на животните да ја забрани оваа практика, со што непостоечките или недоволно прецизните одредби нема да бидат предмет на двосмислено толкување и злоупотреба.</w:t>
      </w:r>
    </w:p>
    <w:p w:rsidR="00EF7921" w:rsidRPr="00EF7921" w:rsidRDefault="00EF7921" w:rsidP="00EE605E">
      <w:pPr>
        <w:spacing w:line="240" w:lineRule="auto"/>
        <w:jc w:val="both"/>
        <w:rPr>
          <w:rFonts w:ascii="Calibri" w:hAnsi="Calibri"/>
          <w:color w:val="FF0000"/>
        </w:rPr>
      </w:pPr>
      <w:r w:rsidRPr="005D4721">
        <w:rPr>
          <w:rFonts w:ascii="Calibri" w:hAnsi="Calibri" w:cs="Tahoma"/>
          <w:color w:val="333333"/>
          <w:shd w:val="clear" w:color="auto" w:fill="FFFFFF"/>
        </w:rPr>
        <w:t>Исто така, важно е да се напомене дека членот 2 од Директивата 63/2010/EU, која се однесува на построги домашни мерки, предвидува дека "</w:t>
      </w:r>
      <w:r w:rsidRPr="005D4721">
        <w:rPr>
          <w:rFonts w:ascii="Calibri" w:hAnsi="Calibri" w:cs="Tahoma"/>
          <w:b/>
          <w:color w:val="333333"/>
          <w:shd w:val="clear" w:color="auto" w:fill="FFFFFF"/>
        </w:rPr>
        <w:t>земјите-членки можат, со почитување на општите правила утврдени со Договорот за функционирање на Европската унија, да ги задржат во сила одредбите од деветти ноември 2010 година. насочени кон обезбедување посеопфатна заштита на животни кои спаѓаат во доменот на оваа Директива од оние содржани во оваа Директива</w:t>
      </w:r>
      <w:r w:rsidRPr="005D4721">
        <w:rPr>
          <w:rFonts w:ascii="Calibri" w:hAnsi="Calibri" w:cs="Tahoma"/>
          <w:color w:val="333333"/>
          <w:shd w:val="clear" w:color="auto" w:fill="FFFFFF"/>
        </w:rPr>
        <w:t>.“</w:t>
      </w:r>
    </w:p>
    <w:p w:rsidR="00EF7921" w:rsidRDefault="0050624F" w:rsidP="00EE605E">
      <w:pPr>
        <w:spacing w:line="240" w:lineRule="auto"/>
        <w:jc w:val="both"/>
        <w:rPr>
          <w:rFonts w:ascii="Calibri" w:hAnsi="Calibri"/>
        </w:rPr>
      </w:pPr>
      <w:r>
        <w:rPr>
          <w:rFonts w:ascii="Calibri" w:hAnsi="Calibri"/>
        </w:rPr>
        <w:t xml:space="preserve">2) </w:t>
      </w:r>
      <w:r w:rsidR="00EF7921" w:rsidRPr="005D4721">
        <w:rPr>
          <w:rFonts w:ascii="Calibri" w:hAnsi="Calibri"/>
        </w:rPr>
        <w:t>Во Директивата исто така се наведува дека "</w:t>
      </w:r>
      <w:r w:rsidR="00EF7921" w:rsidRPr="005D4721">
        <w:rPr>
          <w:rFonts w:ascii="Calibri" w:hAnsi="Calibri"/>
          <w:b/>
        </w:rPr>
        <w:t xml:space="preserve">ставовите кон животните, исто така, зависат од </w:t>
      </w:r>
      <w:r w:rsidR="00EF7921" w:rsidRPr="00D71C4C">
        <w:rPr>
          <w:rFonts w:ascii="Calibri" w:hAnsi="Calibri"/>
          <w:b/>
          <w:u w:val="single"/>
        </w:rPr>
        <w:t>националните перцепции и некои земји членки бараат да ги задржат општите правила во однос на благосостојбата на животните</w:t>
      </w:r>
      <w:r w:rsidR="00EF7921" w:rsidRPr="00D71C4C">
        <w:rPr>
          <w:rFonts w:ascii="Calibri" w:hAnsi="Calibri"/>
          <w:b/>
          <w:color w:val="FF0000"/>
          <w:u w:val="single"/>
        </w:rPr>
        <w:t>.</w:t>
      </w:r>
      <w:r w:rsidR="00EF7921" w:rsidRPr="005D4721">
        <w:rPr>
          <w:rFonts w:ascii="Calibri" w:hAnsi="Calibri"/>
          <w:b/>
        </w:rPr>
        <w:t xml:space="preserve"> </w:t>
      </w:r>
      <w:r w:rsidR="00EF7921" w:rsidRPr="00EF7921">
        <w:rPr>
          <w:rFonts w:ascii="Calibri" w:hAnsi="Calibri"/>
        </w:rPr>
        <w:t>Во интерес на животните и под услов тоа да не влијае на функционирањето на внатрешниот пазар</w:t>
      </w:r>
      <w:r w:rsidR="00EF7921" w:rsidRPr="00EF7921">
        <w:rPr>
          <w:rFonts w:ascii="Calibri" w:hAnsi="Calibri"/>
          <w:b/>
          <w:u w:val="single"/>
        </w:rPr>
        <w:t>, потребно е да се овозможи кај земјите-членки одредена флексибилност во однос на задржување на националните правила</w:t>
      </w:r>
      <w:r w:rsidR="00EF7921" w:rsidRPr="005D4721">
        <w:rPr>
          <w:rFonts w:ascii="Calibri" w:hAnsi="Calibri"/>
          <w:b/>
        </w:rPr>
        <w:t xml:space="preserve"> </w:t>
      </w:r>
      <w:r w:rsidR="00EF7921" w:rsidRPr="00EF7921">
        <w:rPr>
          <w:rFonts w:ascii="Calibri" w:hAnsi="Calibri"/>
          <w:b/>
          <w:u w:val="single"/>
        </w:rPr>
        <w:t xml:space="preserve">во насока на поширока заштита на животните </w:t>
      </w:r>
      <w:r w:rsidR="00EF7921" w:rsidRPr="005D4721">
        <w:rPr>
          <w:rFonts w:ascii="Calibri" w:hAnsi="Calibri"/>
          <w:b/>
        </w:rPr>
        <w:t>до онаа мера во која тие ќе бидат во согласност со Договорот за функционирање на Европската унија</w:t>
      </w:r>
      <w:r w:rsidR="00EF7921" w:rsidRPr="005D4721">
        <w:rPr>
          <w:rFonts w:ascii="Calibri" w:hAnsi="Calibri"/>
        </w:rPr>
        <w:t>.„</w:t>
      </w:r>
    </w:p>
    <w:p w:rsidR="00EF7921" w:rsidRPr="004A0FE5" w:rsidRDefault="00EF7921" w:rsidP="00EE605E">
      <w:pPr>
        <w:spacing w:line="240" w:lineRule="auto"/>
        <w:jc w:val="both"/>
        <w:rPr>
          <w:rFonts w:ascii="Calibri" w:hAnsi="Calibri"/>
          <w:lang w:val="en-US"/>
        </w:rPr>
      </w:pPr>
      <w:r w:rsidRPr="005D4721">
        <w:rPr>
          <w:rFonts w:ascii="Calibri" w:hAnsi="Calibri"/>
        </w:rPr>
        <w:t>Во</w:t>
      </w:r>
      <w:r>
        <w:rPr>
          <w:rFonts w:ascii="Calibri" w:hAnsi="Calibri"/>
        </w:rPr>
        <w:t xml:space="preserve"> овој контекст </w:t>
      </w:r>
      <w:r w:rsidRPr="005D4721">
        <w:rPr>
          <w:rFonts w:ascii="Calibri" w:hAnsi="Calibri"/>
        </w:rPr>
        <w:t xml:space="preserve"> посочуваме – доколку се одобрат експерименти врз бездомните животни</w:t>
      </w:r>
      <w:r w:rsidR="00D71C4C">
        <w:rPr>
          <w:rFonts w:ascii="Calibri" w:hAnsi="Calibri"/>
        </w:rPr>
        <w:t xml:space="preserve"> и животни од видот домашни животни</w:t>
      </w:r>
      <w:r w:rsidRPr="005D4721">
        <w:rPr>
          <w:rFonts w:ascii="Calibri" w:hAnsi="Calibri"/>
        </w:rPr>
        <w:t>, животните кои доаѓаат од дивина или приматите – што не беше случај со Законот за заштита и благосостојба на животните од 2007 година</w:t>
      </w:r>
      <w:r w:rsidR="00D71C4C">
        <w:rPr>
          <w:rFonts w:ascii="Calibri" w:hAnsi="Calibri"/>
          <w:b/>
        </w:rPr>
        <w:t xml:space="preserve"> - </w:t>
      </w:r>
      <w:r w:rsidRPr="005D4721">
        <w:rPr>
          <w:rFonts w:ascii="Calibri" w:hAnsi="Calibri"/>
          <w:b/>
        </w:rPr>
        <w:t xml:space="preserve"> новиот Законот за заштита и благосостојба на Р. Македонија ќе покаже сериозно уназадување во однос на претходниот, што е етички неприфатливо и неопходно е да се одбегне</w:t>
      </w:r>
      <w:r w:rsidRPr="005D4721">
        <w:rPr>
          <w:rFonts w:ascii="Calibri" w:hAnsi="Calibri"/>
        </w:rPr>
        <w:t xml:space="preserve"> </w:t>
      </w:r>
      <w:r w:rsidR="00D71C4C">
        <w:rPr>
          <w:rFonts w:ascii="Calibri" w:hAnsi="Calibri"/>
        </w:rPr>
        <w:t>.</w:t>
      </w:r>
      <w:r w:rsidRPr="005D4721">
        <w:rPr>
          <w:rFonts w:ascii="Calibri" w:hAnsi="Calibri"/>
        </w:rPr>
        <w:t xml:space="preserve"> </w:t>
      </w:r>
      <w:r w:rsidRPr="005D4721">
        <w:rPr>
          <w:rFonts w:ascii="Calibri" w:hAnsi="Calibri"/>
          <w:b/>
        </w:rPr>
        <w:t>Целта на законот е да биде унапреден а не уназаден – во спротивно и без сомнение ќе наиде на голема осуда на јавноста</w:t>
      </w:r>
      <w:r w:rsidRPr="005D4721">
        <w:rPr>
          <w:rFonts w:ascii="Calibri" w:hAnsi="Calibri"/>
        </w:rPr>
        <w:t>. Веруваме дека е важно да горепосочените аргументи бидат сериозно земени во предвид и да, со Законот за заштита и благосостојба на животните изстапиме чекор понапред, покажувајќи го високото ниво свест во однос на животните и нивната заштита, со што ќе ја унапредиме хуманоста во Р. Македонија.</w:t>
      </w:r>
    </w:p>
    <w:p w:rsidR="00EF7921" w:rsidRPr="005D4721" w:rsidRDefault="00EF7921" w:rsidP="00EF7921">
      <w:pPr>
        <w:jc w:val="both"/>
        <w:rPr>
          <w:rFonts w:ascii="Calibri" w:hAnsi="Calibri"/>
        </w:rPr>
      </w:pPr>
    </w:p>
    <w:p w:rsidR="00EF7921" w:rsidRPr="005242DA" w:rsidRDefault="00EF7921" w:rsidP="005242DA">
      <w:pPr>
        <w:jc w:val="center"/>
        <w:rPr>
          <w:b/>
          <w:sz w:val="24"/>
          <w:szCs w:val="24"/>
        </w:rPr>
      </w:pPr>
    </w:p>
    <w:sectPr w:rsidR="00EF7921" w:rsidRPr="005242DA" w:rsidSect="00EE605E">
      <w:headerReference w:type="default" r:id="rId8"/>
      <w:footerReference w:type="default" r:id="rId9"/>
      <w:pgSz w:w="11906" w:h="16838"/>
      <w:pgMar w:top="1440" w:right="1416"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43" w:rsidRDefault="00E86843" w:rsidP="00EF7921">
      <w:pPr>
        <w:spacing w:after="0" w:line="240" w:lineRule="auto"/>
      </w:pPr>
      <w:r>
        <w:separator/>
      </w:r>
    </w:p>
  </w:endnote>
  <w:endnote w:type="continuationSeparator" w:id="1">
    <w:p w:rsidR="00E86843" w:rsidRDefault="00E86843" w:rsidP="00EF7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20133"/>
      <w:docPartObj>
        <w:docPartGallery w:val="Page Numbers (Bottom of Page)"/>
        <w:docPartUnique/>
      </w:docPartObj>
    </w:sdtPr>
    <w:sdtContent>
      <w:p w:rsidR="007C00CC" w:rsidRDefault="00AD4506">
        <w:pPr>
          <w:pStyle w:val="Footer"/>
          <w:jc w:val="center"/>
        </w:pPr>
        <w:r>
          <w:fldChar w:fldCharType="begin"/>
        </w:r>
        <w:r w:rsidR="007C00CC">
          <w:instrText xml:space="preserve"> PAGE   \* MERGEFORMAT </w:instrText>
        </w:r>
        <w:r>
          <w:fldChar w:fldCharType="separate"/>
        </w:r>
        <w:r w:rsidR="00335207">
          <w:rPr>
            <w:noProof/>
          </w:rPr>
          <w:t>4</w:t>
        </w:r>
        <w:r>
          <w:fldChar w:fldCharType="end"/>
        </w:r>
      </w:p>
    </w:sdtContent>
  </w:sdt>
  <w:p w:rsidR="007C00CC" w:rsidRDefault="007C00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43" w:rsidRDefault="00E86843" w:rsidP="00EF7921">
      <w:pPr>
        <w:spacing w:after="0" w:line="240" w:lineRule="auto"/>
      </w:pPr>
      <w:r>
        <w:separator/>
      </w:r>
    </w:p>
  </w:footnote>
  <w:footnote w:type="continuationSeparator" w:id="1">
    <w:p w:rsidR="00E86843" w:rsidRDefault="00E86843" w:rsidP="00EF7921">
      <w:pPr>
        <w:spacing w:after="0" w:line="240" w:lineRule="auto"/>
      </w:pPr>
      <w:r>
        <w:continuationSeparator/>
      </w:r>
    </w:p>
  </w:footnote>
  <w:footnote w:id="2">
    <w:p w:rsidR="00D71C4C" w:rsidRPr="00EF7921" w:rsidRDefault="00EF7921" w:rsidP="00EE605E">
      <w:pPr>
        <w:tabs>
          <w:tab w:val="left" w:pos="0"/>
        </w:tabs>
        <w:spacing w:line="240" w:lineRule="auto"/>
        <w:jc w:val="both"/>
        <w:rPr>
          <w:rFonts w:ascii="Calibri" w:hAnsi="Calibri"/>
          <w:sz w:val="20"/>
          <w:szCs w:val="20"/>
        </w:rPr>
      </w:pPr>
      <w:r>
        <w:rPr>
          <w:rStyle w:val="FootnoteReference"/>
        </w:rPr>
        <w:footnoteRef/>
      </w:r>
      <w:r>
        <w:t xml:space="preserve"> </w:t>
      </w:r>
      <w:r w:rsidR="00D71C4C" w:rsidRPr="00EF7921">
        <w:rPr>
          <w:rFonts w:ascii="Calibri" w:hAnsi="Calibri"/>
          <w:sz w:val="20"/>
          <w:szCs w:val="20"/>
        </w:rPr>
        <w:t xml:space="preserve">Во Европа и во светот постои широко распространета етичка загриженост во врска со експериментирањето врз животни т.е. употребата на животни во експериментални постапки. </w:t>
      </w:r>
      <w:r w:rsidR="00D71C4C" w:rsidRPr="00EF7921">
        <w:rPr>
          <w:rFonts w:ascii="Calibri" w:hAnsi="Calibri"/>
          <w:b/>
          <w:bCs/>
          <w:sz w:val="20"/>
          <w:szCs w:val="20"/>
        </w:rPr>
        <w:t xml:space="preserve">Јавното мислење, поткрепено од бројни научни истражувања и анализи укажа на морална неприфатеност но и научна недоволна убедливост дека истите секогаш се потребни, најсоодветни или доволно ефикасни и оправдливи. </w:t>
      </w:r>
    </w:p>
    <w:p w:rsidR="00D71C4C" w:rsidRPr="00D71C4C" w:rsidRDefault="00D71C4C" w:rsidP="00EE605E">
      <w:pPr>
        <w:spacing w:line="240" w:lineRule="auto"/>
        <w:contextualSpacing/>
        <w:jc w:val="both"/>
        <w:rPr>
          <w:rFonts w:ascii="Calibri" w:hAnsi="Calibri" w:cs="Times New Roman"/>
          <w:sz w:val="20"/>
          <w:szCs w:val="20"/>
        </w:rPr>
      </w:pPr>
      <w:r w:rsidRPr="00EF7921">
        <w:rPr>
          <w:rStyle w:val="hps"/>
          <w:rFonts w:ascii="Calibri" w:hAnsi="Calibri"/>
          <w:sz w:val="20"/>
          <w:szCs w:val="20"/>
        </w:rPr>
        <w:t>Од 2011 година здружението Анима Мунди стана членка – македонски претставник во една од најсилните и највлијателните интернационални организации за прекин на експерименти врз животни ECEAE</w:t>
      </w:r>
      <w:r w:rsidRPr="00EF7921">
        <w:rPr>
          <w:rFonts w:ascii="Calibri" w:hAnsi="Calibri"/>
          <w:sz w:val="20"/>
          <w:szCs w:val="20"/>
        </w:rPr>
        <w:t xml:space="preserve"> </w:t>
      </w:r>
      <w:r w:rsidRPr="00EF7921">
        <w:rPr>
          <w:rStyle w:val="hps"/>
          <w:rFonts w:ascii="Calibri" w:hAnsi="Calibri"/>
          <w:sz w:val="20"/>
          <w:szCs w:val="20"/>
        </w:rPr>
        <w:t>(</w:t>
      </w:r>
      <w:r w:rsidRPr="00EF7921">
        <w:rPr>
          <w:rStyle w:val="hps"/>
          <w:rFonts w:ascii="Calibri" w:hAnsi="Calibri"/>
          <w:b/>
          <w:sz w:val="20"/>
          <w:szCs w:val="20"/>
        </w:rPr>
        <w:t>Европска</w:t>
      </w:r>
      <w:r w:rsidRPr="00EF7921">
        <w:rPr>
          <w:rFonts w:ascii="Calibri" w:hAnsi="Calibri"/>
          <w:b/>
          <w:sz w:val="20"/>
          <w:szCs w:val="20"/>
        </w:rPr>
        <w:t xml:space="preserve"> </w:t>
      </w:r>
      <w:r w:rsidRPr="00EF7921">
        <w:rPr>
          <w:rStyle w:val="hps"/>
          <w:rFonts w:ascii="Calibri" w:hAnsi="Calibri"/>
          <w:b/>
          <w:sz w:val="20"/>
          <w:szCs w:val="20"/>
        </w:rPr>
        <w:t>коалиција</w:t>
      </w:r>
      <w:r w:rsidRPr="00EF7921">
        <w:rPr>
          <w:rFonts w:ascii="Calibri" w:hAnsi="Calibri"/>
          <w:b/>
          <w:sz w:val="20"/>
          <w:szCs w:val="20"/>
        </w:rPr>
        <w:t xml:space="preserve"> </w:t>
      </w:r>
      <w:r w:rsidRPr="00EF7921">
        <w:rPr>
          <w:rStyle w:val="hps"/>
          <w:rFonts w:ascii="Calibri" w:hAnsi="Calibri"/>
          <w:b/>
          <w:sz w:val="20"/>
          <w:szCs w:val="20"/>
        </w:rPr>
        <w:t>за прекин на</w:t>
      </w:r>
      <w:r w:rsidRPr="00EF7921">
        <w:rPr>
          <w:rFonts w:ascii="Calibri" w:hAnsi="Calibri"/>
          <w:b/>
          <w:sz w:val="20"/>
          <w:szCs w:val="20"/>
        </w:rPr>
        <w:t xml:space="preserve"> </w:t>
      </w:r>
      <w:r w:rsidRPr="00EF7921">
        <w:rPr>
          <w:rStyle w:val="hps"/>
          <w:rFonts w:ascii="Calibri" w:hAnsi="Calibri"/>
          <w:b/>
          <w:sz w:val="20"/>
          <w:szCs w:val="20"/>
        </w:rPr>
        <w:t>експериментите со животни</w:t>
      </w:r>
      <w:r w:rsidRPr="00EF7921">
        <w:rPr>
          <w:rFonts w:ascii="Calibri" w:hAnsi="Calibri"/>
          <w:sz w:val="20"/>
          <w:szCs w:val="20"/>
        </w:rPr>
        <w:t xml:space="preserve"> </w:t>
      </w:r>
      <w:r w:rsidRPr="00EF7921">
        <w:rPr>
          <w:rStyle w:val="hps"/>
          <w:rFonts w:ascii="Calibri" w:hAnsi="Calibri"/>
          <w:b/>
          <w:sz w:val="20"/>
          <w:szCs w:val="20"/>
        </w:rPr>
        <w:t>http://eceae.org/</w:t>
      </w:r>
      <w:r w:rsidRPr="00EF7921">
        <w:rPr>
          <w:rFonts w:ascii="Calibri" w:hAnsi="Calibri"/>
          <w:sz w:val="20"/>
          <w:szCs w:val="20"/>
        </w:rPr>
        <w:t xml:space="preserve">) кои преку свои броен експертски  истражувачки персонал и потенцијал се залага за укинување (замена) на овој облик на искористување на животните во интерес на луѓето и животните, и директно влијае врз политиките и директивите на Европската Унија кои го опфаќаат ова прашање. </w:t>
      </w:r>
      <w:r w:rsidRPr="00EF7921">
        <w:rPr>
          <w:rStyle w:val="hps"/>
          <w:rFonts w:ascii="Calibri" w:hAnsi="Calibri"/>
          <w:sz w:val="20"/>
          <w:szCs w:val="20"/>
        </w:rPr>
        <w:t>Токму затоа во оваа област</w:t>
      </w:r>
      <w:r w:rsidRPr="00EF7921">
        <w:rPr>
          <w:rFonts w:ascii="Calibri" w:hAnsi="Calibri"/>
          <w:sz w:val="20"/>
          <w:szCs w:val="20"/>
        </w:rPr>
        <w:t xml:space="preserve"> </w:t>
      </w:r>
      <w:r w:rsidRPr="00EF7921">
        <w:rPr>
          <w:rStyle w:val="hps"/>
          <w:rFonts w:ascii="Calibri" w:hAnsi="Calibri"/>
          <w:sz w:val="20"/>
          <w:szCs w:val="20"/>
        </w:rPr>
        <w:t>ги предлагаме</w:t>
      </w:r>
      <w:r w:rsidRPr="00EF7921">
        <w:rPr>
          <w:rFonts w:ascii="Calibri" w:hAnsi="Calibri"/>
          <w:sz w:val="20"/>
          <w:szCs w:val="20"/>
        </w:rPr>
        <w:t xml:space="preserve"> </w:t>
      </w:r>
      <w:r w:rsidRPr="00EF7921">
        <w:rPr>
          <w:rStyle w:val="hps"/>
          <w:rFonts w:ascii="Calibri" w:hAnsi="Calibri"/>
          <w:sz w:val="20"/>
          <w:szCs w:val="20"/>
        </w:rPr>
        <w:t>измените и дополнувањата предложени</w:t>
      </w:r>
      <w:r w:rsidRPr="00EF7921">
        <w:rPr>
          <w:rFonts w:ascii="Calibri" w:hAnsi="Calibri"/>
          <w:sz w:val="20"/>
          <w:szCs w:val="20"/>
        </w:rPr>
        <w:t xml:space="preserve"> </w:t>
      </w:r>
      <w:r w:rsidRPr="00EF7921">
        <w:rPr>
          <w:rStyle w:val="hps"/>
          <w:rFonts w:ascii="Calibri" w:hAnsi="Calibri"/>
          <w:sz w:val="20"/>
          <w:szCs w:val="20"/>
        </w:rPr>
        <w:t>од страна</w:t>
      </w:r>
      <w:r w:rsidRPr="00EF7921">
        <w:rPr>
          <w:rFonts w:ascii="Calibri" w:hAnsi="Calibri"/>
          <w:sz w:val="20"/>
          <w:szCs w:val="20"/>
        </w:rPr>
        <w:t xml:space="preserve"> на </w:t>
      </w:r>
      <w:r w:rsidRPr="00EF7921">
        <w:rPr>
          <w:rStyle w:val="hps"/>
          <w:rFonts w:ascii="Calibri" w:hAnsi="Calibri"/>
          <w:sz w:val="20"/>
          <w:szCs w:val="20"/>
        </w:rPr>
        <w:t>ECEAE</w:t>
      </w:r>
      <w:r w:rsidRPr="00EF7921">
        <w:rPr>
          <w:rFonts w:ascii="Calibri" w:hAnsi="Calibri"/>
          <w:sz w:val="20"/>
          <w:szCs w:val="20"/>
        </w:rPr>
        <w:t xml:space="preserve"> , кои ги дадоа по темелна анализа на Предлог Законот за заштита и благосостојба на животните на Р. Македонија , а кои се однесуваат на оваа проблематика: </w:t>
      </w:r>
      <w:r w:rsidRPr="00EF7921">
        <w:rPr>
          <w:rStyle w:val="hps"/>
          <w:rFonts w:ascii="Calibri" w:hAnsi="Calibri"/>
          <w:sz w:val="20"/>
          <w:szCs w:val="20"/>
        </w:rPr>
        <w:t xml:space="preserve"> </w:t>
      </w:r>
    </w:p>
    <w:p w:rsidR="00EF7921" w:rsidRDefault="00EF7921" w:rsidP="00EE605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21" w:rsidRDefault="00EF7921" w:rsidP="00EF7921">
    <w:pPr>
      <w:pStyle w:val="Header"/>
    </w:pPr>
    <w:r>
      <w:rPr>
        <w:noProof/>
        <w:lang w:eastAsia="mk-MK"/>
      </w:rPr>
      <w:drawing>
        <wp:inline distT="0" distB="0" distL="0" distR="0">
          <wp:extent cx="781050" cy="1224828"/>
          <wp:effectExtent l="19050" t="0" r="0" b="0"/>
          <wp:docPr id="7" name="Picture 4" descr="https://fbcdn-sphotos-c-a.akamaihd.net/hphotos-ak-ash2/t1/423389_166689776720602_9417987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c-a.akamaihd.net/hphotos-ak-ash2/t1/423389_166689776720602_941798751_n.jpg"/>
                  <pic:cNvPicPr>
                    <a:picLocks noChangeAspect="1" noChangeArrowheads="1"/>
                  </pic:cNvPicPr>
                </pic:nvPicPr>
                <pic:blipFill>
                  <a:blip r:embed="rId1"/>
                  <a:srcRect/>
                  <a:stretch>
                    <a:fillRect/>
                  </a:stretch>
                </pic:blipFill>
                <pic:spPr bwMode="auto">
                  <a:xfrm>
                    <a:off x="0" y="0"/>
                    <a:ext cx="781050" cy="1224828"/>
                  </a:xfrm>
                  <a:prstGeom prst="rect">
                    <a:avLst/>
                  </a:prstGeom>
                  <a:noFill/>
                  <a:ln w="9525">
                    <a:noFill/>
                    <a:miter lim="800000"/>
                    <a:headEnd/>
                    <a:tailEnd/>
                  </a:ln>
                </pic:spPr>
              </pic:pic>
            </a:graphicData>
          </a:graphic>
        </wp:inline>
      </w:drawing>
    </w:r>
    <w:r>
      <w:rPr>
        <w:noProof/>
        <w:lang w:eastAsia="mk-MK"/>
      </w:rPr>
      <w:drawing>
        <wp:inline distT="0" distB="0" distL="0" distR="0">
          <wp:extent cx="1130043" cy="93385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34177" cy="937271"/>
                  </a:xfrm>
                  <a:prstGeom prst="rect">
                    <a:avLst/>
                  </a:prstGeom>
                  <a:noFill/>
                  <a:ln w="9525">
                    <a:noFill/>
                    <a:miter lim="800000"/>
                    <a:headEnd/>
                    <a:tailEnd/>
                  </a:ln>
                </pic:spPr>
              </pic:pic>
            </a:graphicData>
          </a:graphic>
        </wp:inline>
      </w:drawing>
    </w:r>
    <w:r>
      <w:rPr>
        <w:noProof/>
        <w:lang w:eastAsia="mk-MK"/>
      </w:rPr>
      <w:drawing>
        <wp:inline distT="0" distB="0" distL="0" distR="0">
          <wp:extent cx="724296" cy="109922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6092" cy="1101951"/>
                  </a:xfrm>
                  <a:prstGeom prst="rect">
                    <a:avLst/>
                  </a:prstGeom>
                  <a:noFill/>
                  <a:ln w="9525">
                    <a:noFill/>
                    <a:miter lim="800000"/>
                    <a:headEnd/>
                    <a:tailEnd/>
                  </a:ln>
                </pic:spPr>
              </pic:pic>
            </a:graphicData>
          </a:graphic>
        </wp:inline>
      </w:drawing>
    </w:r>
    <w:r>
      <w:rPr>
        <w:noProof/>
        <w:lang w:eastAsia="mk-MK"/>
      </w:rPr>
      <w:drawing>
        <wp:inline distT="0" distB="0" distL="0" distR="0">
          <wp:extent cx="1058428" cy="1050588"/>
          <wp:effectExtent l="19050" t="0" r="8372" b="0"/>
          <wp:docPr id="10" name="Picture 5" descr="https://fbcdn-sphotos-h-a.akamaihd.net/hphotos-ak-ash4/t1/1378369_153735998170415_25923389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sphotos-h-a.akamaihd.net/hphotos-ak-ash4/t1/1378369_153735998170415_259233895_n.png"/>
                  <pic:cNvPicPr>
                    <a:picLocks noChangeAspect="1" noChangeArrowheads="1"/>
                  </pic:cNvPicPr>
                </pic:nvPicPr>
                <pic:blipFill>
                  <a:blip r:embed="rId4"/>
                  <a:srcRect/>
                  <a:stretch>
                    <a:fillRect/>
                  </a:stretch>
                </pic:blipFill>
                <pic:spPr bwMode="auto">
                  <a:xfrm>
                    <a:off x="0" y="0"/>
                    <a:ext cx="1060111" cy="1052258"/>
                  </a:xfrm>
                  <a:prstGeom prst="rect">
                    <a:avLst/>
                  </a:prstGeom>
                  <a:noFill/>
                  <a:ln w="9525">
                    <a:noFill/>
                    <a:miter lim="800000"/>
                    <a:headEnd/>
                    <a:tailEnd/>
                  </a:ln>
                </pic:spPr>
              </pic:pic>
            </a:graphicData>
          </a:graphic>
        </wp:inline>
      </w:drawing>
    </w:r>
    <w:r>
      <w:rPr>
        <w:noProof/>
        <w:lang w:eastAsia="mk-MK"/>
      </w:rPr>
      <w:drawing>
        <wp:inline distT="0" distB="0" distL="0" distR="0">
          <wp:extent cx="866775" cy="1114425"/>
          <wp:effectExtent l="19050" t="0" r="9525" b="0"/>
          <wp:docPr id="11" name="irc_mi" descr="https://fbcdn-profile-a.akamaihd.net/hprofile-ak-ash4/373037_161902273891783_19272353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profile-a.akamaihd.net/hprofile-ak-ash4/373037_161902273891783_1927235355_n.jpg"/>
                  <pic:cNvPicPr>
                    <a:picLocks noChangeAspect="1" noChangeArrowheads="1"/>
                  </pic:cNvPicPr>
                </pic:nvPicPr>
                <pic:blipFill>
                  <a:blip r:embed="rId5"/>
                  <a:srcRect/>
                  <a:stretch>
                    <a:fillRect/>
                  </a:stretch>
                </pic:blipFill>
                <pic:spPr bwMode="auto">
                  <a:xfrm>
                    <a:off x="0" y="0"/>
                    <a:ext cx="866775" cy="1114425"/>
                  </a:xfrm>
                  <a:prstGeom prst="rect">
                    <a:avLst/>
                  </a:prstGeom>
                  <a:noFill/>
                  <a:ln w="9525">
                    <a:noFill/>
                    <a:miter lim="800000"/>
                    <a:headEnd/>
                    <a:tailEnd/>
                  </a:ln>
                </pic:spPr>
              </pic:pic>
            </a:graphicData>
          </a:graphic>
        </wp:inline>
      </w:drawing>
    </w:r>
    <w:r>
      <w:rPr>
        <w:noProof/>
        <w:lang w:eastAsia="mk-MK"/>
      </w:rPr>
      <w:drawing>
        <wp:inline distT="0" distB="0" distL="0" distR="0">
          <wp:extent cx="706876" cy="739302"/>
          <wp:effectExtent l="19050" t="0" r="0" b="0"/>
          <wp:docPr id="12" name="z1" descr="&amp;Vcy;&amp;tcy;&amp;ocy;&amp;rcy;&amp;acy; &amp;SHcy;&amp;acy;&amp;ncy;&amp;scy;&amp;acy; - &amp;Kcy;&amp;ocy;&amp;chcy;&amp;acy;&amp;n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1" descr="&amp;Vcy;&amp;tcy;&amp;ocy;&amp;rcy;&amp;acy; &amp;SHcy;&amp;acy;&amp;ncy;&amp;scy;&amp;acy; - &amp;Kcy;&amp;ocy;&amp;chcy;&amp;acy;&amp;ncy;&amp;icy;"/>
                  <pic:cNvPicPr>
                    <a:picLocks noChangeAspect="1" noChangeArrowheads="1"/>
                  </pic:cNvPicPr>
                </pic:nvPicPr>
                <pic:blipFill>
                  <a:blip r:embed="rId6"/>
                  <a:srcRect/>
                  <a:stretch>
                    <a:fillRect/>
                  </a:stretch>
                </pic:blipFill>
                <pic:spPr bwMode="auto">
                  <a:xfrm>
                    <a:off x="0" y="0"/>
                    <a:ext cx="708061" cy="740542"/>
                  </a:xfrm>
                  <a:prstGeom prst="rect">
                    <a:avLst/>
                  </a:prstGeom>
                  <a:noFill/>
                  <a:ln w="9525">
                    <a:noFill/>
                    <a:miter lim="800000"/>
                    <a:headEnd/>
                    <a:tailEnd/>
                  </a:ln>
                </pic:spPr>
              </pic:pic>
            </a:graphicData>
          </a:graphic>
        </wp:inline>
      </w:drawing>
    </w:r>
    <w:r>
      <w:rPr>
        <w:noProof/>
        <w:lang w:eastAsia="mk-MK"/>
      </w:rPr>
      <w:drawing>
        <wp:inline distT="0" distB="0" distL="0" distR="0">
          <wp:extent cx="638588" cy="836578"/>
          <wp:effectExtent l="19050" t="0" r="9112" b="0"/>
          <wp:docPr id="14" name="irc_mi" descr="http://eden.org.mk/wp-content/uploads/2014/03/logoeden4-22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en.org.mk/wp-content/uploads/2014/03/logoeden4-229x300.jpg"/>
                  <pic:cNvPicPr>
                    <a:picLocks noChangeAspect="1" noChangeArrowheads="1"/>
                  </pic:cNvPicPr>
                </pic:nvPicPr>
                <pic:blipFill>
                  <a:blip r:embed="rId7"/>
                  <a:srcRect/>
                  <a:stretch>
                    <a:fillRect/>
                  </a:stretch>
                </pic:blipFill>
                <pic:spPr bwMode="auto">
                  <a:xfrm>
                    <a:off x="0" y="0"/>
                    <a:ext cx="640968" cy="839696"/>
                  </a:xfrm>
                  <a:prstGeom prst="rect">
                    <a:avLst/>
                  </a:prstGeom>
                  <a:noFill/>
                  <a:ln w="9525">
                    <a:noFill/>
                    <a:miter lim="800000"/>
                    <a:headEnd/>
                    <a:tailEnd/>
                  </a:ln>
                </pic:spPr>
              </pic:pic>
            </a:graphicData>
          </a:graphic>
        </wp:inline>
      </w:drawing>
    </w:r>
  </w:p>
  <w:p w:rsidR="00EF7921" w:rsidRDefault="00EF7921" w:rsidP="00E72D93">
    <w:pPr>
      <w:pStyle w:val="Header"/>
      <w:ind w:firstLine="720"/>
    </w:pPr>
  </w:p>
  <w:p w:rsidR="00EF7921" w:rsidRDefault="00EF7921" w:rsidP="00EF7921">
    <w:pPr>
      <w:pStyle w:val="Header"/>
    </w:pPr>
  </w:p>
  <w:p w:rsidR="00EF7921" w:rsidRDefault="00EF79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6AEF"/>
    <w:multiLevelType w:val="hybridMultilevel"/>
    <w:tmpl w:val="26D05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801CD0"/>
    <w:multiLevelType w:val="hybridMultilevel"/>
    <w:tmpl w:val="C0BC8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42DA"/>
    <w:rsid w:val="00314966"/>
    <w:rsid w:val="00335207"/>
    <w:rsid w:val="0037031E"/>
    <w:rsid w:val="00396475"/>
    <w:rsid w:val="004A0FE5"/>
    <w:rsid w:val="0050624F"/>
    <w:rsid w:val="005242DA"/>
    <w:rsid w:val="007C00CC"/>
    <w:rsid w:val="0081554A"/>
    <w:rsid w:val="009354C9"/>
    <w:rsid w:val="00A3277D"/>
    <w:rsid w:val="00A94E5B"/>
    <w:rsid w:val="00AD4506"/>
    <w:rsid w:val="00B03948"/>
    <w:rsid w:val="00B24928"/>
    <w:rsid w:val="00B313CB"/>
    <w:rsid w:val="00B61EC5"/>
    <w:rsid w:val="00C126A6"/>
    <w:rsid w:val="00D71C4C"/>
    <w:rsid w:val="00E350B5"/>
    <w:rsid w:val="00E72D93"/>
    <w:rsid w:val="00E86843"/>
    <w:rsid w:val="00E93287"/>
    <w:rsid w:val="00EE605E"/>
    <w:rsid w:val="00EF7921"/>
    <w:rsid w:val="00F8216F"/>
    <w:rsid w:val="00FC438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42DA"/>
    <w:pPr>
      <w:suppressAutoHyphens/>
      <w:spacing w:after="0" w:line="240" w:lineRule="auto"/>
      <w:ind w:left="720"/>
      <w:contextualSpacing/>
    </w:pPr>
    <w:rPr>
      <w:rFonts w:ascii="Times New Roman" w:eastAsia="Calibri" w:hAnsi="Times New Roman" w:cs="Times New Roman"/>
      <w:kern w:val="1"/>
      <w:sz w:val="24"/>
      <w:szCs w:val="24"/>
      <w:lang w:val="it-IT" w:eastAsia="ar-SA"/>
    </w:rPr>
  </w:style>
  <w:style w:type="character" w:customStyle="1" w:styleId="hps">
    <w:name w:val="hps"/>
    <w:rsid w:val="00E350B5"/>
    <w:rPr>
      <w:rFonts w:cs="Times New Roman"/>
    </w:rPr>
  </w:style>
  <w:style w:type="paragraph" w:styleId="Header">
    <w:name w:val="header"/>
    <w:basedOn w:val="Normal"/>
    <w:link w:val="HeaderChar"/>
    <w:uiPriority w:val="99"/>
    <w:unhideWhenUsed/>
    <w:rsid w:val="00EF7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921"/>
  </w:style>
  <w:style w:type="paragraph" w:styleId="Footer">
    <w:name w:val="footer"/>
    <w:basedOn w:val="Normal"/>
    <w:link w:val="FooterChar"/>
    <w:uiPriority w:val="99"/>
    <w:unhideWhenUsed/>
    <w:rsid w:val="00EF7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921"/>
  </w:style>
  <w:style w:type="paragraph" w:styleId="BalloonText">
    <w:name w:val="Balloon Text"/>
    <w:basedOn w:val="Normal"/>
    <w:link w:val="BalloonTextChar"/>
    <w:uiPriority w:val="99"/>
    <w:semiHidden/>
    <w:unhideWhenUsed/>
    <w:rsid w:val="00EF7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921"/>
    <w:rPr>
      <w:rFonts w:ascii="Tahoma" w:hAnsi="Tahoma" w:cs="Tahoma"/>
      <w:sz w:val="16"/>
      <w:szCs w:val="16"/>
    </w:rPr>
  </w:style>
  <w:style w:type="paragraph" w:styleId="FootnoteText">
    <w:name w:val="footnote text"/>
    <w:basedOn w:val="Normal"/>
    <w:link w:val="FootnoteTextChar"/>
    <w:uiPriority w:val="99"/>
    <w:semiHidden/>
    <w:unhideWhenUsed/>
    <w:rsid w:val="00EF7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921"/>
    <w:rPr>
      <w:sz w:val="20"/>
      <w:szCs w:val="20"/>
    </w:rPr>
  </w:style>
  <w:style w:type="character" w:styleId="FootnoteReference">
    <w:name w:val="footnote reference"/>
    <w:basedOn w:val="DefaultParagraphFont"/>
    <w:uiPriority w:val="99"/>
    <w:semiHidden/>
    <w:unhideWhenUsed/>
    <w:rsid w:val="00EF792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7.jpe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1CFD-4FEA-459E-BE41-B142D18C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MIOA</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Knezevic</dc:creator>
  <cp:lastModifiedBy>Natasa Knezevic</cp:lastModifiedBy>
  <cp:revision>2</cp:revision>
  <dcterms:created xsi:type="dcterms:W3CDTF">2014-09-18T07:32:00Z</dcterms:created>
  <dcterms:modified xsi:type="dcterms:W3CDTF">2014-09-18T07:32:00Z</dcterms:modified>
</cp:coreProperties>
</file>