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5F" w:rsidRPr="008216D8" w:rsidRDefault="00C1115F" w:rsidP="00C1115F">
      <w:pPr>
        <w:spacing w:before="100" w:beforeAutospacing="1" w:after="100" w:afterAutospacing="1"/>
        <w:jc w:val="both"/>
        <w:rPr>
          <w:rFonts w:ascii="Arial" w:hAnsi="Arial" w:cs="Arial"/>
          <w:lang w:val="mk-MK"/>
        </w:rPr>
      </w:pPr>
      <w:r w:rsidRPr="008216D8">
        <w:rPr>
          <w:rFonts w:ascii="Arial" w:hAnsi="Arial" w:cs="Arial"/>
          <w:lang w:val="mk-MK"/>
        </w:rPr>
        <w:t xml:space="preserve">Почитувани, </w:t>
      </w:r>
    </w:p>
    <w:p w:rsidR="00C1115F" w:rsidRPr="008216D8" w:rsidRDefault="00C1115F" w:rsidP="00C1115F">
      <w:pPr>
        <w:spacing w:before="100" w:beforeAutospacing="1" w:after="100" w:afterAutospacing="1"/>
        <w:jc w:val="both"/>
        <w:rPr>
          <w:rFonts w:ascii="Arial" w:hAnsi="Arial" w:cs="Arial"/>
          <w:lang w:val="mk-MK"/>
        </w:rPr>
      </w:pPr>
      <w:r w:rsidRPr="008216D8">
        <w:rPr>
          <w:rFonts w:ascii="Arial" w:hAnsi="Arial" w:cs="Arial"/>
          <w:lang w:val="mk-MK"/>
        </w:rPr>
        <w:t xml:space="preserve">Како група на приредувачи сакаме да ги истакнеме следниве забелешки и сугестии како би допринеле за поквалитетни решенија во новиот предлог закон за игрите на среќа и забавните игри. </w:t>
      </w:r>
    </w:p>
    <w:p w:rsidR="00C1115F" w:rsidRDefault="00C1115F" w:rsidP="00C1115F">
      <w:pPr>
        <w:spacing w:before="100" w:beforeAutospacing="1" w:after="100" w:afterAutospacing="1"/>
        <w:jc w:val="both"/>
        <w:rPr>
          <w:rFonts w:ascii="Arial" w:hAnsi="Arial" w:cs="Arial"/>
          <w:lang w:val="mk-MK"/>
        </w:rPr>
      </w:pPr>
      <w:r w:rsidRPr="008216D8">
        <w:rPr>
          <w:rFonts w:ascii="Arial" w:hAnsi="Arial" w:cs="Arial"/>
          <w:lang w:val="mk-MK"/>
        </w:rPr>
        <w:t xml:space="preserve">Воедно сакаме и да укажеме и на одредени лоши предлог измени со кои се кршат основните начела на злоупотреба на позицијата на пазарот, нелојаната конкренција и еднаквост на законот, кои би имале далекусежни негативни реперкусии и по државниот буџет. </w:t>
      </w:r>
    </w:p>
    <w:p w:rsidR="00302C90" w:rsidRDefault="00302C90" w:rsidP="00C1115F">
      <w:pPr>
        <w:spacing w:before="100" w:beforeAutospacing="1" w:after="100" w:afterAutospacing="1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Нашите забелешки и сугестии се поделени во три групи. </w:t>
      </w:r>
    </w:p>
    <w:p w:rsidR="00F87DAF" w:rsidRDefault="00F87DAF" w:rsidP="00C1115F">
      <w:pPr>
        <w:spacing w:before="100" w:beforeAutospacing="1" w:after="100" w:afterAutospacing="1"/>
        <w:jc w:val="both"/>
        <w:rPr>
          <w:rFonts w:ascii="Arial" w:hAnsi="Arial" w:cs="Arial"/>
          <w:lang w:val="mk-MK"/>
        </w:rPr>
      </w:pPr>
    </w:p>
    <w:p w:rsidR="00F16079" w:rsidRPr="00302C90" w:rsidRDefault="00F16079" w:rsidP="00F16079">
      <w:pPr>
        <w:spacing w:before="100" w:beforeAutospacing="1" w:after="100" w:afterAutospacing="1"/>
        <w:jc w:val="both"/>
        <w:rPr>
          <w:rFonts w:ascii="Arial" w:hAnsi="Arial" w:cs="Arial"/>
          <w:i/>
          <w:u w:val="single"/>
          <w:lang w:val="mk-MK"/>
        </w:rPr>
      </w:pPr>
      <w:r w:rsidRPr="00302C90">
        <w:rPr>
          <w:rFonts w:ascii="Arial" w:hAnsi="Arial" w:cs="Arial"/>
          <w:i/>
          <w:u w:val="single"/>
          <w:lang w:val="mk-MK"/>
        </w:rPr>
        <w:t xml:space="preserve">Прва група: </w:t>
      </w:r>
    </w:p>
    <w:p w:rsidR="00D753EE" w:rsidRDefault="00F16079" w:rsidP="00F16079">
      <w:pPr>
        <w:spacing w:before="100" w:beforeAutospacing="1" w:after="100" w:afterAutospacing="1"/>
        <w:jc w:val="both"/>
        <w:rPr>
          <w:rFonts w:ascii="Arial" w:hAnsi="Arial" w:cs="Arial"/>
          <w:lang w:val="mk-MK"/>
        </w:rPr>
      </w:pPr>
      <w:r w:rsidRPr="008216D8">
        <w:rPr>
          <w:rFonts w:ascii="Arial" w:hAnsi="Arial" w:cs="Arial"/>
          <w:lang w:val="mk-MK"/>
        </w:rPr>
        <w:t>Сметаме</w:t>
      </w:r>
      <w:r>
        <w:rPr>
          <w:rFonts w:ascii="Arial" w:hAnsi="Arial" w:cs="Arial"/>
          <w:lang w:val="mk-MK"/>
        </w:rPr>
        <w:t xml:space="preserve"> дека со предложените измени во член 21-а став 3 и во 55 став 1 - кои се однесуваат на дозволувањето на поставувањето на Видеолотариски терминали и во деловните простории во кои се приредуваат посебните игри на среќа – со сигурност ќе дојде до злоупотреба и стварање на нелојална конкуренција </w:t>
      </w:r>
      <w:r w:rsidR="00D753EE">
        <w:rPr>
          <w:rFonts w:ascii="Arial" w:hAnsi="Arial" w:cs="Arial"/>
          <w:lang w:val="mk-MK"/>
        </w:rPr>
        <w:t xml:space="preserve">на пазарот </w:t>
      </w:r>
      <w:r>
        <w:rPr>
          <w:rFonts w:ascii="Arial" w:hAnsi="Arial" w:cs="Arial"/>
          <w:lang w:val="mk-MK"/>
        </w:rPr>
        <w:t>со тоа што ќе им се овозможи на одредени приредувачи да наместо 20% или 360 евра по автомат, да платат само 50 евра за Видеолотариски терминал кој е ист како и обичниот автомат.</w:t>
      </w:r>
      <w:r w:rsidR="00D753EE">
        <w:rPr>
          <w:rFonts w:ascii="Arial" w:hAnsi="Arial" w:cs="Arial"/>
          <w:lang w:val="mk-MK"/>
        </w:rPr>
        <w:t xml:space="preserve"> Со оваа измена не само што ќе се стават одредени приредувачи во повластена позиција туку со оваа измена директно ќе се оштети и државниот буџет со драстично намалување на средствата кои треба да се уплатат по основ на посебните давачки. </w:t>
      </w:r>
    </w:p>
    <w:p w:rsidR="00F16079" w:rsidRDefault="00D753EE" w:rsidP="00F16079">
      <w:pPr>
        <w:spacing w:before="100" w:beforeAutospacing="1" w:after="100" w:afterAutospacing="1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Затоа предлагаме да во предложениот член 21-а став 3 се додадат зборовите: </w:t>
      </w:r>
      <w:r w:rsidR="00F16079">
        <w:rPr>
          <w:rFonts w:ascii="Arial" w:hAnsi="Arial" w:cs="Arial"/>
          <w:lang w:val="mk-MK"/>
        </w:rPr>
        <w:t xml:space="preserve"> </w:t>
      </w:r>
    </w:p>
    <w:p w:rsidR="00F16079" w:rsidRPr="00D753EE" w:rsidRDefault="00F16079" w:rsidP="00F16079">
      <w:pPr>
        <w:spacing w:before="100" w:beforeAutospacing="1" w:after="100" w:afterAutospacing="1"/>
        <w:jc w:val="both"/>
        <w:rPr>
          <w:rFonts w:ascii="Arial" w:hAnsi="Arial" w:cs="Arial"/>
          <w:i/>
          <w:lang w:val="mk-MK"/>
        </w:rPr>
      </w:pPr>
      <w:r w:rsidRPr="00D753EE">
        <w:rPr>
          <w:rFonts w:ascii="Arial" w:hAnsi="Arial" w:cs="Arial"/>
          <w:i/>
          <w:lang w:val="mk-MK"/>
        </w:rPr>
        <w:t xml:space="preserve">(3) Доколку барањето за издавање на решение за утврдување на исполнувањето на просторните и техничко-технолошките услови и поставеноста на опремата за приредување на електронски игри на среќа е поднесено од приредувачот од член 7 став (3) на овој закон, а се однесува за деловна просторија во која се приредуваат посебни игри на среќа, </w:t>
      </w:r>
      <w:r w:rsidR="00814DFA">
        <w:rPr>
          <w:rFonts w:ascii="Arial" w:hAnsi="Arial" w:cs="Arial"/>
          <w:i/>
          <w:lang w:val="mk-MK"/>
        </w:rPr>
        <w:t xml:space="preserve">- </w:t>
      </w:r>
      <w:r w:rsidR="00D753EE">
        <w:rPr>
          <w:rFonts w:ascii="Arial" w:hAnsi="Arial" w:cs="Arial"/>
          <w:b/>
          <w:i/>
          <w:lang w:val="mk-MK"/>
        </w:rPr>
        <w:t xml:space="preserve">мора да важат </w:t>
      </w:r>
      <w:r w:rsidR="00814DFA">
        <w:rPr>
          <w:rFonts w:ascii="Arial" w:hAnsi="Arial" w:cs="Arial"/>
          <w:b/>
          <w:i/>
          <w:lang w:val="mk-MK"/>
        </w:rPr>
        <w:t xml:space="preserve">истите </w:t>
      </w:r>
      <w:r w:rsidR="00D753EE">
        <w:rPr>
          <w:rFonts w:ascii="Arial" w:hAnsi="Arial" w:cs="Arial"/>
          <w:b/>
          <w:i/>
          <w:lang w:val="mk-MK"/>
        </w:rPr>
        <w:t>правила</w:t>
      </w:r>
      <w:r w:rsidR="00814DFA">
        <w:rPr>
          <w:rFonts w:ascii="Arial" w:hAnsi="Arial" w:cs="Arial"/>
          <w:b/>
          <w:i/>
          <w:lang w:val="mk-MK"/>
        </w:rPr>
        <w:t xml:space="preserve"> како и за автоматите и електронските рулети </w:t>
      </w:r>
      <w:r w:rsidR="00D753EE">
        <w:rPr>
          <w:rFonts w:ascii="Arial" w:hAnsi="Arial" w:cs="Arial"/>
          <w:b/>
          <w:i/>
          <w:lang w:val="mk-MK"/>
        </w:rPr>
        <w:t>за посебните игри на среќа, така што</w:t>
      </w:r>
      <w:r w:rsidR="00814DFA">
        <w:rPr>
          <w:rFonts w:ascii="Arial" w:hAnsi="Arial" w:cs="Arial"/>
          <w:b/>
          <w:i/>
          <w:lang w:val="mk-MK"/>
        </w:rPr>
        <w:t xml:space="preserve"> -</w:t>
      </w:r>
      <w:r w:rsidR="00D753EE">
        <w:rPr>
          <w:rFonts w:ascii="Arial" w:hAnsi="Arial" w:cs="Arial"/>
          <w:b/>
          <w:i/>
          <w:lang w:val="mk-MK"/>
        </w:rPr>
        <w:t xml:space="preserve"> </w:t>
      </w:r>
      <w:r w:rsidRPr="00D753EE">
        <w:rPr>
          <w:rFonts w:ascii="Arial" w:hAnsi="Arial" w:cs="Arial"/>
          <w:i/>
          <w:lang w:val="mk-MK"/>
        </w:rPr>
        <w:t>кон барањето се поднесуваат податоци за опремата за приредување на игрите на среќа сместена во деловната просторија и договор со кој се уредени правата и обврските меѓу приредувачот и субјектот кој ги приредува посебните игри на среќа.</w:t>
      </w:r>
    </w:p>
    <w:p w:rsidR="00D753EE" w:rsidRDefault="00D753EE" w:rsidP="00D753EE">
      <w:pPr>
        <w:spacing w:before="100" w:beforeAutospacing="1" w:after="100" w:afterAutospacing="1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Воедно и во предложениот член 55 став 1 се додадат зборовите:  </w:t>
      </w:r>
    </w:p>
    <w:p w:rsidR="00F16079" w:rsidRPr="00D753EE" w:rsidRDefault="00F16079" w:rsidP="00F16079">
      <w:pPr>
        <w:spacing w:before="240" w:after="120"/>
        <w:jc w:val="both"/>
        <w:outlineLvl w:val="4"/>
        <w:rPr>
          <w:rFonts w:ascii="Arial" w:hAnsi="Arial" w:cs="Arial"/>
          <w:bCs/>
          <w:i/>
          <w:lang w:val="mk-MK"/>
        </w:rPr>
      </w:pPr>
      <w:r w:rsidRPr="00D753EE">
        <w:rPr>
          <w:rFonts w:ascii="Arial" w:hAnsi="Arial" w:cs="Arial"/>
          <w:bCs/>
          <w:i/>
          <w:lang w:val="mk-MK"/>
        </w:rPr>
        <w:t>(1) Електронските игри на среќа се приредуваат само во сопствени простории на приредувачот и во простории во кои се приредуваат посебните игри на среќа</w:t>
      </w:r>
      <w:r w:rsidR="00814DFA">
        <w:rPr>
          <w:rFonts w:ascii="Arial" w:hAnsi="Arial" w:cs="Arial"/>
          <w:bCs/>
          <w:i/>
          <w:lang w:val="mk-MK"/>
        </w:rPr>
        <w:t xml:space="preserve"> </w:t>
      </w:r>
      <w:r w:rsidR="00814DFA">
        <w:rPr>
          <w:rFonts w:ascii="Arial" w:hAnsi="Arial" w:cs="Arial"/>
          <w:i/>
          <w:lang w:val="mk-MK"/>
        </w:rPr>
        <w:t xml:space="preserve">– </w:t>
      </w:r>
      <w:r w:rsidR="00814DFA" w:rsidRPr="00814DFA">
        <w:rPr>
          <w:rFonts w:ascii="Arial" w:hAnsi="Arial" w:cs="Arial"/>
          <w:b/>
          <w:i/>
          <w:lang w:val="mk-MK"/>
        </w:rPr>
        <w:t xml:space="preserve">за кои  важат истите правила како и за автоматите </w:t>
      </w:r>
      <w:r w:rsidR="00814DFA">
        <w:rPr>
          <w:rFonts w:ascii="Arial" w:hAnsi="Arial" w:cs="Arial"/>
          <w:b/>
          <w:i/>
          <w:lang w:val="mk-MK"/>
        </w:rPr>
        <w:t xml:space="preserve">и електорнските рулети </w:t>
      </w:r>
      <w:r w:rsidR="00814DFA" w:rsidRPr="00814DFA">
        <w:rPr>
          <w:rFonts w:ascii="Arial" w:hAnsi="Arial" w:cs="Arial"/>
          <w:b/>
          <w:i/>
          <w:lang w:val="mk-MK"/>
        </w:rPr>
        <w:t>за посебните игри на среќа,</w:t>
      </w:r>
      <w:r w:rsidRPr="00D753EE">
        <w:rPr>
          <w:rFonts w:ascii="Arial" w:hAnsi="Arial" w:cs="Arial"/>
          <w:bCs/>
          <w:i/>
          <w:lang w:val="mk-MK"/>
        </w:rPr>
        <w:t xml:space="preserve"> за кои приредувачот на електронските игри на среќа има добиено согласност од страна на Министерството за финансии.</w:t>
      </w:r>
    </w:p>
    <w:p w:rsidR="00994E8D" w:rsidRDefault="00994E8D" w:rsidP="00C1115F">
      <w:pPr>
        <w:spacing w:before="100" w:beforeAutospacing="1" w:after="100" w:afterAutospacing="1"/>
        <w:jc w:val="both"/>
        <w:rPr>
          <w:rFonts w:ascii="Arial" w:hAnsi="Arial" w:cs="Arial"/>
          <w:i/>
          <w:u w:val="single"/>
          <w:lang w:val="mk-MK"/>
        </w:rPr>
      </w:pPr>
    </w:p>
    <w:p w:rsidR="00994E8D" w:rsidRDefault="00994E8D" w:rsidP="00C1115F">
      <w:pPr>
        <w:spacing w:before="100" w:beforeAutospacing="1" w:after="100" w:afterAutospacing="1"/>
        <w:jc w:val="both"/>
        <w:rPr>
          <w:rFonts w:ascii="Arial" w:hAnsi="Arial" w:cs="Arial"/>
          <w:i/>
          <w:u w:val="single"/>
          <w:lang w:val="mk-MK"/>
        </w:rPr>
      </w:pPr>
    </w:p>
    <w:p w:rsidR="00302C90" w:rsidRPr="00302C90" w:rsidRDefault="00F16079" w:rsidP="00C1115F">
      <w:pPr>
        <w:spacing w:before="100" w:beforeAutospacing="1" w:after="100" w:afterAutospacing="1"/>
        <w:jc w:val="both"/>
        <w:rPr>
          <w:rFonts w:ascii="Arial" w:hAnsi="Arial" w:cs="Arial"/>
          <w:i/>
          <w:u w:val="single"/>
          <w:lang w:val="mk-MK"/>
        </w:rPr>
      </w:pPr>
      <w:r>
        <w:rPr>
          <w:rFonts w:ascii="Arial" w:hAnsi="Arial" w:cs="Arial"/>
          <w:i/>
          <w:u w:val="single"/>
          <w:lang w:val="mk-MK"/>
        </w:rPr>
        <w:t>Втора</w:t>
      </w:r>
      <w:r w:rsidR="00302C90" w:rsidRPr="00302C90">
        <w:rPr>
          <w:rFonts w:ascii="Arial" w:hAnsi="Arial" w:cs="Arial"/>
          <w:i/>
          <w:u w:val="single"/>
          <w:lang w:val="mk-MK"/>
        </w:rPr>
        <w:t xml:space="preserve"> група: </w:t>
      </w:r>
    </w:p>
    <w:p w:rsidR="0047324B" w:rsidRPr="008216D8" w:rsidRDefault="0047324B" w:rsidP="00C1115F">
      <w:pPr>
        <w:spacing w:before="100" w:beforeAutospacing="1" w:after="100" w:afterAutospacing="1"/>
        <w:jc w:val="both"/>
        <w:rPr>
          <w:rFonts w:ascii="Arial" w:hAnsi="Arial" w:cs="Arial"/>
          <w:lang w:val="mk-MK"/>
        </w:rPr>
      </w:pPr>
      <w:r w:rsidRPr="008216D8">
        <w:rPr>
          <w:rFonts w:ascii="Arial" w:hAnsi="Arial" w:cs="Arial"/>
          <w:lang w:val="mk-MK"/>
        </w:rPr>
        <w:t>Сметаме дека покрај Самопослужниот термнал треба да има законска можност и за дефинирање и воведување на Терминал за обложување со следнава дефениција:</w:t>
      </w:r>
    </w:p>
    <w:p w:rsidR="00C1115F" w:rsidRPr="008C17EA" w:rsidRDefault="008216D8" w:rsidP="00C1115F">
      <w:pPr>
        <w:spacing w:before="100" w:beforeAutospacing="1" w:after="100" w:afterAutospacing="1"/>
        <w:jc w:val="both"/>
        <w:rPr>
          <w:rFonts w:ascii="Arial" w:hAnsi="Arial" w:cs="Arial"/>
          <w:b/>
          <w:lang w:val="mk-MK"/>
        </w:rPr>
      </w:pPr>
      <w:r w:rsidRPr="008C17EA">
        <w:rPr>
          <w:rFonts w:ascii="Arial" w:hAnsi="Arial" w:cs="Arial"/>
          <w:b/>
        </w:rPr>
        <w:t>“</w:t>
      </w:r>
      <w:r w:rsidR="0047324B" w:rsidRPr="008C17EA">
        <w:rPr>
          <w:rFonts w:ascii="Arial" w:hAnsi="Arial" w:cs="Arial"/>
          <w:b/>
          <w:lang w:val="mk-MK"/>
        </w:rPr>
        <w:t xml:space="preserve">Терминал за обложување </w:t>
      </w:r>
      <w:r w:rsidR="00C1115F" w:rsidRPr="008C17EA">
        <w:rPr>
          <w:rFonts w:ascii="Arial" w:hAnsi="Arial" w:cs="Arial"/>
          <w:b/>
        </w:rPr>
        <w:t xml:space="preserve">е уред на кој може да се врши уплата и да се играат </w:t>
      </w:r>
      <w:r w:rsidR="0047324B" w:rsidRPr="008C17EA">
        <w:rPr>
          <w:rFonts w:ascii="Arial" w:hAnsi="Arial" w:cs="Arial"/>
          <w:b/>
          <w:lang w:val="mk-MK"/>
        </w:rPr>
        <w:t>игрите на с</w:t>
      </w:r>
      <w:r w:rsidRPr="008C17EA">
        <w:rPr>
          <w:rFonts w:ascii="Arial" w:hAnsi="Arial" w:cs="Arial"/>
          <w:b/>
          <w:lang w:val="mk-MK"/>
        </w:rPr>
        <w:t>реќа во обложувалница”</w:t>
      </w:r>
      <w:r w:rsidRPr="008C17EA">
        <w:rPr>
          <w:rFonts w:ascii="Arial" w:hAnsi="Arial" w:cs="Arial"/>
          <w:b/>
        </w:rPr>
        <w:t xml:space="preserve">. </w:t>
      </w:r>
      <w:r w:rsidR="0047324B" w:rsidRPr="008C17EA">
        <w:rPr>
          <w:rFonts w:ascii="Arial" w:hAnsi="Arial" w:cs="Arial"/>
          <w:b/>
          <w:lang w:val="mk-MK"/>
        </w:rPr>
        <w:t xml:space="preserve"> </w:t>
      </w:r>
    </w:p>
    <w:p w:rsidR="008C5F77" w:rsidRDefault="008216D8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Во оваа насока би следел нов член 28-б кој би го регулирал Терминалот за обложување, кој би следел веднаш после членот 28-а кој го регулира Самопослужниот терминал. </w:t>
      </w:r>
    </w:p>
    <w:p w:rsidR="008216D8" w:rsidRPr="008C17EA" w:rsidRDefault="008216D8" w:rsidP="008216D8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  <w:lang w:val="mk-MK"/>
        </w:rPr>
      </w:pPr>
      <w:r w:rsidRPr="008C17EA">
        <w:rPr>
          <w:rFonts w:ascii="Arial" w:hAnsi="Arial" w:cs="Arial"/>
          <w:b/>
          <w:sz w:val="20"/>
          <w:szCs w:val="20"/>
          <w:lang w:val="mk-MK"/>
        </w:rPr>
        <w:t>Член 28-б</w:t>
      </w:r>
    </w:p>
    <w:p w:rsidR="008216D8" w:rsidRDefault="008216D8" w:rsidP="008216D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(1) Уплатите за електронските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игри на среќа може да се примаат и преку терминали</w:t>
      </w:r>
      <w:r>
        <w:rPr>
          <w:rFonts w:ascii="Arial" w:hAnsi="Arial" w:cs="Arial"/>
          <w:sz w:val="20"/>
          <w:szCs w:val="20"/>
          <w:lang w:val="mk-MK"/>
        </w:rPr>
        <w:t xml:space="preserve">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>, кои можат да бидат сместени во деловните простории во кои се приредуваат посебни игри на среќа</w:t>
      </w:r>
      <w:r>
        <w:rPr>
          <w:rFonts w:ascii="Arial" w:hAnsi="Arial" w:cs="Arial"/>
          <w:sz w:val="20"/>
          <w:szCs w:val="20"/>
          <w:lang w:val="mk-MK"/>
        </w:rPr>
        <w:t xml:space="preserve">. </w:t>
      </w:r>
    </w:p>
    <w:p w:rsidR="008216D8" w:rsidRPr="008216D8" w:rsidRDefault="008216D8" w:rsidP="008216D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mk-MK"/>
        </w:rPr>
      </w:pPr>
      <w:r w:rsidRPr="008216D8">
        <w:rPr>
          <w:rFonts w:ascii="Arial" w:hAnsi="Arial" w:cs="Arial"/>
          <w:sz w:val="20"/>
          <w:szCs w:val="20"/>
          <w:lang w:val="mk-MK"/>
        </w:rPr>
        <w:t xml:space="preserve">(2) </w:t>
      </w:r>
      <w:r>
        <w:rPr>
          <w:rFonts w:ascii="Arial" w:hAnsi="Arial" w:cs="Arial"/>
          <w:sz w:val="20"/>
          <w:szCs w:val="20"/>
          <w:lang w:val="mk-MK"/>
        </w:rPr>
        <w:t>Т</w:t>
      </w:r>
      <w:r w:rsidRPr="008216D8">
        <w:rPr>
          <w:rFonts w:ascii="Arial" w:hAnsi="Arial" w:cs="Arial"/>
          <w:sz w:val="20"/>
          <w:szCs w:val="20"/>
          <w:lang w:val="mk-MK"/>
        </w:rPr>
        <w:t>ерминали</w:t>
      </w:r>
      <w:r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не смее да се поставуваат во образовни, културни, социјални и здравствени објекти.</w:t>
      </w:r>
    </w:p>
    <w:p w:rsidR="008216D8" w:rsidRPr="008216D8" w:rsidRDefault="008216D8" w:rsidP="008216D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mk-MK"/>
        </w:rPr>
      </w:pPr>
      <w:r w:rsidRPr="008216D8">
        <w:rPr>
          <w:rFonts w:ascii="Arial" w:hAnsi="Arial" w:cs="Arial"/>
          <w:sz w:val="20"/>
          <w:szCs w:val="20"/>
          <w:lang w:val="mk-MK"/>
        </w:rPr>
        <w:t xml:space="preserve">(3)  Приредувачот на </w:t>
      </w:r>
      <w:r>
        <w:rPr>
          <w:rFonts w:ascii="Arial" w:hAnsi="Arial" w:cs="Arial"/>
          <w:sz w:val="20"/>
          <w:szCs w:val="20"/>
          <w:lang w:val="mk-MK"/>
        </w:rPr>
        <w:t xml:space="preserve">посебните </w:t>
      </w:r>
      <w:r w:rsidRPr="008216D8">
        <w:rPr>
          <w:rFonts w:ascii="Arial" w:hAnsi="Arial" w:cs="Arial"/>
          <w:sz w:val="20"/>
          <w:szCs w:val="20"/>
          <w:lang w:val="mk-MK"/>
        </w:rPr>
        <w:t>игри на среќа поднесува барање за добивање на согласност за деловните простории каде што ќе се поставуваат терминали</w:t>
      </w:r>
      <w:r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до Министерството за финансии, на пропишан образец, кон кој доставува:</w:t>
      </w:r>
    </w:p>
    <w:p w:rsidR="008216D8" w:rsidRPr="008216D8" w:rsidRDefault="008216D8" w:rsidP="008216D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mk-MK"/>
        </w:rPr>
      </w:pPr>
      <w:r w:rsidRPr="008216D8">
        <w:rPr>
          <w:rFonts w:ascii="Arial" w:hAnsi="Arial" w:cs="Arial"/>
          <w:sz w:val="20"/>
          <w:szCs w:val="20"/>
          <w:lang w:val="mk-MK"/>
        </w:rPr>
        <w:t>1) податоци за адресата, местото и површината на деловните простории каде што ќе се поставуваат терминали</w:t>
      </w:r>
      <w:r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>;</w:t>
      </w:r>
    </w:p>
    <w:p w:rsidR="008216D8" w:rsidRPr="008216D8" w:rsidRDefault="008216D8" w:rsidP="008216D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mk-MK"/>
        </w:rPr>
      </w:pPr>
      <w:r w:rsidRPr="008216D8">
        <w:rPr>
          <w:rFonts w:ascii="Arial" w:hAnsi="Arial" w:cs="Arial"/>
          <w:sz w:val="20"/>
          <w:szCs w:val="20"/>
          <w:lang w:val="mk-MK"/>
        </w:rPr>
        <w:t>2) доказ со кој се потврдува дека во деловните простории се поставени  терминали</w:t>
      </w:r>
      <w:r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на приредувачот не постар од 30 дена од денот на неговото издавање и</w:t>
      </w:r>
    </w:p>
    <w:p w:rsidR="008216D8" w:rsidRPr="008216D8" w:rsidRDefault="008216D8" w:rsidP="008216D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mk-MK"/>
        </w:rPr>
      </w:pPr>
      <w:r w:rsidRPr="008216D8">
        <w:rPr>
          <w:rFonts w:ascii="Arial" w:hAnsi="Arial" w:cs="Arial"/>
          <w:sz w:val="20"/>
          <w:szCs w:val="20"/>
          <w:lang w:val="mk-MK"/>
        </w:rPr>
        <w:t>3) документ со кој се докажува оддалеченоста на објектот во кој се поставени терминали</w:t>
      </w:r>
      <w:r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не постар од 6 месеци од денот на неговото издавање, дека објектот во кој се </w:t>
      </w:r>
      <w:r>
        <w:rPr>
          <w:rFonts w:ascii="Arial" w:hAnsi="Arial" w:cs="Arial"/>
          <w:sz w:val="20"/>
          <w:szCs w:val="20"/>
          <w:lang w:val="mk-MK"/>
        </w:rPr>
        <w:t xml:space="preserve">поставени </w:t>
      </w:r>
      <w:r w:rsidRPr="008216D8">
        <w:rPr>
          <w:rFonts w:ascii="Arial" w:hAnsi="Arial" w:cs="Arial"/>
          <w:sz w:val="20"/>
          <w:szCs w:val="20"/>
          <w:lang w:val="mk-MK"/>
        </w:rPr>
        <w:t>терминали</w:t>
      </w:r>
      <w:r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се наоѓа на оддалеченост не помалку од 100 метри од основни и средни училишта.</w:t>
      </w:r>
    </w:p>
    <w:p w:rsidR="008216D8" w:rsidRPr="008216D8" w:rsidRDefault="008216D8" w:rsidP="008216D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mk-MK"/>
        </w:rPr>
      </w:pPr>
      <w:r w:rsidRPr="008216D8">
        <w:rPr>
          <w:rFonts w:ascii="Arial" w:hAnsi="Arial" w:cs="Arial"/>
          <w:sz w:val="20"/>
          <w:szCs w:val="20"/>
          <w:lang w:val="mk-MK"/>
        </w:rPr>
        <w:t xml:space="preserve">(4) Приредувачот на </w:t>
      </w:r>
      <w:r>
        <w:rPr>
          <w:rFonts w:ascii="Arial" w:hAnsi="Arial" w:cs="Arial"/>
          <w:sz w:val="20"/>
          <w:szCs w:val="20"/>
          <w:lang w:val="mk-MK"/>
        </w:rPr>
        <w:t xml:space="preserve">електронските </w:t>
      </w:r>
      <w:r w:rsidRPr="008216D8">
        <w:rPr>
          <w:rFonts w:ascii="Arial" w:hAnsi="Arial" w:cs="Arial"/>
          <w:sz w:val="20"/>
          <w:szCs w:val="20"/>
          <w:lang w:val="mk-MK"/>
        </w:rPr>
        <w:t>игри на среќа поднесува барање за добивање на согалсн</w:t>
      </w:r>
      <w:r>
        <w:rPr>
          <w:rFonts w:ascii="Arial" w:hAnsi="Arial" w:cs="Arial"/>
          <w:sz w:val="20"/>
          <w:szCs w:val="20"/>
          <w:lang w:val="mk-MK"/>
        </w:rPr>
        <w:t>ост за зголемување на бројот на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терминали</w:t>
      </w:r>
      <w:r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во деловните простории во кои се приредуваат </w:t>
      </w:r>
      <w:r>
        <w:rPr>
          <w:rFonts w:ascii="Arial" w:hAnsi="Arial" w:cs="Arial"/>
          <w:sz w:val="20"/>
          <w:szCs w:val="20"/>
          <w:lang w:val="mk-MK"/>
        </w:rPr>
        <w:t xml:space="preserve">електронските </w:t>
      </w:r>
      <w:r w:rsidRPr="008216D8">
        <w:rPr>
          <w:rFonts w:ascii="Arial" w:hAnsi="Arial" w:cs="Arial"/>
          <w:sz w:val="20"/>
          <w:szCs w:val="20"/>
          <w:lang w:val="mk-MK"/>
        </w:rPr>
        <w:t>ири на среќа до Министерството за финансии, на пропишан образец, кон кој доставува доказ со кој се потврдува дека во деловните простории се поставени  терминали</w:t>
      </w:r>
      <w:r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на приредувачот.</w:t>
      </w:r>
    </w:p>
    <w:p w:rsidR="008216D8" w:rsidRPr="008216D8" w:rsidRDefault="008216D8" w:rsidP="008216D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mk-MK"/>
        </w:rPr>
      </w:pPr>
      <w:r w:rsidRPr="008216D8">
        <w:rPr>
          <w:rFonts w:ascii="Arial" w:hAnsi="Arial" w:cs="Arial"/>
          <w:sz w:val="20"/>
          <w:szCs w:val="20"/>
          <w:lang w:val="mk-MK"/>
        </w:rPr>
        <w:t xml:space="preserve">(5) Приредувачот на </w:t>
      </w:r>
      <w:r>
        <w:rPr>
          <w:rFonts w:ascii="Arial" w:hAnsi="Arial" w:cs="Arial"/>
          <w:sz w:val="20"/>
          <w:szCs w:val="20"/>
          <w:lang w:val="mk-MK"/>
        </w:rPr>
        <w:t xml:space="preserve">електронските </w:t>
      </w:r>
      <w:r w:rsidRPr="008216D8">
        <w:rPr>
          <w:rFonts w:ascii="Arial" w:hAnsi="Arial" w:cs="Arial"/>
          <w:sz w:val="20"/>
          <w:szCs w:val="20"/>
          <w:lang w:val="mk-MK"/>
        </w:rPr>
        <w:t>игри на среќа поднесува барање за добивање на согласност за намалување на бројот на терминали</w:t>
      </w:r>
      <w:r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во деловните простории во кои с</w:t>
      </w:r>
      <w:r>
        <w:rPr>
          <w:rFonts w:ascii="Arial" w:hAnsi="Arial" w:cs="Arial"/>
          <w:sz w:val="20"/>
          <w:szCs w:val="20"/>
          <w:lang w:val="mk-MK"/>
        </w:rPr>
        <w:t>е приредуваат електорнските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игри на среќа до Министерството за финансии, на пропишан образец, кон кој доставува доказ со кој се потврдува дека во деловните про</w:t>
      </w:r>
      <w:r>
        <w:rPr>
          <w:rFonts w:ascii="Arial" w:hAnsi="Arial" w:cs="Arial"/>
          <w:sz w:val="20"/>
          <w:szCs w:val="20"/>
          <w:lang w:val="mk-MK"/>
        </w:rPr>
        <w:t>стории се исклучени од употреба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терминали</w:t>
      </w:r>
      <w:r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на приредувачот.</w:t>
      </w:r>
    </w:p>
    <w:p w:rsidR="008216D8" w:rsidRPr="008216D8" w:rsidRDefault="008216D8" w:rsidP="008216D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mk-MK"/>
        </w:rPr>
      </w:pPr>
      <w:r w:rsidRPr="008216D8">
        <w:rPr>
          <w:rFonts w:ascii="Arial" w:hAnsi="Arial" w:cs="Arial"/>
          <w:sz w:val="20"/>
          <w:szCs w:val="20"/>
          <w:lang w:val="mk-MK"/>
        </w:rPr>
        <w:lastRenderedPageBreak/>
        <w:t xml:space="preserve">(6) Приредувачот на </w:t>
      </w:r>
      <w:r>
        <w:rPr>
          <w:rFonts w:ascii="Arial" w:hAnsi="Arial" w:cs="Arial"/>
          <w:sz w:val="20"/>
          <w:szCs w:val="20"/>
          <w:lang w:val="mk-MK"/>
        </w:rPr>
        <w:t>електронските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игри на среќа поднесува барање за добивање на согласност за промена на деловната просторија каде што се поставени терминали</w:t>
      </w:r>
      <w:r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до Министерството за финансии, на пропишан образец, кон кој ги приложува доказите од став (3) на овој член и доказ дека во претходната деловна простор</w:t>
      </w:r>
      <w:r>
        <w:rPr>
          <w:rFonts w:ascii="Arial" w:hAnsi="Arial" w:cs="Arial"/>
          <w:sz w:val="20"/>
          <w:szCs w:val="20"/>
          <w:lang w:val="mk-MK"/>
        </w:rPr>
        <w:t>ија  не се приредуваат електронски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игри на ср</w:t>
      </w:r>
      <w:r>
        <w:rPr>
          <w:rFonts w:ascii="Arial" w:hAnsi="Arial" w:cs="Arial"/>
          <w:sz w:val="20"/>
          <w:szCs w:val="20"/>
          <w:lang w:val="mk-MK"/>
        </w:rPr>
        <w:t xml:space="preserve">еќа преку </w:t>
      </w:r>
      <w:r w:rsidRPr="008216D8">
        <w:rPr>
          <w:rFonts w:ascii="Arial" w:hAnsi="Arial" w:cs="Arial"/>
          <w:sz w:val="20"/>
          <w:szCs w:val="20"/>
          <w:lang w:val="mk-MK"/>
        </w:rPr>
        <w:t>терминали</w:t>
      </w:r>
      <w:r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од страна на приредувачот. </w:t>
      </w:r>
    </w:p>
    <w:p w:rsidR="008216D8" w:rsidRPr="008216D8" w:rsidRDefault="008216D8" w:rsidP="008216D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(7) Приредувачот на електронските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игри на среќа што се приредуваат на терминали</w:t>
      </w:r>
      <w:r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има право да престане со приредување на </w:t>
      </w:r>
      <w:r>
        <w:rPr>
          <w:rFonts w:ascii="Arial" w:hAnsi="Arial" w:cs="Arial"/>
          <w:sz w:val="20"/>
          <w:szCs w:val="20"/>
          <w:lang w:val="mk-MK"/>
        </w:rPr>
        <w:t>електронските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игри на</w:t>
      </w:r>
      <w:r>
        <w:rPr>
          <w:rFonts w:ascii="Arial" w:hAnsi="Arial" w:cs="Arial"/>
          <w:sz w:val="20"/>
          <w:szCs w:val="20"/>
          <w:lang w:val="mk-MK"/>
        </w:rPr>
        <w:t xml:space="preserve"> среќа на </w:t>
      </w:r>
      <w:r w:rsidRPr="008216D8">
        <w:rPr>
          <w:rFonts w:ascii="Arial" w:hAnsi="Arial" w:cs="Arial"/>
          <w:sz w:val="20"/>
          <w:szCs w:val="20"/>
          <w:lang w:val="mk-MK"/>
        </w:rPr>
        <w:t>терминали</w:t>
      </w:r>
      <w:r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во деловната просторија за која има добиено одобрение од Министерството за финансии.</w:t>
      </w:r>
    </w:p>
    <w:p w:rsidR="008216D8" w:rsidRPr="008216D8" w:rsidRDefault="008216D8" w:rsidP="008216D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(8) Приредувачот на електронските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игри на среќа поднесува барање за добивање на одобрение за престанок на приредување на </w:t>
      </w:r>
      <w:r>
        <w:rPr>
          <w:rFonts w:ascii="Arial" w:hAnsi="Arial" w:cs="Arial"/>
          <w:sz w:val="20"/>
          <w:szCs w:val="20"/>
          <w:lang w:val="mk-MK"/>
        </w:rPr>
        <w:t>електронските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игри на среќа на терминали</w:t>
      </w:r>
      <w:r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во деловната просторија за која има добиено согласност, до Министерството за финансии, на пропишан образец.</w:t>
      </w:r>
    </w:p>
    <w:p w:rsidR="008216D8" w:rsidRPr="008216D8" w:rsidRDefault="008216D8" w:rsidP="008216D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mk-MK"/>
        </w:rPr>
      </w:pPr>
      <w:r w:rsidRPr="008216D8">
        <w:rPr>
          <w:rFonts w:ascii="Arial" w:hAnsi="Arial" w:cs="Arial"/>
          <w:sz w:val="20"/>
          <w:szCs w:val="20"/>
          <w:lang w:val="mk-MK"/>
        </w:rPr>
        <w:t xml:space="preserve">(9) Кон барањето од ставот (5)  на овој </w:t>
      </w:r>
      <w:r>
        <w:rPr>
          <w:rFonts w:ascii="Arial" w:hAnsi="Arial" w:cs="Arial"/>
          <w:sz w:val="20"/>
          <w:szCs w:val="20"/>
          <w:lang w:val="mk-MK"/>
        </w:rPr>
        <w:t>член приредувачот на електронските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игри на</w:t>
      </w:r>
      <w:r>
        <w:rPr>
          <w:rFonts w:ascii="Arial" w:hAnsi="Arial" w:cs="Arial"/>
          <w:sz w:val="20"/>
          <w:szCs w:val="20"/>
          <w:lang w:val="mk-MK"/>
        </w:rPr>
        <w:t xml:space="preserve"> среќа на </w:t>
      </w:r>
      <w:r w:rsidRPr="008216D8">
        <w:rPr>
          <w:rFonts w:ascii="Arial" w:hAnsi="Arial" w:cs="Arial"/>
          <w:sz w:val="20"/>
          <w:szCs w:val="20"/>
          <w:lang w:val="mk-MK"/>
        </w:rPr>
        <w:t>терминали</w:t>
      </w:r>
      <w:r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приложува доказ дека во деловната просторија која ја користел не се приредуваат </w:t>
      </w:r>
      <w:r>
        <w:rPr>
          <w:rFonts w:ascii="Arial" w:hAnsi="Arial" w:cs="Arial"/>
          <w:sz w:val="20"/>
          <w:szCs w:val="20"/>
          <w:lang w:val="mk-MK"/>
        </w:rPr>
        <w:t xml:space="preserve">електронските </w:t>
      </w:r>
      <w:r w:rsidRPr="008216D8">
        <w:rPr>
          <w:rFonts w:ascii="Arial" w:hAnsi="Arial" w:cs="Arial"/>
          <w:sz w:val="20"/>
          <w:szCs w:val="20"/>
          <w:lang w:val="mk-MK"/>
        </w:rPr>
        <w:t>игри на среќа на терминали</w:t>
      </w:r>
      <w:r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од негова страна не постар од 30 дена од денот на неговото издавање.</w:t>
      </w:r>
    </w:p>
    <w:p w:rsidR="008216D8" w:rsidRPr="008216D8" w:rsidRDefault="008216D8" w:rsidP="008216D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mk-MK"/>
        </w:rPr>
      </w:pPr>
      <w:r w:rsidRPr="008216D8">
        <w:rPr>
          <w:rFonts w:ascii="Arial" w:hAnsi="Arial" w:cs="Arial"/>
          <w:sz w:val="20"/>
          <w:szCs w:val="20"/>
          <w:lang w:val="mk-MK"/>
        </w:rPr>
        <w:t>(10) Како ден на престан</w:t>
      </w:r>
      <w:r>
        <w:rPr>
          <w:rFonts w:ascii="Arial" w:hAnsi="Arial" w:cs="Arial"/>
          <w:sz w:val="20"/>
          <w:szCs w:val="20"/>
          <w:lang w:val="mk-MK"/>
        </w:rPr>
        <w:t>ок со приредување на електронските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игри на среќа на терминали</w:t>
      </w:r>
      <w:r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се смета денот кога тоа е утврдено со записник од страна на Управата за јавни приходи.</w:t>
      </w:r>
    </w:p>
    <w:p w:rsidR="008216D8" w:rsidRPr="008216D8" w:rsidRDefault="008216D8" w:rsidP="008216D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mk-MK"/>
        </w:rPr>
      </w:pPr>
      <w:r w:rsidRPr="008216D8">
        <w:rPr>
          <w:rFonts w:ascii="Arial" w:hAnsi="Arial" w:cs="Arial"/>
          <w:sz w:val="20"/>
          <w:szCs w:val="20"/>
          <w:lang w:val="mk-MK"/>
        </w:rPr>
        <w:t xml:space="preserve"> (11) Министерството за финансии со решение одлучува за давање на согласност за деловните просториите каде што ќе се поставуваат</w:t>
      </w:r>
      <w:r w:rsidR="00936202" w:rsidRPr="00936202">
        <w:rPr>
          <w:rFonts w:ascii="Arial" w:hAnsi="Arial" w:cs="Arial"/>
          <w:sz w:val="20"/>
          <w:szCs w:val="20"/>
          <w:lang w:val="mk-MK"/>
        </w:rPr>
        <w:t xml:space="preserve"> </w:t>
      </w:r>
      <w:r w:rsidR="00936202" w:rsidRPr="008216D8">
        <w:rPr>
          <w:rFonts w:ascii="Arial" w:hAnsi="Arial" w:cs="Arial"/>
          <w:sz w:val="20"/>
          <w:szCs w:val="20"/>
          <w:lang w:val="mk-MK"/>
        </w:rPr>
        <w:t>терминали</w:t>
      </w:r>
      <w:r w:rsidR="00936202"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, за давање согласност за зголемување на </w:t>
      </w:r>
      <w:r w:rsidR="00936202">
        <w:rPr>
          <w:rFonts w:ascii="Arial" w:hAnsi="Arial" w:cs="Arial"/>
          <w:sz w:val="20"/>
          <w:szCs w:val="20"/>
          <w:lang w:val="mk-MK"/>
        </w:rPr>
        <w:t xml:space="preserve">бројот на </w:t>
      </w:r>
      <w:r w:rsidR="00936202" w:rsidRPr="008216D8">
        <w:rPr>
          <w:rFonts w:ascii="Arial" w:hAnsi="Arial" w:cs="Arial"/>
          <w:sz w:val="20"/>
          <w:szCs w:val="20"/>
          <w:lang w:val="mk-MK"/>
        </w:rPr>
        <w:t>терминали</w:t>
      </w:r>
      <w:r w:rsidR="00936202"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, за давање согласност за намалување на </w:t>
      </w:r>
      <w:r w:rsidR="00936202">
        <w:rPr>
          <w:rFonts w:ascii="Arial" w:hAnsi="Arial" w:cs="Arial"/>
          <w:sz w:val="20"/>
          <w:szCs w:val="20"/>
          <w:lang w:val="mk-MK"/>
        </w:rPr>
        <w:t xml:space="preserve">бројот на </w:t>
      </w:r>
      <w:r w:rsidR="00936202" w:rsidRPr="008216D8">
        <w:rPr>
          <w:rFonts w:ascii="Arial" w:hAnsi="Arial" w:cs="Arial"/>
          <w:sz w:val="20"/>
          <w:szCs w:val="20"/>
          <w:lang w:val="mk-MK"/>
        </w:rPr>
        <w:t>терминали</w:t>
      </w:r>
      <w:r w:rsidR="00936202"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, за давање на согласност за промена на деловната просторија во која се поставуваат </w:t>
      </w:r>
      <w:r w:rsidR="00936202" w:rsidRPr="008216D8">
        <w:rPr>
          <w:rFonts w:ascii="Arial" w:hAnsi="Arial" w:cs="Arial"/>
          <w:sz w:val="20"/>
          <w:szCs w:val="20"/>
          <w:lang w:val="mk-MK"/>
        </w:rPr>
        <w:t>терминали</w:t>
      </w:r>
      <w:r w:rsidR="00936202"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и за давање на одобрение за прест</w:t>
      </w:r>
      <w:r w:rsidR="00936202">
        <w:rPr>
          <w:rFonts w:ascii="Arial" w:hAnsi="Arial" w:cs="Arial"/>
          <w:sz w:val="20"/>
          <w:szCs w:val="20"/>
          <w:lang w:val="mk-MK"/>
        </w:rPr>
        <w:t>анок на приредување на електронски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игри на среќа на </w:t>
      </w:r>
      <w:r w:rsidR="00936202" w:rsidRPr="008216D8">
        <w:rPr>
          <w:rFonts w:ascii="Arial" w:hAnsi="Arial" w:cs="Arial"/>
          <w:sz w:val="20"/>
          <w:szCs w:val="20"/>
          <w:lang w:val="mk-MK"/>
        </w:rPr>
        <w:t>терминали</w:t>
      </w:r>
      <w:r w:rsidR="00936202"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>, во рок од 15 дена од денот на поднесувањето на барањето.</w:t>
      </w:r>
    </w:p>
    <w:p w:rsidR="008216D8" w:rsidRPr="008216D8" w:rsidRDefault="008216D8" w:rsidP="008216D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mk-MK"/>
        </w:rPr>
      </w:pPr>
      <w:r w:rsidRPr="008216D8">
        <w:rPr>
          <w:rFonts w:ascii="Arial" w:hAnsi="Arial" w:cs="Arial"/>
          <w:sz w:val="20"/>
          <w:szCs w:val="20"/>
          <w:lang w:val="mk-MK"/>
        </w:rPr>
        <w:t>(12) Министерството за финансии за доставените барања од ставовите (3), (4) (5) ,(6) и (8) на овој член ја известува Управата за јавни приходи веднаш по нивниот прием и по службена должност и ги доставува решенијата од ставот (11) на овој член.</w:t>
      </w:r>
    </w:p>
    <w:p w:rsidR="008216D8" w:rsidRPr="008216D8" w:rsidRDefault="008216D8" w:rsidP="008216D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mk-MK"/>
        </w:rPr>
      </w:pPr>
      <w:r w:rsidRPr="008216D8">
        <w:rPr>
          <w:rFonts w:ascii="Arial" w:hAnsi="Arial" w:cs="Arial"/>
          <w:sz w:val="20"/>
          <w:szCs w:val="20"/>
          <w:lang w:val="mk-MK"/>
        </w:rPr>
        <w:t xml:space="preserve">(13) Формата и содржината на образецот на барањето од ставовите (3),(4), (5),(6) и (8) на овој член ги пропишува министерот за финансии. </w:t>
      </w:r>
    </w:p>
    <w:p w:rsidR="008216D8" w:rsidRDefault="008216D8" w:rsidP="008216D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mk-MK"/>
        </w:rPr>
      </w:pPr>
      <w:r w:rsidRPr="008216D8">
        <w:rPr>
          <w:rFonts w:ascii="Arial" w:hAnsi="Arial" w:cs="Arial"/>
          <w:sz w:val="20"/>
          <w:szCs w:val="20"/>
          <w:lang w:val="mk-MK"/>
        </w:rPr>
        <w:t>(14)  Просторните и техничко-технолошките ус</w:t>
      </w:r>
      <w:r w:rsidR="00936202">
        <w:rPr>
          <w:rFonts w:ascii="Arial" w:hAnsi="Arial" w:cs="Arial"/>
          <w:sz w:val="20"/>
          <w:szCs w:val="20"/>
          <w:lang w:val="mk-MK"/>
        </w:rPr>
        <w:t>лови за приредување на електронски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игри на ср</w:t>
      </w:r>
      <w:r w:rsidR="00936202">
        <w:rPr>
          <w:rFonts w:ascii="Arial" w:hAnsi="Arial" w:cs="Arial"/>
          <w:sz w:val="20"/>
          <w:szCs w:val="20"/>
          <w:lang w:val="mk-MK"/>
        </w:rPr>
        <w:t xml:space="preserve">еќа преку </w:t>
      </w:r>
      <w:r w:rsidR="00936202" w:rsidRPr="008216D8">
        <w:rPr>
          <w:rFonts w:ascii="Arial" w:hAnsi="Arial" w:cs="Arial"/>
          <w:sz w:val="20"/>
          <w:szCs w:val="20"/>
          <w:lang w:val="mk-MK"/>
        </w:rPr>
        <w:t>терминали</w:t>
      </w:r>
      <w:r w:rsidR="00936202">
        <w:rPr>
          <w:rFonts w:ascii="Arial" w:hAnsi="Arial" w:cs="Arial"/>
          <w:sz w:val="20"/>
          <w:szCs w:val="20"/>
          <w:lang w:val="mk-MK"/>
        </w:rPr>
        <w:t>те за обложување</w:t>
      </w:r>
      <w:r w:rsidRPr="008216D8">
        <w:rPr>
          <w:rFonts w:ascii="Arial" w:hAnsi="Arial" w:cs="Arial"/>
          <w:sz w:val="20"/>
          <w:szCs w:val="20"/>
          <w:lang w:val="mk-MK"/>
        </w:rPr>
        <w:t xml:space="preserve"> ги пропишува министерот за финансии.“</w:t>
      </w:r>
    </w:p>
    <w:p w:rsidR="00E102F9" w:rsidRPr="008C17EA" w:rsidRDefault="00E102F9" w:rsidP="00E102F9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>Член 28-в</w:t>
      </w:r>
    </w:p>
    <w:p w:rsidR="00E102F9" w:rsidRPr="00E102F9" w:rsidRDefault="002C63F1" w:rsidP="00E102F9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>
        <w:rPr>
          <w:rFonts w:ascii="Arial" w:eastAsia="Times New Roman" w:hAnsi="Arial" w:cs="Arial"/>
          <w:sz w:val="20"/>
          <w:szCs w:val="20"/>
          <w:lang w:val="mk-MK" w:eastAsia="ar-SA"/>
        </w:rPr>
        <w:t>(1</w:t>
      </w:r>
      <w:r w:rsidRPr="00E102F9">
        <w:rPr>
          <w:rFonts w:ascii="Arial" w:eastAsia="Times New Roman" w:hAnsi="Arial" w:cs="Arial"/>
          <w:sz w:val="20"/>
          <w:szCs w:val="20"/>
          <w:lang w:val="mk-MK" w:eastAsia="ar-SA"/>
        </w:rPr>
        <w:t xml:space="preserve">) </w:t>
      </w:r>
      <w:r w:rsidR="00E102F9" w:rsidRPr="00E102F9">
        <w:rPr>
          <w:rFonts w:ascii="Arial" w:hAnsi="Arial" w:cs="Arial"/>
          <w:sz w:val="20"/>
          <w:szCs w:val="20"/>
          <w:lang w:val="mk-MK"/>
        </w:rPr>
        <w:t>За приредување на игри на среќа преку терминал за обложување приредувачот плаќа</w:t>
      </w:r>
      <w:r w:rsidR="00E102F9" w:rsidRPr="00E102F9">
        <w:rPr>
          <w:rFonts w:ascii="Arial" w:eastAsia="Times New Roman" w:hAnsi="Arial" w:cs="Arial"/>
          <w:sz w:val="20"/>
          <w:szCs w:val="20"/>
          <w:lang w:val="mk-MK"/>
        </w:rPr>
        <w:t xml:space="preserve"> посебна давачка во висина од 20% која се пресметува на разликата меѓу уплатениот износ и ис</w:t>
      </w:r>
      <w:r w:rsidR="00E102F9">
        <w:rPr>
          <w:rFonts w:ascii="Arial" w:eastAsia="Times New Roman" w:hAnsi="Arial" w:cs="Arial"/>
          <w:sz w:val="20"/>
          <w:szCs w:val="20"/>
          <w:lang w:val="mk-MK"/>
        </w:rPr>
        <w:t>платениот износ од сите терминали за обложување</w:t>
      </w:r>
      <w:r w:rsidR="00E102F9" w:rsidRPr="00E102F9">
        <w:rPr>
          <w:rFonts w:ascii="Arial" w:eastAsia="Times New Roman" w:hAnsi="Arial" w:cs="Arial"/>
          <w:sz w:val="20"/>
          <w:szCs w:val="20"/>
          <w:lang w:val="mk-MK"/>
        </w:rPr>
        <w:t>, во сите деловни простории на приредувачот, на месечна основа.</w:t>
      </w:r>
    </w:p>
    <w:p w:rsidR="00E102F9" w:rsidRPr="00E102F9" w:rsidRDefault="002C63F1" w:rsidP="00E102F9">
      <w:pPr>
        <w:jc w:val="both"/>
        <w:rPr>
          <w:rFonts w:ascii="Arial" w:eastAsia="Times New Roman" w:hAnsi="Arial" w:cs="Arial"/>
          <w:sz w:val="20"/>
          <w:szCs w:val="20"/>
          <w:lang w:val="mk-MK" w:eastAsia="ar-SA"/>
        </w:rPr>
      </w:pPr>
      <w:r w:rsidRPr="00E102F9">
        <w:rPr>
          <w:rFonts w:ascii="Arial" w:eastAsia="Times New Roman" w:hAnsi="Arial" w:cs="Arial"/>
          <w:sz w:val="20"/>
          <w:szCs w:val="20"/>
          <w:lang w:val="mk-MK" w:eastAsia="ar-SA"/>
        </w:rPr>
        <w:t xml:space="preserve">(2) </w:t>
      </w:r>
      <w:r w:rsidR="00E102F9" w:rsidRPr="00E102F9">
        <w:rPr>
          <w:rFonts w:ascii="Arial" w:eastAsia="Times New Roman" w:hAnsi="Arial" w:cs="Arial"/>
          <w:sz w:val="20"/>
          <w:szCs w:val="20"/>
          <w:lang w:val="mk-MK" w:eastAsia="ar-SA"/>
        </w:rPr>
        <w:t xml:space="preserve">Доколку износот на посебната давачка од 20% е помал од вкупниот износ добиен како производ од бројот на </w:t>
      </w:r>
      <w:r w:rsidR="00E102F9">
        <w:rPr>
          <w:rFonts w:ascii="Arial" w:eastAsia="Times New Roman" w:hAnsi="Arial" w:cs="Arial"/>
          <w:sz w:val="20"/>
          <w:szCs w:val="20"/>
          <w:lang w:val="mk-MK" w:eastAsia="ar-SA"/>
        </w:rPr>
        <w:t xml:space="preserve">терминали за обложување во сите деловни простории </w:t>
      </w:r>
      <w:r>
        <w:rPr>
          <w:rFonts w:ascii="Arial" w:eastAsia="Times New Roman" w:hAnsi="Arial" w:cs="Arial"/>
          <w:sz w:val="20"/>
          <w:szCs w:val="20"/>
          <w:lang w:val="mk-MK" w:eastAsia="ar-SA"/>
        </w:rPr>
        <w:t xml:space="preserve">помножен </w:t>
      </w:r>
      <w:r w:rsidR="00E102F9">
        <w:rPr>
          <w:rFonts w:ascii="Arial" w:eastAsia="Times New Roman" w:hAnsi="Arial" w:cs="Arial"/>
          <w:sz w:val="20"/>
          <w:szCs w:val="20"/>
          <w:lang w:val="mk-MK" w:eastAsia="ar-SA"/>
        </w:rPr>
        <w:t xml:space="preserve">со </w:t>
      </w:r>
      <w:r w:rsidR="00E102F9" w:rsidRPr="00E102F9">
        <w:rPr>
          <w:rFonts w:ascii="Arial" w:eastAsia="Times New Roman" w:hAnsi="Arial" w:cs="Arial"/>
          <w:sz w:val="20"/>
          <w:szCs w:val="20"/>
          <w:lang w:val="mk-MK" w:eastAsia="ar-SA"/>
        </w:rPr>
        <w:t xml:space="preserve">50 </w:t>
      </w:r>
      <w:r w:rsidR="00E102F9" w:rsidRPr="00E102F9">
        <w:rPr>
          <w:rFonts w:ascii="Arial" w:eastAsia="Times New Roman" w:hAnsi="Arial" w:cs="Arial"/>
          <w:sz w:val="20"/>
          <w:szCs w:val="20"/>
          <w:lang w:val="mk-MK" w:eastAsia="ar-SA"/>
        </w:rPr>
        <w:lastRenderedPageBreak/>
        <w:t>евра</w:t>
      </w:r>
      <w:r w:rsidR="00E102F9">
        <w:rPr>
          <w:rFonts w:ascii="Arial" w:eastAsia="Times New Roman" w:hAnsi="Arial" w:cs="Arial"/>
          <w:sz w:val="20"/>
          <w:szCs w:val="20"/>
          <w:lang w:val="mk-MK"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mk-MK" w:eastAsia="ar-SA"/>
        </w:rPr>
        <w:t xml:space="preserve">по терминал за обложување, приредувачот плаќа </w:t>
      </w:r>
      <w:r w:rsidR="00E102F9" w:rsidRPr="00E102F9">
        <w:rPr>
          <w:rFonts w:ascii="Arial" w:eastAsia="Times New Roman" w:hAnsi="Arial" w:cs="Arial"/>
          <w:sz w:val="20"/>
          <w:szCs w:val="20"/>
          <w:lang w:val="mk-MK" w:eastAsia="ar-SA"/>
        </w:rPr>
        <w:t>50 евра во денарска противвредност по средниот курс на Народната банка на Република Македонија месечно по</w:t>
      </w:r>
      <w:r>
        <w:rPr>
          <w:rFonts w:ascii="Arial" w:eastAsia="Times New Roman" w:hAnsi="Arial" w:cs="Arial"/>
          <w:sz w:val="20"/>
          <w:szCs w:val="20"/>
          <w:lang w:val="mk-MK" w:eastAsia="ar-SA"/>
        </w:rPr>
        <w:t xml:space="preserve"> терминал за обложување</w:t>
      </w:r>
      <w:r w:rsidR="00E102F9" w:rsidRPr="00E102F9">
        <w:rPr>
          <w:rFonts w:ascii="Arial" w:eastAsia="Times New Roman" w:hAnsi="Arial" w:cs="Arial"/>
          <w:sz w:val="20"/>
          <w:szCs w:val="20"/>
          <w:lang w:val="mk-MK" w:eastAsia="ar-SA"/>
        </w:rPr>
        <w:t>.“</w:t>
      </w:r>
    </w:p>
    <w:p w:rsidR="00E102F9" w:rsidRDefault="002C63F1" w:rsidP="002C63F1">
      <w:pPr>
        <w:tabs>
          <w:tab w:val="left" w:pos="1425"/>
        </w:tabs>
        <w:jc w:val="both"/>
        <w:rPr>
          <w:rFonts w:ascii="Arial" w:eastAsia="StobiSerif Regular" w:hAnsi="Arial" w:cs="Arial"/>
          <w:sz w:val="20"/>
          <w:szCs w:val="20"/>
          <w:lang w:val="mk-MK"/>
        </w:rPr>
      </w:pPr>
      <w:r>
        <w:rPr>
          <w:rFonts w:ascii="Arial" w:eastAsia="Times New Roman" w:hAnsi="Arial" w:cs="Arial"/>
          <w:sz w:val="20"/>
          <w:szCs w:val="20"/>
          <w:lang w:val="mk-MK" w:eastAsia="ar-SA"/>
        </w:rPr>
        <w:t>(3</w:t>
      </w:r>
      <w:r w:rsidR="00E102F9" w:rsidRPr="00E102F9">
        <w:rPr>
          <w:rFonts w:ascii="Arial" w:eastAsia="Times New Roman" w:hAnsi="Arial" w:cs="Arial"/>
          <w:sz w:val="20"/>
          <w:szCs w:val="20"/>
          <w:lang w:val="mk-MK" w:eastAsia="ar-SA"/>
        </w:rPr>
        <w:t>) Приредувачот од став (1) на овој член е должен најдоцна до 5-ти во тековниот месец за претходниот месец на посебен образец, по електронски пат, до Управата за јавни приходи да достави пресметка за посебната давачка од став (1) на овој член.</w:t>
      </w:r>
    </w:p>
    <w:p w:rsidR="002C63F1" w:rsidRPr="002C63F1" w:rsidRDefault="002C63F1" w:rsidP="002C63F1">
      <w:pPr>
        <w:tabs>
          <w:tab w:val="left" w:pos="1425"/>
        </w:tabs>
        <w:jc w:val="both"/>
        <w:rPr>
          <w:rFonts w:ascii="Arial" w:eastAsia="StobiSerif Regular" w:hAnsi="Arial" w:cs="Arial"/>
          <w:sz w:val="20"/>
          <w:szCs w:val="20"/>
          <w:lang w:val="mk-MK"/>
        </w:rPr>
      </w:pPr>
      <w:bookmarkStart w:id="0" w:name="_GoBack"/>
      <w:bookmarkEnd w:id="0"/>
    </w:p>
    <w:p w:rsidR="008C17EA" w:rsidRPr="00F16079" w:rsidRDefault="00F16079" w:rsidP="00F16079">
      <w:pPr>
        <w:spacing w:before="100" w:beforeAutospacing="1" w:after="100" w:afterAutospacing="1"/>
        <w:jc w:val="both"/>
        <w:rPr>
          <w:rFonts w:ascii="Arial" w:hAnsi="Arial" w:cs="Arial"/>
          <w:i/>
          <w:u w:val="single"/>
          <w:lang w:val="mk-MK"/>
        </w:rPr>
      </w:pPr>
      <w:r>
        <w:rPr>
          <w:rFonts w:ascii="Arial" w:hAnsi="Arial" w:cs="Arial"/>
          <w:i/>
          <w:u w:val="single"/>
          <w:lang w:val="mk-MK"/>
        </w:rPr>
        <w:t>Трета</w:t>
      </w:r>
      <w:r w:rsidR="00302C90" w:rsidRPr="00302C90">
        <w:rPr>
          <w:rFonts w:ascii="Arial" w:hAnsi="Arial" w:cs="Arial"/>
          <w:i/>
          <w:u w:val="single"/>
          <w:lang w:val="mk-MK"/>
        </w:rPr>
        <w:t xml:space="preserve"> група: </w:t>
      </w:r>
    </w:p>
    <w:p w:rsidR="008C17EA" w:rsidRDefault="008C17EA" w:rsidP="008C17EA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Воедно во однос на утврдувањето на износите на посебните давачки </w:t>
      </w:r>
      <w:r w:rsidR="00302C90">
        <w:rPr>
          <w:rFonts w:ascii="Arial" w:hAnsi="Arial" w:cs="Arial"/>
          <w:lang w:val="mk-MK"/>
        </w:rPr>
        <w:t>регулирани во новиот предлог во член 66 став 8 и став 10, како и во член 94 став 1 и став 3 сметаме дека</w:t>
      </w:r>
      <w:r>
        <w:rPr>
          <w:rFonts w:ascii="Arial" w:hAnsi="Arial" w:cs="Arial"/>
          <w:lang w:val="mk-MK"/>
        </w:rPr>
        <w:t xml:space="preserve"> би требало да се прецизираат во следнава насока: </w:t>
      </w:r>
    </w:p>
    <w:p w:rsidR="00302C90" w:rsidRDefault="00302C90" w:rsidP="008C17EA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Предложениот месечен износ од 350 евра - да се замени со </w:t>
      </w:r>
      <w:r w:rsidRPr="00F16079">
        <w:rPr>
          <w:rFonts w:ascii="Arial" w:hAnsi="Arial" w:cs="Arial"/>
          <w:b/>
          <w:lang w:val="mk-MK"/>
        </w:rPr>
        <w:t>320 евра по автомат</w:t>
      </w:r>
      <w:r>
        <w:rPr>
          <w:rFonts w:ascii="Arial" w:hAnsi="Arial" w:cs="Arial"/>
          <w:lang w:val="mk-MK"/>
        </w:rPr>
        <w:t xml:space="preserve">, и </w:t>
      </w:r>
    </w:p>
    <w:p w:rsidR="00302C90" w:rsidRPr="00F16079" w:rsidRDefault="00302C90" w:rsidP="00302C90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Предложениот месечен износ од 650 евра - да се замени со </w:t>
      </w:r>
      <w:r w:rsidRPr="00F16079">
        <w:rPr>
          <w:rFonts w:ascii="Arial" w:hAnsi="Arial" w:cs="Arial"/>
          <w:b/>
          <w:lang w:val="mk-MK"/>
        </w:rPr>
        <w:t xml:space="preserve">620 евра по електронски рулет. </w:t>
      </w:r>
    </w:p>
    <w:p w:rsidR="00302C90" w:rsidRDefault="00302C90" w:rsidP="008C17EA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Истакнуваме дека предложената </w:t>
      </w:r>
      <w:r w:rsidRPr="00F16079">
        <w:rPr>
          <w:rFonts w:ascii="Arial" w:hAnsi="Arial" w:cs="Arial"/>
          <w:b/>
          <w:lang w:val="mk-MK"/>
        </w:rPr>
        <w:t>посебната давачка од 3% е против уставна</w:t>
      </w:r>
      <w:r>
        <w:rPr>
          <w:rFonts w:ascii="Arial" w:hAnsi="Arial" w:cs="Arial"/>
          <w:lang w:val="mk-MK"/>
        </w:rPr>
        <w:t xml:space="preserve"> и затоа предлагаме истата да се укине.  </w:t>
      </w:r>
    </w:p>
    <w:p w:rsidR="00302C90" w:rsidRDefault="00302C90" w:rsidP="008C17EA">
      <w:pPr>
        <w:rPr>
          <w:rFonts w:ascii="Arial" w:hAnsi="Arial" w:cs="Arial"/>
          <w:lang w:val="mk-MK"/>
        </w:rPr>
      </w:pPr>
    </w:p>
    <w:sectPr w:rsidR="00302C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7EA" w:rsidRDefault="008C17EA" w:rsidP="008C17EA">
      <w:pPr>
        <w:spacing w:after="0" w:line="240" w:lineRule="auto"/>
      </w:pPr>
      <w:r>
        <w:separator/>
      </w:r>
    </w:p>
  </w:endnote>
  <w:endnote w:type="continuationSeparator" w:id="0">
    <w:p w:rsidR="008C17EA" w:rsidRDefault="008C17EA" w:rsidP="008C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tobiSerif Regular">
    <w:altName w:val="Arial"/>
    <w:charset w:val="00"/>
    <w:family w:val="moder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7EA" w:rsidRDefault="008C17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1813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7EA" w:rsidRDefault="008C17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3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C17EA" w:rsidRDefault="008C17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7EA" w:rsidRDefault="008C1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7EA" w:rsidRDefault="008C17EA" w:rsidP="008C17EA">
      <w:pPr>
        <w:spacing w:after="0" w:line="240" w:lineRule="auto"/>
      </w:pPr>
      <w:r>
        <w:separator/>
      </w:r>
    </w:p>
  </w:footnote>
  <w:footnote w:type="continuationSeparator" w:id="0">
    <w:p w:rsidR="008C17EA" w:rsidRDefault="008C17EA" w:rsidP="008C1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7EA" w:rsidRDefault="008C1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7EA" w:rsidRDefault="008C17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7EA" w:rsidRDefault="008C17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5F"/>
    <w:rsid w:val="001C0375"/>
    <w:rsid w:val="00230523"/>
    <w:rsid w:val="002C63F1"/>
    <w:rsid w:val="00302C90"/>
    <w:rsid w:val="003D2FC7"/>
    <w:rsid w:val="0047324B"/>
    <w:rsid w:val="00814DFA"/>
    <w:rsid w:val="008216D8"/>
    <w:rsid w:val="008C17EA"/>
    <w:rsid w:val="008C5F77"/>
    <w:rsid w:val="00936202"/>
    <w:rsid w:val="00994E8D"/>
    <w:rsid w:val="00C1115F"/>
    <w:rsid w:val="00D30683"/>
    <w:rsid w:val="00D753EE"/>
    <w:rsid w:val="00E102F9"/>
    <w:rsid w:val="00E96E6F"/>
    <w:rsid w:val="00F16079"/>
    <w:rsid w:val="00F8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36F2"/>
  <w15:chartTrackingRefBased/>
  <w15:docId w15:val="{C2FB02E8-F602-484B-95EE-AD07DE7F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15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7E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1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7EA"/>
    <w:rPr>
      <w:lang w:val="en-US"/>
    </w:rPr>
  </w:style>
  <w:style w:type="paragraph" w:styleId="ListParagraph">
    <w:name w:val="List Paragraph"/>
    <w:basedOn w:val="Normal"/>
    <w:uiPriority w:val="34"/>
    <w:qFormat/>
    <w:rsid w:val="003D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2018-04-17T20:57:00Z</dcterms:created>
  <dcterms:modified xsi:type="dcterms:W3CDTF">2018-04-17T21:10:00Z</dcterms:modified>
</cp:coreProperties>
</file>