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D" w:rsidRDefault="00552C49">
      <w:pPr>
        <w:rPr>
          <w:sz w:val="16"/>
          <w:szCs w:val="16"/>
        </w:rPr>
      </w:pPr>
      <w:r>
        <w:rPr>
          <w:sz w:val="16"/>
          <w:szCs w:val="16"/>
        </w:rPr>
        <w:t>Член.94 каде се бришат регионалните занаетчиски комори е неуставен затоа што ги поставува во нерамноправна положба сите комори кои не можат да се бришат со законот затоа што коморското организирање е уставно право и не се работи за јавни претпријатија во државна сопственот тука за невладини непартиски организации регистрирани и по законот за стопански комори во централниот регистар затоа предлагаме овој член да се брише или да се даде правото на усогласување како во член 96 што е дадено на ЗКРМ на која се основачи регионалните комори и комората скопје кои имаат</w:t>
      </w:r>
    </w:p>
    <w:p w:rsidR="00552C49" w:rsidRPr="00552C49" w:rsidRDefault="00552C49">
      <w:pPr>
        <w:rPr>
          <w:sz w:val="16"/>
          <w:szCs w:val="16"/>
        </w:rPr>
      </w:pPr>
      <w:r>
        <w:rPr>
          <w:sz w:val="16"/>
          <w:szCs w:val="16"/>
        </w:rPr>
        <w:t>Рок за усогласување од 6 шест месеци па по која логика истото право да го немаат и другите комори,и во целиот текст каде се дефинирани општинските комори да се додадат и регионалните занаетчиски комори ова е наше мислење и се надеваме дадовме придонест во регулативата во интерест на коморите и занаетчиите си почит</w:t>
      </w:r>
    </w:p>
    <w:sectPr w:rsidR="00552C49" w:rsidRPr="00552C49" w:rsidSect="00552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2C49"/>
    <w:rsid w:val="00552C49"/>
    <w:rsid w:val="00E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>Veles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2</cp:revision>
  <dcterms:created xsi:type="dcterms:W3CDTF">2015-04-28T16:05:00Z</dcterms:created>
  <dcterms:modified xsi:type="dcterms:W3CDTF">2015-04-28T16:14:00Z</dcterms:modified>
</cp:coreProperties>
</file>